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3E543" w14:textId="126BDFD5" w:rsidR="007A0896" w:rsidRPr="0034460F" w:rsidRDefault="007A0896" w:rsidP="007A0896">
      <w:pPr>
        <w:pStyle w:val="CoverH1White"/>
        <w:tabs>
          <w:tab w:val="right" w:pos="8312"/>
        </w:tabs>
        <w:rPr>
          <w:lang w:val="en-AU"/>
        </w:rPr>
      </w:pPr>
    </w:p>
    <w:bookmarkStart w:id="0" w:name="_Hlk503433997"/>
    <w:bookmarkEnd w:id="0"/>
    <w:p w14:paraId="38D0767A" w14:textId="78925A31" w:rsidR="007A0896" w:rsidRPr="0034460F" w:rsidRDefault="007A0896" w:rsidP="00E338F6">
      <w:pPr>
        <w:sectPr w:rsidR="007A0896" w:rsidRPr="0034460F" w:rsidSect="00386893">
          <w:headerReference w:type="even" r:id="rId11"/>
          <w:headerReference w:type="default" r:id="rId12"/>
          <w:footerReference w:type="default" r:id="rId13"/>
          <w:headerReference w:type="first" r:id="rId14"/>
          <w:pgSz w:w="11906" w:h="16838" w:code="9"/>
          <w:pgMar w:top="1440" w:right="1797" w:bottom="1440" w:left="1797" w:header="720" w:footer="720" w:gutter="0"/>
          <w:pgNumType w:fmt="lowerRoman"/>
          <w:cols w:space="720"/>
          <w:titlePg/>
          <w:docGrid w:linePitch="326"/>
        </w:sectPr>
      </w:pPr>
      <w:r w:rsidRPr="0034460F">
        <w:rPr>
          <w:b/>
          <w:bCs/>
          <w:i/>
          <w:iCs/>
          <w:noProof/>
          <w:color w:val="1952F3"/>
          <w:lang w:val="en-AU"/>
        </w:rPr>
        <mc:AlternateContent>
          <mc:Choice Requires="wps">
            <w:drawing>
              <wp:inline distT="0" distB="0" distL="0" distR="0" wp14:anchorId="305E094D" wp14:editId="0B3E82FB">
                <wp:extent cx="5256000" cy="6472800"/>
                <wp:effectExtent l="0" t="0" r="0" b="4445"/>
                <wp:docPr id="11" name="Text Box 11"/>
                <wp:cNvGraphicFramePr/>
                <a:graphic xmlns:a="http://schemas.openxmlformats.org/drawingml/2006/main">
                  <a:graphicData uri="http://schemas.microsoft.com/office/word/2010/wordprocessingShape">
                    <wps:wsp>
                      <wps:cNvSpPr txBox="1"/>
                      <wps:spPr>
                        <a:xfrm>
                          <a:off x="0" y="0"/>
                          <a:ext cx="5256000" cy="6472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B0A003" w14:textId="77777777" w:rsidR="00D15367" w:rsidRPr="005C7FB0" w:rsidRDefault="00D15367" w:rsidP="00E338F6">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56F74CC9" w14:textId="0FE3B6B9" w:rsidR="00D15367" w:rsidRPr="005C7FB0" w:rsidRDefault="00D15367" w:rsidP="007A0896">
                            <w:pPr>
                              <w:pStyle w:val="CoverH1Green"/>
                            </w:pPr>
                            <w:r>
                              <w:t>Report</w:t>
                            </w:r>
                            <w:r w:rsidDel="007A0896">
                              <w:t xml:space="preserve"> </w:t>
                            </w:r>
                            <w:r>
                              <w:t xml:space="preserve">from the Telehealth Working Group </w:t>
                            </w:r>
                          </w:p>
                          <w:p w14:paraId="68498F9D" w14:textId="69849D61" w:rsidR="00D15367" w:rsidRPr="005C7FB0" w:rsidRDefault="00D15367" w:rsidP="007A0896">
                            <w:pPr>
                              <w:pStyle w:val="Coverdate"/>
                              <w:tabs>
                                <w:tab w:val="center" w:pos="4156"/>
                              </w:tabs>
                            </w:pPr>
                            <w:r>
                              <w:t>June 2020</w:t>
                            </w:r>
                            <w:r w:rsidRPr="005C7FB0">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05E094D" id="_x0000_t202" coordsize="21600,21600" o:spt="202" path="m,l,21600r21600,l21600,xe">
                <v:stroke joinstyle="miter"/>
                <v:path gradientshapeok="t" o:connecttype="rect"/>
              </v:shapetype>
              <v:shape id="Text Box 11" o:spid="_x0000_s1026" type="#_x0000_t202" style="width:413.85pt;height:5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" filled="f" stroked="f">
                <v:textbox>
                  <w:txbxContent>
                    <w:p w14:paraId="14B0A003" w14:textId="77777777" w:rsidR="00D15367" w:rsidRPr="005C7FB0" w:rsidRDefault="00D15367" w:rsidP="00E338F6">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56F74CC9" w14:textId="0FE3B6B9" w:rsidR="00D15367" w:rsidRPr="005C7FB0" w:rsidRDefault="00D15367" w:rsidP="007A0896">
                      <w:pPr>
                        <w:pStyle w:val="CoverH1Green"/>
                      </w:pPr>
                      <w:r>
                        <w:t>Report</w:t>
                      </w:r>
                      <w:r w:rsidDel="007A0896">
                        <w:t xml:space="preserve"> </w:t>
                      </w:r>
                      <w:r>
                        <w:t xml:space="preserve">from the Telehealth Working Group </w:t>
                      </w:r>
                    </w:p>
                    <w:p w14:paraId="68498F9D" w14:textId="69849D61" w:rsidR="00D15367" w:rsidRPr="005C7FB0" w:rsidRDefault="00D15367" w:rsidP="007A0896">
                      <w:pPr>
                        <w:pStyle w:val="Coverdate"/>
                        <w:tabs>
                          <w:tab w:val="center" w:pos="4156"/>
                        </w:tabs>
                      </w:pPr>
                      <w:r>
                        <w:t>June 2020</w:t>
                      </w:r>
                      <w:r w:rsidRPr="005C7FB0">
                        <w:tab/>
                      </w:r>
                    </w:p>
                  </w:txbxContent>
                </v:textbox>
                <w10:anchorlock/>
              </v:shape>
            </w:pict>
          </mc:Fallback>
        </mc:AlternateContent>
      </w:r>
    </w:p>
    <w:p w14:paraId="4310BAF9" w14:textId="77777777" w:rsidR="006D2440" w:rsidRDefault="006D2440">
      <w:pPr>
        <w:spacing w:after="180" w:line="240" w:lineRule="auto"/>
        <w:rPr>
          <w:rFonts w:ascii="Calibri" w:eastAsia="Calibri" w:hAnsi="Calibri" w:cs="Calibri"/>
        </w:rPr>
      </w:pPr>
    </w:p>
    <w:p w14:paraId="73E1A8BD" w14:textId="77777777" w:rsidR="006D2440" w:rsidRDefault="006D2440">
      <w:pPr>
        <w:spacing w:after="180" w:line="240" w:lineRule="auto"/>
        <w:rPr>
          <w:rFonts w:ascii="Calibri" w:eastAsia="Calibri" w:hAnsi="Calibri" w:cs="Calibri"/>
        </w:rPr>
      </w:pPr>
    </w:p>
    <w:p w14:paraId="33134309" w14:textId="77777777" w:rsidR="006D2440" w:rsidRDefault="00892E55">
      <w:pPr>
        <w:spacing w:after="180" w:line="240" w:lineRule="auto"/>
        <w:rPr>
          <w:rFonts w:ascii="Calibri" w:eastAsia="Calibri" w:hAnsi="Calibri" w:cs="Calibri"/>
        </w:rPr>
      </w:pPr>
      <w:r>
        <w:rPr>
          <w:noProof/>
          <w:lang w:val="en-AU"/>
        </w:rPr>
        <mc:AlternateContent>
          <mc:Choice Requires="wps">
            <w:drawing>
              <wp:inline distT="0" distB="0" distL="0" distR="0" wp14:anchorId="084D6590" wp14:editId="45D1E159">
                <wp:extent cx="1828800" cy="1828800"/>
                <wp:effectExtent l="0" t="0" r="12700" b="27305"/>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5400">
                          <a:solidFill>
                            <a:srgbClr val="FF0000"/>
                          </a:solidFill>
                        </a:ln>
                      </wps:spPr>
                      <wps:txbx>
                        <w:txbxContent>
                          <w:p w14:paraId="0E85EFFB" w14:textId="77777777" w:rsidR="00D15367" w:rsidRDefault="00D15367" w:rsidP="00892E55">
                            <w:pPr>
                              <w:spacing w:after="120" w:line="240" w:lineRule="auto"/>
                              <w:ind w:left="357"/>
                              <w:rPr>
                                <w:rFonts w:ascii="Calibri" w:eastAsia="Calibri" w:hAnsi="Calibri" w:cs="Calibri"/>
                                <w:b/>
                              </w:rPr>
                            </w:pPr>
                            <w:r>
                              <w:rPr>
                                <w:rFonts w:ascii="Calibri" w:eastAsia="Calibri" w:hAnsi="Calibri" w:cs="Calibri"/>
                                <w:b/>
                              </w:rPr>
                              <w:t>Important notes</w:t>
                            </w:r>
                          </w:p>
                          <w:p w14:paraId="43541CFE" w14:textId="087B40CD" w:rsidR="00D15367" w:rsidRDefault="00D15367" w:rsidP="00892E55">
                            <w:pPr>
                              <w:numPr>
                                <w:ilvl w:val="0"/>
                                <w:numId w:val="16"/>
                              </w:numPr>
                              <w:spacing w:after="120" w:line="240" w:lineRule="auto"/>
                              <w:rPr>
                                <w:color w:val="000000"/>
                              </w:rPr>
                            </w:pPr>
                            <w:r>
                              <w:rPr>
                                <w:rFonts w:ascii="Calibri" w:eastAsia="Calibri" w:hAnsi="Calibri" w:cs="Calibri"/>
                              </w:rPr>
                              <w:t xml:space="preserve">This report does not constitute the final position on these </w:t>
                            </w:r>
                            <w:r w:rsidR="00FD7C9C">
                              <w:rPr>
                                <w:rFonts w:ascii="Calibri" w:eastAsia="Calibri" w:hAnsi="Calibri" w:cs="Calibri"/>
                              </w:rPr>
                              <w:t>recommendations or items</w:t>
                            </w:r>
                            <w:r>
                              <w:rPr>
                                <w:rFonts w:ascii="Calibri" w:eastAsia="Calibri" w:hAnsi="Calibri" w:cs="Calibri"/>
                              </w:rPr>
                              <w:t xml:space="preserve">, which </w:t>
                            </w:r>
                            <w:r w:rsidR="00FD7C9C">
                              <w:rPr>
                                <w:rFonts w:ascii="Calibri" w:eastAsia="Calibri" w:hAnsi="Calibri" w:cs="Calibri"/>
                              </w:rPr>
                              <w:t>are</w:t>
                            </w:r>
                            <w:r>
                              <w:rPr>
                                <w:rFonts w:ascii="Calibri" w:eastAsia="Calibri" w:hAnsi="Calibri" w:cs="Calibri"/>
                              </w:rPr>
                              <w:t xml:space="preserve"> subject to:</w:t>
                            </w:r>
                          </w:p>
                          <w:p w14:paraId="4FF96DFB" w14:textId="77777777" w:rsidR="00FD7C9C" w:rsidRPr="00FD7C9C" w:rsidRDefault="00FD7C9C" w:rsidP="00FD7C9C">
                            <w:pPr>
                              <w:numPr>
                                <w:ilvl w:val="0"/>
                                <w:numId w:val="33"/>
                              </w:numPr>
                              <w:spacing w:after="60" w:line="240" w:lineRule="auto"/>
                              <w:rPr>
                                <w:rFonts w:ascii="Calibri" w:eastAsia="Calibri" w:hAnsi="Calibri" w:cs="Calibri"/>
                                <w:color w:val="000000"/>
                              </w:rPr>
                            </w:pPr>
                            <w:r>
                              <w:rPr>
                                <w:rFonts w:ascii="Calibri" w:eastAsia="Calibri" w:hAnsi="Calibri" w:cs="Calibri"/>
                              </w:rPr>
                              <w:t xml:space="preserve">Consideration and endorsement by </w:t>
                            </w:r>
                            <w:proofErr w:type="gramStart"/>
                            <w:r>
                              <w:rPr>
                                <w:rFonts w:ascii="Calibri" w:eastAsia="Calibri" w:hAnsi="Calibri" w:cs="Calibri"/>
                              </w:rPr>
                              <w:t>Taskforce;</w:t>
                            </w:r>
                            <w:proofErr w:type="gramEnd"/>
                          </w:p>
                          <w:p w14:paraId="0CE90794" w14:textId="6549ADCE" w:rsidR="00D15367" w:rsidRDefault="00D15367" w:rsidP="00FD7C9C">
                            <w:pPr>
                              <w:numPr>
                                <w:ilvl w:val="0"/>
                                <w:numId w:val="33"/>
                              </w:numPr>
                              <w:spacing w:after="60" w:line="240" w:lineRule="auto"/>
                              <w:rPr>
                                <w:rFonts w:ascii="Calibri" w:eastAsia="Calibri" w:hAnsi="Calibri" w:cs="Calibri"/>
                                <w:color w:val="000000"/>
                              </w:rPr>
                            </w:pPr>
                            <w:r>
                              <w:rPr>
                                <w:rFonts w:ascii="Calibri" w:eastAsia="Calibri" w:hAnsi="Calibri" w:cs="Calibri"/>
                              </w:rPr>
                              <w:t>the Minister for Health; and</w:t>
                            </w:r>
                          </w:p>
                          <w:p w14:paraId="62D4814B" w14:textId="77777777" w:rsidR="00D15367" w:rsidRDefault="00D15367" w:rsidP="00FD7C9C">
                            <w:pPr>
                              <w:numPr>
                                <w:ilvl w:val="0"/>
                                <w:numId w:val="33"/>
                              </w:numPr>
                              <w:spacing w:after="60" w:line="240" w:lineRule="auto"/>
                              <w:rPr>
                                <w:rFonts w:ascii="Calibri" w:eastAsia="Calibri" w:hAnsi="Calibri" w:cs="Calibri"/>
                                <w:color w:val="000000"/>
                              </w:rPr>
                            </w:pPr>
                            <w:r>
                              <w:rPr>
                                <w:rFonts w:ascii="Calibri" w:eastAsia="Calibri" w:hAnsi="Calibri" w:cs="Calibri"/>
                              </w:rPr>
                              <w:t>Government.</w:t>
                            </w:r>
                          </w:p>
                          <w:p w14:paraId="0D7113DC" w14:textId="77777777" w:rsidR="00D15367" w:rsidRDefault="00D15367" w:rsidP="00892E55">
                            <w:pPr>
                              <w:spacing w:line="240" w:lineRule="auto"/>
                              <w:ind w:left="357"/>
                              <w:rPr>
                                <w:rFonts w:ascii="Calibri" w:eastAsia="Calibri" w:hAnsi="Calibri" w:cs="Calibri"/>
                              </w:rPr>
                            </w:pPr>
                          </w:p>
                          <w:p w14:paraId="46138AD4" w14:textId="629C816D" w:rsidR="00D15367" w:rsidRDefault="00D15367" w:rsidP="00892E55">
                            <w:pPr>
                              <w:numPr>
                                <w:ilvl w:val="0"/>
                                <w:numId w:val="16"/>
                              </w:numPr>
                              <w:spacing w:after="120" w:line="240" w:lineRule="auto"/>
                              <w:rPr>
                                <w:color w:val="000000"/>
                              </w:rPr>
                            </w:pPr>
                            <w:r>
                              <w:rPr>
                                <w:rFonts w:ascii="Calibri" w:eastAsia="Calibri" w:hAnsi="Calibri" w:cs="Calibri"/>
                              </w:rPr>
                              <w:t>This report is presently prepared for Taskforce endorsement.</w:t>
                            </w:r>
                          </w:p>
                          <w:p w14:paraId="049A0602" w14:textId="367B1C8D" w:rsidR="00D15367" w:rsidRPr="000528A1" w:rsidRDefault="00D15367" w:rsidP="004D7CE6">
                            <w:pPr>
                              <w:numPr>
                                <w:ilvl w:val="0"/>
                                <w:numId w:val="16"/>
                              </w:numPr>
                              <w:spacing w:after="120" w:line="240" w:lineRule="auto"/>
                              <w:rPr>
                                <w:rFonts w:ascii="Calibri" w:eastAsia="Calibri" w:hAnsi="Calibri" w:cs="Calibri"/>
                              </w:rPr>
                            </w:pPr>
                            <w:r>
                              <w:rPr>
                                <w:rFonts w:ascii="Calibri" w:eastAsia="Calibri" w:hAnsi="Calibri" w:cs="Calibri"/>
                              </w:rPr>
                              <w:t xml:space="preserve">The individual </w:t>
                            </w:r>
                            <w:r w:rsidR="00FD7C9C" w:rsidRPr="00FD7C9C">
                              <w:rPr>
                                <w:rFonts w:ascii="Calibri" w:eastAsia="Calibri" w:hAnsi="Calibri" w:cs="Calibri"/>
                                <w:i/>
                              </w:rPr>
                              <w:t xml:space="preserve">referred </w:t>
                            </w:r>
                            <w:r w:rsidRPr="00FD7C9C">
                              <w:rPr>
                                <w:rFonts w:ascii="Calibri" w:eastAsia="Calibri" w:hAnsi="Calibri" w:cs="Calibri"/>
                                <w:i/>
                              </w:rPr>
                              <w:t>recommendations</w:t>
                            </w:r>
                            <w:r>
                              <w:rPr>
                                <w:rFonts w:ascii="Calibri" w:eastAsia="Calibri" w:hAnsi="Calibri" w:cs="Calibri"/>
                              </w:rPr>
                              <w:t xml:space="preserve"> in this Report were open for consultation during the drafting process of their origina</w:t>
                            </w:r>
                            <w:r w:rsidR="00FD7C9C">
                              <w:rPr>
                                <w:rFonts w:ascii="Calibri" w:eastAsia="Calibri" w:hAnsi="Calibri" w:cs="Calibri"/>
                              </w:rPr>
                              <w:t>ting</w:t>
                            </w:r>
                            <w:r>
                              <w:rPr>
                                <w:rFonts w:ascii="Calibri" w:eastAsia="Calibri" w:hAnsi="Calibri" w:cs="Calibri"/>
                              </w:rPr>
                              <w:t xml:space="preserve"> reports</w:t>
                            </w:r>
                            <w:r w:rsidR="00FD7C9C">
                              <w:rPr>
                                <w:rFonts w:ascii="Calibri" w:eastAsia="Calibri" w:hAnsi="Calibri" w:cs="Calibri"/>
                              </w:rPr>
                              <w:t xml:space="preserve"> and were submitted to Taskforce post that consultation</w:t>
                            </w:r>
                            <w:r>
                              <w:rPr>
                                <w:rFonts w:ascii="Calibri" w:eastAsia="Calibri" w:hAnsi="Calibri" w:cs="Calibri"/>
                              </w:rPr>
                              <w:t xml:space="preserve">. Consequently, this report has been </w:t>
                            </w:r>
                            <w:r w:rsidR="00FD7C9C">
                              <w:rPr>
                                <w:rFonts w:ascii="Calibri" w:eastAsia="Calibri" w:hAnsi="Calibri" w:cs="Calibri"/>
                              </w:rPr>
                              <w:t xml:space="preserve">prepared by the Taskforce’s Telehealth Working Group for Taskforce endorsement and has not been </w:t>
                            </w:r>
                            <w:r>
                              <w:rPr>
                                <w:rFonts w:ascii="Calibri" w:eastAsia="Calibri" w:hAnsi="Calibri" w:cs="Calibri"/>
                              </w:rPr>
                              <w:t>open</w:t>
                            </w:r>
                            <w:r w:rsidR="00FD7C9C">
                              <w:rPr>
                                <w:rFonts w:ascii="Calibri" w:eastAsia="Calibri" w:hAnsi="Calibri" w:cs="Calibri"/>
                              </w:rPr>
                              <w:t xml:space="preserve"> </w:t>
                            </w:r>
                            <w:r>
                              <w:rPr>
                                <w:rFonts w:ascii="Calibri" w:eastAsia="Calibri" w:hAnsi="Calibri" w:cs="Calibri"/>
                              </w:rPr>
                              <w:t xml:space="preserve">for </w:t>
                            </w:r>
                            <w:r w:rsidR="00FD7C9C">
                              <w:rPr>
                                <w:rFonts w:ascii="Calibri" w:eastAsia="Calibri" w:hAnsi="Calibri" w:cs="Calibri"/>
                              </w:rPr>
                              <w:t xml:space="preserve">further </w:t>
                            </w:r>
                            <w:r>
                              <w:rPr>
                                <w:rFonts w:ascii="Calibri" w:eastAsia="Calibri" w:hAnsi="Calibri" w:cs="Calibri"/>
                              </w:rPr>
                              <w:t>public consultation.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4D6590" id="Text Box 10" o:spid="_x0000_s102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" filled="f" strokecolor="red" strokeweight="2pt">
                <v:textbox style="mso-fit-shape-to-text:t">
                  <w:txbxContent>
                    <w:p w14:paraId="0E85EFFB" w14:textId="77777777" w:rsidR="00D15367" w:rsidRDefault="00D15367" w:rsidP="00892E55">
                      <w:pPr>
                        <w:spacing w:after="120" w:line="240" w:lineRule="auto"/>
                        <w:ind w:left="357"/>
                        <w:rPr>
                          <w:rFonts w:ascii="Calibri" w:eastAsia="Calibri" w:hAnsi="Calibri" w:cs="Calibri"/>
                          <w:b/>
                        </w:rPr>
                      </w:pPr>
                      <w:r>
                        <w:rPr>
                          <w:rFonts w:ascii="Calibri" w:eastAsia="Calibri" w:hAnsi="Calibri" w:cs="Calibri"/>
                          <w:b/>
                        </w:rPr>
                        <w:t>Important notes</w:t>
                      </w:r>
                    </w:p>
                    <w:p w14:paraId="43541CFE" w14:textId="087B40CD" w:rsidR="00D15367" w:rsidRDefault="00D15367" w:rsidP="00892E55">
                      <w:pPr>
                        <w:numPr>
                          <w:ilvl w:val="0"/>
                          <w:numId w:val="16"/>
                        </w:numPr>
                        <w:spacing w:after="120" w:line="240" w:lineRule="auto"/>
                        <w:rPr>
                          <w:color w:val="000000"/>
                        </w:rPr>
                      </w:pPr>
                      <w:r>
                        <w:rPr>
                          <w:rFonts w:ascii="Calibri" w:eastAsia="Calibri" w:hAnsi="Calibri" w:cs="Calibri"/>
                        </w:rPr>
                        <w:t xml:space="preserve">This report does not constitute the final position on these </w:t>
                      </w:r>
                      <w:r w:rsidR="00FD7C9C">
                        <w:rPr>
                          <w:rFonts w:ascii="Calibri" w:eastAsia="Calibri" w:hAnsi="Calibri" w:cs="Calibri"/>
                        </w:rPr>
                        <w:t>recommendations or items</w:t>
                      </w:r>
                      <w:r>
                        <w:rPr>
                          <w:rFonts w:ascii="Calibri" w:eastAsia="Calibri" w:hAnsi="Calibri" w:cs="Calibri"/>
                        </w:rPr>
                        <w:t xml:space="preserve">, which </w:t>
                      </w:r>
                      <w:r w:rsidR="00FD7C9C">
                        <w:rPr>
                          <w:rFonts w:ascii="Calibri" w:eastAsia="Calibri" w:hAnsi="Calibri" w:cs="Calibri"/>
                        </w:rPr>
                        <w:t>are</w:t>
                      </w:r>
                      <w:r>
                        <w:rPr>
                          <w:rFonts w:ascii="Calibri" w:eastAsia="Calibri" w:hAnsi="Calibri" w:cs="Calibri"/>
                        </w:rPr>
                        <w:t xml:space="preserve"> subject to:</w:t>
                      </w:r>
                    </w:p>
                    <w:p w14:paraId="4FF96DFB" w14:textId="77777777" w:rsidR="00FD7C9C" w:rsidRPr="00FD7C9C" w:rsidRDefault="00FD7C9C" w:rsidP="00FD7C9C">
                      <w:pPr>
                        <w:numPr>
                          <w:ilvl w:val="0"/>
                          <w:numId w:val="33"/>
                        </w:numPr>
                        <w:spacing w:after="60" w:line="240" w:lineRule="auto"/>
                        <w:rPr>
                          <w:rFonts w:ascii="Calibri" w:eastAsia="Calibri" w:hAnsi="Calibri" w:cs="Calibri"/>
                          <w:color w:val="000000"/>
                        </w:rPr>
                      </w:pPr>
                      <w:r>
                        <w:rPr>
                          <w:rFonts w:ascii="Calibri" w:eastAsia="Calibri" w:hAnsi="Calibri" w:cs="Calibri"/>
                        </w:rPr>
                        <w:t xml:space="preserve">Consideration and endorsement by </w:t>
                      </w:r>
                      <w:proofErr w:type="gramStart"/>
                      <w:r>
                        <w:rPr>
                          <w:rFonts w:ascii="Calibri" w:eastAsia="Calibri" w:hAnsi="Calibri" w:cs="Calibri"/>
                        </w:rPr>
                        <w:t>Taskforce;</w:t>
                      </w:r>
                      <w:proofErr w:type="gramEnd"/>
                    </w:p>
                    <w:p w14:paraId="0CE90794" w14:textId="6549ADCE" w:rsidR="00D15367" w:rsidRDefault="00D15367" w:rsidP="00FD7C9C">
                      <w:pPr>
                        <w:numPr>
                          <w:ilvl w:val="0"/>
                          <w:numId w:val="33"/>
                        </w:numPr>
                        <w:spacing w:after="60" w:line="240" w:lineRule="auto"/>
                        <w:rPr>
                          <w:rFonts w:ascii="Calibri" w:eastAsia="Calibri" w:hAnsi="Calibri" w:cs="Calibri"/>
                          <w:color w:val="000000"/>
                        </w:rPr>
                      </w:pPr>
                      <w:r>
                        <w:rPr>
                          <w:rFonts w:ascii="Calibri" w:eastAsia="Calibri" w:hAnsi="Calibri" w:cs="Calibri"/>
                        </w:rPr>
                        <w:t>the Minister for Health; and</w:t>
                      </w:r>
                    </w:p>
                    <w:p w14:paraId="62D4814B" w14:textId="77777777" w:rsidR="00D15367" w:rsidRDefault="00D15367" w:rsidP="00FD7C9C">
                      <w:pPr>
                        <w:numPr>
                          <w:ilvl w:val="0"/>
                          <w:numId w:val="33"/>
                        </w:numPr>
                        <w:spacing w:after="60" w:line="240" w:lineRule="auto"/>
                        <w:rPr>
                          <w:rFonts w:ascii="Calibri" w:eastAsia="Calibri" w:hAnsi="Calibri" w:cs="Calibri"/>
                          <w:color w:val="000000"/>
                        </w:rPr>
                      </w:pPr>
                      <w:r>
                        <w:rPr>
                          <w:rFonts w:ascii="Calibri" w:eastAsia="Calibri" w:hAnsi="Calibri" w:cs="Calibri"/>
                        </w:rPr>
                        <w:t>Government.</w:t>
                      </w:r>
                    </w:p>
                    <w:p w14:paraId="0D7113DC" w14:textId="77777777" w:rsidR="00D15367" w:rsidRDefault="00D15367" w:rsidP="00892E55">
                      <w:pPr>
                        <w:spacing w:line="240" w:lineRule="auto"/>
                        <w:ind w:left="357"/>
                        <w:rPr>
                          <w:rFonts w:ascii="Calibri" w:eastAsia="Calibri" w:hAnsi="Calibri" w:cs="Calibri"/>
                        </w:rPr>
                      </w:pPr>
                    </w:p>
                    <w:p w14:paraId="46138AD4" w14:textId="629C816D" w:rsidR="00D15367" w:rsidRDefault="00D15367" w:rsidP="00892E55">
                      <w:pPr>
                        <w:numPr>
                          <w:ilvl w:val="0"/>
                          <w:numId w:val="16"/>
                        </w:numPr>
                        <w:spacing w:after="120" w:line="240" w:lineRule="auto"/>
                        <w:rPr>
                          <w:color w:val="000000"/>
                        </w:rPr>
                      </w:pPr>
                      <w:r>
                        <w:rPr>
                          <w:rFonts w:ascii="Calibri" w:eastAsia="Calibri" w:hAnsi="Calibri" w:cs="Calibri"/>
                        </w:rPr>
                        <w:t>This report is presently prepared for Taskforce endorsement.</w:t>
                      </w:r>
                    </w:p>
                    <w:p w14:paraId="049A0602" w14:textId="367B1C8D" w:rsidR="00D15367" w:rsidRPr="000528A1" w:rsidRDefault="00D15367" w:rsidP="004D7CE6">
                      <w:pPr>
                        <w:numPr>
                          <w:ilvl w:val="0"/>
                          <w:numId w:val="16"/>
                        </w:numPr>
                        <w:spacing w:after="120" w:line="240" w:lineRule="auto"/>
                        <w:rPr>
                          <w:rFonts w:ascii="Calibri" w:eastAsia="Calibri" w:hAnsi="Calibri" w:cs="Calibri"/>
                        </w:rPr>
                      </w:pPr>
                      <w:r>
                        <w:rPr>
                          <w:rFonts w:ascii="Calibri" w:eastAsia="Calibri" w:hAnsi="Calibri" w:cs="Calibri"/>
                        </w:rPr>
                        <w:t xml:space="preserve">The individual </w:t>
                      </w:r>
                      <w:r w:rsidR="00FD7C9C" w:rsidRPr="00FD7C9C">
                        <w:rPr>
                          <w:rFonts w:ascii="Calibri" w:eastAsia="Calibri" w:hAnsi="Calibri" w:cs="Calibri"/>
                          <w:i/>
                        </w:rPr>
                        <w:t xml:space="preserve">referred </w:t>
                      </w:r>
                      <w:r w:rsidRPr="00FD7C9C">
                        <w:rPr>
                          <w:rFonts w:ascii="Calibri" w:eastAsia="Calibri" w:hAnsi="Calibri" w:cs="Calibri"/>
                          <w:i/>
                        </w:rPr>
                        <w:t>recommendations</w:t>
                      </w:r>
                      <w:r>
                        <w:rPr>
                          <w:rFonts w:ascii="Calibri" w:eastAsia="Calibri" w:hAnsi="Calibri" w:cs="Calibri"/>
                        </w:rPr>
                        <w:t xml:space="preserve"> in this Report were open for consultation during the drafting process of their origina</w:t>
                      </w:r>
                      <w:r w:rsidR="00FD7C9C">
                        <w:rPr>
                          <w:rFonts w:ascii="Calibri" w:eastAsia="Calibri" w:hAnsi="Calibri" w:cs="Calibri"/>
                        </w:rPr>
                        <w:t>ting</w:t>
                      </w:r>
                      <w:r>
                        <w:rPr>
                          <w:rFonts w:ascii="Calibri" w:eastAsia="Calibri" w:hAnsi="Calibri" w:cs="Calibri"/>
                        </w:rPr>
                        <w:t xml:space="preserve"> reports</w:t>
                      </w:r>
                      <w:r w:rsidR="00FD7C9C">
                        <w:rPr>
                          <w:rFonts w:ascii="Calibri" w:eastAsia="Calibri" w:hAnsi="Calibri" w:cs="Calibri"/>
                        </w:rPr>
                        <w:t xml:space="preserve"> and were submitted to Taskforce post that consultation</w:t>
                      </w:r>
                      <w:r>
                        <w:rPr>
                          <w:rFonts w:ascii="Calibri" w:eastAsia="Calibri" w:hAnsi="Calibri" w:cs="Calibri"/>
                        </w:rPr>
                        <w:t xml:space="preserve">. Consequently, this report has been </w:t>
                      </w:r>
                      <w:r w:rsidR="00FD7C9C">
                        <w:rPr>
                          <w:rFonts w:ascii="Calibri" w:eastAsia="Calibri" w:hAnsi="Calibri" w:cs="Calibri"/>
                        </w:rPr>
                        <w:t xml:space="preserve">prepared by the Taskforce’s Telehealth Working Group for Taskforce endorsement and has not been </w:t>
                      </w:r>
                      <w:r>
                        <w:rPr>
                          <w:rFonts w:ascii="Calibri" w:eastAsia="Calibri" w:hAnsi="Calibri" w:cs="Calibri"/>
                        </w:rPr>
                        <w:t>open</w:t>
                      </w:r>
                      <w:r w:rsidR="00FD7C9C">
                        <w:rPr>
                          <w:rFonts w:ascii="Calibri" w:eastAsia="Calibri" w:hAnsi="Calibri" w:cs="Calibri"/>
                        </w:rPr>
                        <w:t xml:space="preserve"> </w:t>
                      </w:r>
                      <w:r>
                        <w:rPr>
                          <w:rFonts w:ascii="Calibri" w:eastAsia="Calibri" w:hAnsi="Calibri" w:cs="Calibri"/>
                        </w:rPr>
                        <w:t xml:space="preserve">for </w:t>
                      </w:r>
                      <w:r w:rsidR="00FD7C9C">
                        <w:rPr>
                          <w:rFonts w:ascii="Calibri" w:eastAsia="Calibri" w:hAnsi="Calibri" w:cs="Calibri"/>
                        </w:rPr>
                        <w:t xml:space="preserve">further </w:t>
                      </w:r>
                      <w:r>
                        <w:rPr>
                          <w:rFonts w:ascii="Calibri" w:eastAsia="Calibri" w:hAnsi="Calibri" w:cs="Calibri"/>
                        </w:rPr>
                        <w:t>public consultation.</w:t>
                      </w:r>
                    </w:p>
                  </w:txbxContent>
                </v:textbox>
                <w10:anchorlock/>
              </v:shape>
            </w:pict>
          </mc:Fallback>
        </mc:AlternateContent>
      </w:r>
    </w:p>
    <w:p w14:paraId="04FF8B29" w14:textId="77777777" w:rsidR="006D2440" w:rsidRDefault="006D2440">
      <w:pPr>
        <w:spacing w:after="180" w:line="240" w:lineRule="auto"/>
        <w:rPr>
          <w:rFonts w:ascii="Calibri" w:eastAsia="Calibri" w:hAnsi="Calibri" w:cs="Calibri"/>
        </w:rPr>
        <w:sectPr w:rsidR="006D2440">
          <w:headerReference w:type="default" r:id="rId15"/>
          <w:footerReference w:type="default" r:id="rId16"/>
          <w:pgSz w:w="12240" w:h="15840"/>
          <w:pgMar w:top="1440" w:right="1133" w:bottom="1440" w:left="1134" w:header="720" w:footer="720" w:gutter="0"/>
          <w:cols w:space="720" w:equalWidth="0">
            <w:col w:w="9360"/>
          </w:cols>
        </w:sectPr>
      </w:pPr>
    </w:p>
    <w:p w14:paraId="5A8A6408" w14:textId="77777777" w:rsidR="006D2440" w:rsidRDefault="004D7CE6">
      <w:pPr>
        <w:widowControl w:val="0"/>
        <w:rPr>
          <w:rFonts w:ascii="Calibri" w:eastAsia="Calibri" w:hAnsi="Calibri" w:cs="Calibri"/>
          <w:b/>
          <w:color w:val="01653F"/>
          <w:sz w:val="40"/>
          <w:szCs w:val="40"/>
        </w:rPr>
      </w:pPr>
      <w:r>
        <w:rPr>
          <w:rFonts w:ascii="Calibri" w:eastAsia="Calibri" w:hAnsi="Calibri" w:cs="Calibri"/>
          <w:b/>
          <w:color w:val="01653F"/>
          <w:sz w:val="40"/>
          <w:szCs w:val="40"/>
        </w:rPr>
        <w:lastRenderedPageBreak/>
        <w:t>Contents</w:t>
      </w:r>
    </w:p>
    <w:sdt>
      <w:sdtPr>
        <w:id w:val="-63878664"/>
        <w:docPartObj>
          <w:docPartGallery w:val="Table of Contents"/>
          <w:docPartUnique/>
        </w:docPartObj>
      </w:sdtPr>
      <w:sdtEndPr>
        <w:rPr>
          <w:b/>
          <w:bCs/>
          <w:noProof/>
        </w:rPr>
      </w:sdtEndPr>
      <w:sdtContent>
        <w:p w14:paraId="0CC607A1" w14:textId="71B9C294" w:rsidR="00B025EE" w:rsidRPr="00B025EE" w:rsidRDefault="00855BDE">
          <w:pPr>
            <w:pStyle w:val="TOC1"/>
            <w:rPr>
              <w:rFonts w:asciiTheme="majorHAnsi" w:eastAsiaTheme="minorEastAsia" w:hAnsiTheme="majorHAnsi" w:cstheme="majorHAnsi"/>
              <w:b/>
              <w:noProof/>
              <w:lang w:val="en-AU"/>
            </w:rPr>
          </w:pPr>
          <w:r>
            <w:rPr>
              <w:rStyle w:val="Strong"/>
            </w:rPr>
            <w:fldChar w:fldCharType="begin"/>
          </w:r>
          <w:r w:rsidRPr="008E7FF0">
            <w:rPr>
              <w:rStyle w:val="Strong"/>
            </w:rPr>
            <w:instrText xml:space="preserve"> TOC \o "1-3" \h \z \u </w:instrText>
          </w:r>
          <w:r>
            <w:rPr>
              <w:rStyle w:val="Strong"/>
            </w:rPr>
            <w:fldChar w:fldCharType="separate"/>
          </w:r>
          <w:hyperlink w:anchor="_Toc42764220" w:history="1">
            <w:r w:rsidR="00B025EE" w:rsidRPr="00B025EE">
              <w:rPr>
                <w:rStyle w:val="Hyperlink"/>
                <w:rFonts w:asciiTheme="majorHAnsi" w:eastAsia="Calibri" w:hAnsiTheme="majorHAnsi" w:cstheme="majorHAnsi"/>
                <w:b/>
                <w:bCs/>
                <w:noProof/>
              </w:rPr>
              <w:t>Introduction</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_Toc42764220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4</w:t>
            </w:r>
            <w:r w:rsidR="00B025EE" w:rsidRPr="00B025EE">
              <w:rPr>
                <w:rFonts w:asciiTheme="majorHAnsi" w:hAnsiTheme="majorHAnsi" w:cstheme="majorHAnsi"/>
                <w:b/>
                <w:noProof/>
                <w:webHidden/>
              </w:rPr>
              <w:fldChar w:fldCharType="end"/>
            </w:r>
          </w:hyperlink>
        </w:p>
        <w:p w14:paraId="241F5B25" w14:textId="58DAD956" w:rsidR="00B025EE" w:rsidRPr="00B025EE" w:rsidRDefault="00EA585B">
          <w:pPr>
            <w:pStyle w:val="TOC3"/>
            <w:rPr>
              <w:rFonts w:asciiTheme="majorHAnsi" w:eastAsiaTheme="minorEastAsia" w:hAnsiTheme="majorHAnsi" w:cstheme="majorHAnsi"/>
              <w:lang w:val="en-AU"/>
            </w:rPr>
          </w:pPr>
          <w:hyperlink w:anchor="_Toc42764221" w:history="1">
            <w:r w:rsidR="00B025EE" w:rsidRPr="00B025EE">
              <w:rPr>
                <w:rStyle w:val="Hyperlink"/>
                <w:rFonts w:asciiTheme="majorHAnsi" w:hAnsiTheme="majorHAnsi" w:cstheme="majorHAnsi"/>
              </w:rPr>
              <w:t>MBS Review Taskforce approach</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_Toc42764221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4</w:t>
            </w:r>
            <w:r w:rsidR="00B025EE" w:rsidRPr="00B025EE">
              <w:rPr>
                <w:rFonts w:asciiTheme="majorHAnsi" w:hAnsiTheme="majorHAnsi" w:cstheme="majorHAnsi"/>
                <w:webHidden/>
              </w:rPr>
              <w:fldChar w:fldCharType="end"/>
            </w:r>
          </w:hyperlink>
        </w:p>
        <w:p w14:paraId="61F861FF" w14:textId="3485F1E3" w:rsidR="00B025EE" w:rsidRPr="00B025EE" w:rsidRDefault="00EA585B">
          <w:pPr>
            <w:pStyle w:val="TOC3"/>
            <w:rPr>
              <w:rFonts w:asciiTheme="majorHAnsi" w:eastAsiaTheme="minorEastAsia" w:hAnsiTheme="majorHAnsi" w:cstheme="majorHAnsi"/>
              <w:lang w:val="en-AU"/>
            </w:rPr>
          </w:pPr>
          <w:hyperlink w:anchor="_Toc42764222" w:history="1">
            <w:r w:rsidR="00B025EE" w:rsidRPr="00B025EE">
              <w:rPr>
                <w:rStyle w:val="Hyperlink"/>
                <w:rFonts w:asciiTheme="majorHAnsi" w:hAnsiTheme="majorHAnsi" w:cstheme="majorHAnsi"/>
              </w:rPr>
              <w:t>The Telehealth Working Group</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_Toc42764222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5</w:t>
            </w:r>
            <w:r w:rsidR="00B025EE" w:rsidRPr="00B025EE">
              <w:rPr>
                <w:rFonts w:asciiTheme="majorHAnsi" w:hAnsiTheme="majorHAnsi" w:cstheme="majorHAnsi"/>
                <w:webHidden/>
              </w:rPr>
              <w:fldChar w:fldCharType="end"/>
            </w:r>
          </w:hyperlink>
        </w:p>
        <w:p w14:paraId="10D45F63" w14:textId="7C88F8A2" w:rsidR="00B025EE" w:rsidRPr="00B025EE" w:rsidRDefault="00EA585B">
          <w:pPr>
            <w:pStyle w:val="TOC3"/>
            <w:rPr>
              <w:rFonts w:asciiTheme="majorHAnsi" w:eastAsiaTheme="minorEastAsia" w:hAnsiTheme="majorHAnsi" w:cstheme="majorHAnsi"/>
              <w:lang w:val="en-AU"/>
            </w:rPr>
          </w:pPr>
          <w:hyperlink w:anchor="_Toc42764223" w:history="1">
            <w:r w:rsidR="00B025EE" w:rsidRPr="00B025EE">
              <w:rPr>
                <w:rStyle w:val="Hyperlink"/>
                <w:rFonts w:asciiTheme="majorHAnsi" w:hAnsiTheme="majorHAnsi" w:cstheme="majorHAnsi"/>
              </w:rPr>
              <w:t>Key Definitions and Concepts</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_Toc42764223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6</w:t>
            </w:r>
            <w:r w:rsidR="00B025EE" w:rsidRPr="00B025EE">
              <w:rPr>
                <w:rFonts w:asciiTheme="majorHAnsi" w:hAnsiTheme="majorHAnsi" w:cstheme="majorHAnsi"/>
                <w:webHidden/>
              </w:rPr>
              <w:fldChar w:fldCharType="end"/>
            </w:r>
          </w:hyperlink>
        </w:p>
        <w:p w14:paraId="3E5C1415" w14:textId="10666D68" w:rsidR="00B025EE" w:rsidRPr="00B025EE" w:rsidRDefault="00EA585B">
          <w:pPr>
            <w:pStyle w:val="TOC1"/>
            <w:rPr>
              <w:rFonts w:asciiTheme="majorHAnsi" w:eastAsiaTheme="minorEastAsia" w:hAnsiTheme="majorHAnsi" w:cstheme="majorHAnsi"/>
              <w:b/>
              <w:noProof/>
              <w:lang w:val="en-AU"/>
            </w:rPr>
          </w:pPr>
          <w:hyperlink w:anchor="_Toc42764224" w:history="1">
            <w:r w:rsidR="00B025EE" w:rsidRPr="00B025EE">
              <w:rPr>
                <w:rStyle w:val="Hyperlink"/>
                <w:rFonts w:asciiTheme="majorHAnsi" w:eastAsia="Calibri" w:hAnsiTheme="majorHAnsi" w:cstheme="majorHAnsi"/>
                <w:b/>
                <w:noProof/>
              </w:rPr>
              <w:t>Objective 1: Consider telehealth as a broader concept</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_Toc42764224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9</w:t>
            </w:r>
            <w:r w:rsidR="00B025EE" w:rsidRPr="00B025EE">
              <w:rPr>
                <w:rFonts w:asciiTheme="majorHAnsi" w:hAnsiTheme="majorHAnsi" w:cstheme="majorHAnsi"/>
                <w:b/>
                <w:noProof/>
                <w:webHidden/>
              </w:rPr>
              <w:fldChar w:fldCharType="end"/>
            </w:r>
          </w:hyperlink>
        </w:p>
        <w:p w14:paraId="6D7B4F87" w14:textId="6734B282" w:rsidR="00B025EE" w:rsidRPr="00B025EE" w:rsidRDefault="00EA585B">
          <w:pPr>
            <w:pStyle w:val="TOC1"/>
            <w:rPr>
              <w:rFonts w:asciiTheme="majorHAnsi" w:eastAsiaTheme="minorEastAsia" w:hAnsiTheme="majorHAnsi" w:cstheme="majorHAnsi"/>
              <w:b/>
              <w:noProof/>
              <w:lang w:val="en-AU"/>
            </w:rPr>
          </w:pPr>
          <w:hyperlink w:anchor="_Toc42764225" w:history="1">
            <w:r w:rsidR="00B025EE" w:rsidRPr="00B025EE">
              <w:rPr>
                <w:rStyle w:val="Hyperlink"/>
                <w:rFonts w:asciiTheme="majorHAnsi" w:eastAsia="Calibri" w:hAnsiTheme="majorHAnsi" w:cstheme="majorHAnsi"/>
                <w:b/>
                <w:noProof/>
              </w:rPr>
              <w:t>Objective 2: Observations and recommendations to Government</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_Toc42764225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13</w:t>
            </w:r>
            <w:r w:rsidR="00B025EE" w:rsidRPr="00B025EE">
              <w:rPr>
                <w:rFonts w:asciiTheme="majorHAnsi" w:hAnsiTheme="majorHAnsi" w:cstheme="majorHAnsi"/>
                <w:b/>
                <w:noProof/>
                <w:webHidden/>
              </w:rPr>
              <w:fldChar w:fldCharType="end"/>
            </w:r>
          </w:hyperlink>
        </w:p>
        <w:p w14:paraId="2EA6EF72" w14:textId="26710897" w:rsidR="00B025EE" w:rsidRPr="00B025EE" w:rsidRDefault="00EA585B">
          <w:pPr>
            <w:pStyle w:val="TOC3"/>
            <w:rPr>
              <w:rFonts w:asciiTheme="majorHAnsi" w:eastAsiaTheme="minorEastAsia" w:hAnsiTheme="majorHAnsi" w:cstheme="majorHAnsi"/>
              <w:lang w:val="en-AU"/>
            </w:rPr>
          </w:pPr>
          <w:hyperlink w:anchor="_Toc42764226" w:history="1">
            <w:r w:rsidR="00B025EE" w:rsidRPr="00B025EE">
              <w:rPr>
                <w:rStyle w:val="Hyperlink"/>
                <w:rFonts w:asciiTheme="majorHAnsi" w:hAnsiTheme="majorHAnsi" w:cstheme="majorHAnsi"/>
              </w:rPr>
              <w:t>Observations</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_Toc42764226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13</w:t>
            </w:r>
            <w:r w:rsidR="00B025EE" w:rsidRPr="00B025EE">
              <w:rPr>
                <w:rFonts w:asciiTheme="majorHAnsi" w:hAnsiTheme="majorHAnsi" w:cstheme="majorHAnsi"/>
                <w:webHidden/>
              </w:rPr>
              <w:fldChar w:fldCharType="end"/>
            </w:r>
          </w:hyperlink>
        </w:p>
        <w:p w14:paraId="553CB690" w14:textId="6EC71CD3" w:rsidR="00B025EE" w:rsidRPr="00B025EE" w:rsidRDefault="00EA585B">
          <w:pPr>
            <w:pStyle w:val="TOC3"/>
            <w:rPr>
              <w:rFonts w:asciiTheme="majorHAnsi" w:eastAsiaTheme="minorEastAsia" w:hAnsiTheme="majorHAnsi" w:cstheme="majorHAnsi"/>
              <w:lang w:val="en-AU"/>
            </w:rPr>
          </w:pPr>
          <w:hyperlink w:anchor="_Toc42764227" w:history="1">
            <w:r w:rsidR="00B025EE" w:rsidRPr="00B025EE">
              <w:rPr>
                <w:rStyle w:val="Hyperlink"/>
                <w:rFonts w:asciiTheme="majorHAnsi" w:hAnsiTheme="majorHAnsi" w:cstheme="majorHAnsi"/>
              </w:rPr>
              <w:t>Key Recommendations</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_Toc42764227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14</w:t>
            </w:r>
            <w:r w:rsidR="00B025EE" w:rsidRPr="00B025EE">
              <w:rPr>
                <w:rFonts w:asciiTheme="majorHAnsi" w:hAnsiTheme="majorHAnsi" w:cstheme="majorHAnsi"/>
                <w:webHidden/>
              </w:rPr>
              <w:fldChar w:fldCharType="end"/>
            </w:r>
          </w:hyperlink>
        </w:p>
        <w:p w14:paraId="15349D77" w14:textId="1231A190" w:rsidR="00B025EE" w:rsidRPr="00B025EE" w:rsidRDefault="00EA585B">
          <w:pPr>
            <w:pStyle w:val="TOC3"/>
            <w:rPr>
              <w:rFonts w:asciiTheme="majorHAnsi" w:eastAsiaTheme="minorEastAsia" w:hAnsiTheme="majorHAnsi" w:cstheme="majorHAnsi"/>
              <w:lang w:val="en-AU"/>
            </w:rPr>
          </w:pPr>
          <w:hyperlink w:anchor="_Toc42764228" w:history="1">
            <w:r w:rsidR="00B025EE" w:rsidRPr="00B025EE">
              <w:rPr>
                <w:rStyle w:val="Hyperlink"/>
                <w:rFonts w:asciiTheme="majorHAnsi" w:hAnsiTheme="majorHAnsi" w:cstheme="majorHAnsi"/>
              </w:rPr>
              <w:t>Referred Recommendations – Working Group response</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_Toc42764228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15</w:t>
            </w:r>
            <w:r w:rsidR="00B025EE" w:rsidRPr="00B025EE">
              <w:rPr>
                <w:rFonts w:asciiTheme="majorHAnsi" w:hAnsiTheme="majorHAnsi" w:cstheme="majorHAnsi"/>
                <w:webHidden/>
              </w:rPr>
              <w:fldChar w:fldCharType="end"/>
            </w:r>
          </w:hyperlink>
        </w:p>
        <w:p w14:paraId="1E8987F8" w14:textId="009EAF88" w:rsidR="00B025EE" w:rsidRPr="00B025EE" w:rsidRDefault="00EA585B">
          <w:pPr>
            <w:pStyle w:val="TOC1"/>
            <w:rPr>
              <w:rFonts w:asciiTheme="majorHAnsi" w:eastAsiaTheme="minorEastAsia" w:hAnsiTheme="majorHAnsi" w:cstheme="majorHAnsi"/>
              <w:b/>
              <w:noProof/>
              <w:lang w:val="en-AU"/>
            </w:rPr>
          </w:pPr>
          <w:hyperlink w:anchor="_Toc42764229" w:history="1">
            <w:r w:rsidR="00B025EE" w:rsidRPr="00B025EE">
              <w:rPr>
                <w:rStyle w:val="Hyperlink"/>
                <w:rFonts w:asciiTheme="majorHAnsi" w:eastAsia="Calibri" w:hAnsiTheme="majorHAnsi" w:cstheme="majorHAnsi"/>
                <w:b/>
                <w:bCs/>
                <w:noProof/>
              </w:rPr>
              <w:t>Objective 3: A set of MBS Telehealth Principles</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_Toc42764229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17</w:t>
            </w:r>
            <w:r w:rsidR="00B025EE" w:rsidRPr="00B025EE">
              <w:rPr>
                <w:rFonts w:asciiTheme="majorHAnsi" w:hAnsiTheme="majorHAnsi" w:cstheme="majorHAnsi"/>
                <w:b/>
                <w:noProof/>
                <w:webHidden/>
              </w:rPr>
              <w:fldChar w:fldCharType="end"/>
            </w:r>
          </w:hyperlink>
        </w:p>
        <w:p w14:paraId="1D31EF3E" w14:textId="28F9994C" w:rsidR="00B025EE" w:rsidRPr="00B025EE" w:rsidRDefault="00EA585B">
          <w:pPr>
            <w:pStyle w:val="TOC3"/>
            <w:rPr>
              <w:rFonts w:asciiTheme="majorHAnsi" w:eastAsiaTheme="minorEastAsia" w:hAnsiTheme="majorHAnsi" w:cstheme="majorHAnsi"/>
              <w:lang w:val="en-AU"/>
            </w:rPr>
          </w:pPr>
          <w:hyperlink w:anchor="_Toc42764230" w:history="1">
            <w:r w:rsidR="00B025EE" w:rsidRPr="00B025EE">
              <w:rPr>
                <w:rStyle w:val="Hyperlink"/>
                <w:rFonts w:asciiTheme="majorHAnsi" w:hAnsiTheme="majorHAnsi" w:cstheme="majorHAnsi"/>
              </w:rPr>
              <w:t>MBS Telehealth Principles</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_Toc42764230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17</w:t>
            </w:r>
            <w:r w:rsidR="00B025EE" w:rsidRPr="00B025EE">
              <w:rPr>
                <w:rFonts w:asciiTheme="majorHAnsi" w:hAnsiTheme="majorHAnsi" w:cstheme="majorHAnsi"/>
                <w:webHidden/>
              </w:rPr>
              <w:fldChar w:fldCharType="end"/>
            </w:r>
          </w:hyperlink>
        </w:p>
        <w:p w14:paraId="1FB3CF34" w14:textId="64719B2F" w:rsidR="00B025EE" w:rsidRPr="00B025EE" w:rsidRDefault="00EA585B">
          <w:pPr>
            <w:pStyle w:val="TOC3"/>
            <w:rPr>
              <w:rFonts w:asciiTheme="majorHAnsi" w:eastAsiaTheme="minorEastAsia" w:hAnsiTheme="majorHAnsi" w:cstheme="majorHAnsi"/>
              <w:lang w:val="en-AU"/>
            </w:rPr>
          </w:pPr>
          <w:hyperlink w:anchor="_Toc42764231" w:history="1">
            <w:r w:rsidR="00B025EE" w:rsidRPr="00B025EE">
              <w:rPr>
                <w:rStyle w:val="Hyperlink"/>
                <w:rFonts w:asciiTheme="majorHAnsi" w:hAnsiTheme="majorHAnsi" w:cstheme="majorHAnsi"/>
              </w:rPr>
              <w:t>Principle Considerations</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_Toc42764231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17</w:t>
            </w:r>
            <w:r w:rsidR="00B025EE" w:rsidRPr="00B025EE">
              <w:rPr>
                <w:rFonts w:asciiTheme="majorHAnsi" w:hAnsiTheme="majorHAnsi" w:cstheme="majorHAnsi"/>
                <w:webHidden/>
              </w:rPr>
              <w:fldChar w:fldCharType="end"/>
            </w:r>
          </w:hyperlink>
        </w:p>
        <w:p w14:paraId="5020C1C6" w14:textId="1FC2966C" w:rsidR="00B025EE" w:rsidRPr="00B025EE" w:rsidRDefault="00EA585B">
          <w:pPr>
            <w:pStyle w:val="TOC3"/>
            <w:rPr>
              <w:rFonts w:asciiTheme="majorHAnsi" w:eastAsiaTheme="minorEastAsia" w:hAnsiTheme="majorHAnsi" w:cstheme="majorHAnsi"/>
              <w:lang w:val="en-AU"/>
            </w:rPr>
          </w:pPr>
          <w:hyperlink w:anchor="_Toc42764232" w:history="1">
            <w:r w:rsidR="00B025EE" w:rsidRPr="00B025EE">
              <w:rPr>
                <w:rStyle w:val="Hyperlink"/>
                <w:rFonts w:asciiTheme="majorHAnsi" w:hAnsiTheme="majorHAnsi" w:cstheme="majorHAnsi"/>
              </w:rPr>
              <w:t>Principle 1</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_Toc42764232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18</w:t>
            </w:r>
            <w:r w:rsidR="00B025EE" w:rsidRPr="00B025EE">
              <w:rPr>
                <w:rFonts w:asciiTheme="majorHAnsi" w:hAnsiTheme="majorHAnsi" w:cstheme="majorHAnsi"/>
                <w:webHidden/>
              </w:rPr>
              <w:fldChar w:fldCharType="end"/>
            </w:r>
          </w:hyperlink>
        </w:p>
        <w:p w14:paraId="13B6B880" w14:textId="5C7CA1ED" w:rsidR="00B025EE" w:rsidRPr="00B025EE" w:rsidRDefault="00EA585B">
          <w:pPr>
            <w:pStyle w:val="TOC3"/>
            <w:rPr>
              <w:rFonts w:asciiTheme="majorHAnsi" w:eastAsiaTheme="minorEastAsia" w:hAnsiTheme="majorHAnsi" w:cstheme="majorHAnsi"/>
              <w:lang w:val="en-AU"/>
            </w:rPr>
          </w:pPr>
          <w:hyperlink w:anchor="_Toc42764233" w:history="1">
            <w:r w:rsidR="00B025EE" w:rsidRPr="00B025EE">
              <w:rPr>
                <w:rStyle w:val="Hyperlink"/>
                <w:rFonts w:asciiTheme="majorHAnsi" w:hAnsiTheme="majorHAnsi" w:cstheme="majorHAnsi"/>
              </w:rPr>
              <w:t>Principle 2</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_Toc42764233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19</w:t>
            </w:r>
            <w:r w:rsidR="00B025EE" w:rsidRPr="00B025EE">
              <w:rPr>
                <w:rFonts w:asciiTheme="majorHAnsi" w:hAnsiTheme="majorHAnsi" w:cstheme="majorHAnsi"/>
                <w:webHidden/>
              </w:rPr>
              <w:fldChar w:fldCharType="end"/>
            </w:r>
          </w:hyperlink>
        </w:p>
        <w:p w14:paraId="63D0CBBB" w14:textId="2ECCFE1A" w:rsidR="00B025EE" w:rsidRPr="00B025EE" w:rsidRDefault="00EA585B">
          <w:pPr>
            <w:pStyle w:val="TOC3"/>
            <w:rPr>
              <w:rFonts w:asciiTheme="majorHAnsi" w:eastAsiaTheme="minorEastAsia" w:hAnsiTheme="majorHAnsi" w:cstheme="majorHAnsi"/>
              <w:lang w:val="en-AU"/>
            </w:rPr>
          </w:pPr>
          <w:hyperlink w:anchor="_Toc42764234" w:history="1">
            <w:r w:rsidR="00B025EE" w:rsidRPr="00B025EE">
              <w:rPr>
                <w:rStyle w:val="Hyperlink"/>
                <w:rFonts w:asciiTheme="majorHAnsi" w:hAnsiTheme="majorHAnsi" w:cstheme="majorHAnsi"/>
              </w:rPr>
              <w:t>Principle 3</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_Toc42764234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20</w:t>
            </w:r>
            <w:r w:rsidR="00B025EE" w:rsidRPr="00B025EE">
              <w:rPr>
                <w:rFonts w:asciiTheme="majorHAnsi" w:hAnsiTheme="majorHAnsi" w:cstheme="majorHAnsi"/>
                <w:webHidden/>
              </w:rPr>
              <w:fldChar w:fldCharType="end"/>
            </w:r>
          </w:hyperlink>
        </w:p>
        <w:p w14:paraId="5C24BED7" w14:textId="53E2D7BC" w:rsidR="00B025EE" w:rsidRPr="00B025EE" w:rsidRDefault="00EA585B">
          <w:pPr>
            <w:pStyle w:val="TOC3"/>
            <w:rPr>
              <w:rFonts w:asciiTheme="majorHAnsi" w:eastAsiaTheme="minorEastAsia" w:hAnsiTheme="majorHAnsi" w:cstheme="majorHAnsi"/>
              <w:lang w:val="en-AU"/>
            </w:rPr>
          </w:pPr>
          <w:hyperlink w:anchor="_Toc42764235" w:history="1">
            <w:r w:rsidR="00B025EE" w:rsidRPr="00B025EE">
              <w:rPr>
                <w:rStyle w:val="Hyperlink"/>
                <w:rFonts w:asciiTheme="majorHAnsi" w:hAnsiTheme="majorHAnsi" w:cstheme="majorHAnsi"/>
              </w:rPr>
              <w:t>Principle 4</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_Toc42764235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21</w:t>
            </w:r>
            <w:r w:rsidR="00B025EE" w:rsidRPr="00B025EE">
              <w:rPr>
                <w:rFonts w:asciiTheme="majorHAnsi" w:hAnsiTheme="majorHAnsi" w:cstheme="majorHAnsi"/>
                <w:webHidden/>
              </w:rPr>
              <w:fldChar w:fldCharType="end"/>
            </w:r>
          </w:hyperlink>
        </w:p>
        <w:p w14:paraId="08BA2C41" w14:textId="63E3922B" w:rsidR="00B025EE" w:rsidRPr="00B025EE" w:rsidRDefault="00EA585B">
          <w:pPr>
            <w:pStyle w:val="TOC3"/>
            <w:rPr>
              <w:rFonts w:asciiTheme="majorHAnsi" w:eastAsiaTheme="minorEastAsia" w:hAnsiTheme="majorHAnsi" w:cstheme="majorHAnsi"/>
              <w:lang w:val="en-AU"/>
            </w:rPr>
          </w:pPr>
          <w:hyperlink w:anchor="_Toc42764236" w:history="1">
            <w:r w:rsidR="00B025EE" w:rsidRPr="00B025EE">
              <w:rPr>
                <w:rStyle w:val="Hyperlink"/>
                <w:rFonts w:asciiTheme="majorHAnsi" w:hAnsiTheme="majorHAnsi" w:cstheme="majorHAnsi"/>
              </w:rPr>
              <w:t>Principle 5</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_Toc42764236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22</w:t>
            </w:r>
            <w:r w:rsidR="00B025EE" w:rsidRPr="00B025EE">
              <w:rPr>
                <w:rFonts w:asciiTheme="majorHAnsi" w:hAnsiTheme="majorHAnsi" w:cstheme="majorHAnsi"/>
                <w:webHidden/>
              </w:rPr>
              <w:fldChar w:fldCharType="end"/>
            </w:r>
          </w:hyperlink>
        </w:p>
        <w:p w14:paraId="69406D89" w14:textId="59872A4E" w:rsidR="00B025EE" w:rsidRPr="00B025EE" w:rsidRDefault="00EA585B">
          <w:pPr>
            <w:pStyle w:val="TOC3"/>
            <w:rPr>
              <w:rFonts w:asciiTheme="majorHAnsi" w:eastAsiaTheme="minorEastAsia" w:hAnsiTheme="majorHAnsi" w:cstheme="majorHAnsi"/>
              <w:lang w:val="en-AU"/>
            </w:rPr>
          </w:pPr>
          <w:hyperlink w:anchor="_Toc42764237" w:history="1">
            <w:r w:rsidR="00B025EE" w:rsidRPr="00B025EE">
              <w:rPr>
                <w:rStyle w:val="Hyperlink"/>
                <w:rFonts w:asciiTheme="majorHAnsi" w:hAnsiTheme="majorHAnsi" w:cstheme="majorHAnsi"/>
              </w:rPr>
              <w:t>Principle 6</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_Toc42764237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22</w:t>
            </w:r>
            <w:r w:rsidR="00B025EE" w:rsidRPr="00B025EE">
              <w:rPr>
                <w:rFonts w:asciiTheme="majorHAnsi" w:hAnsiTheme="majorHAnsi" w:cstheme="majorHAnsi"/>
                <w:webHidden/>
              </w:rPr>
              <w:fldChar w:fldCharType="end"/>
            </w:r>
          </w:hyperlink>
        </w:p>
        <w:p w14:paraId="67B71C40" w14:textId="2CAB851D" w:rsidR="00B025EE" w:rsidRPr="00B025EE" w:rsidRDefault="00EA585B">
          <w:pPr>
            <w:pStyle w:val="TOC3"/>
            <w:rPr>
              <w:rFonts w:asciiTheme="majorHAnsi" w:eastAsiaTheme="minorEastAsia" w:hAnsiTheme="majorHAnsi" w:cstheme="majorHAnsi"/>
              <w:lang w:val="en-AU"/>
            </w:rPr>
          </w:pPr>
          <w:hyperlink w:anchor="_Toc42764238" w:history="1">
            <w:r w:rsidR="00B025EE" w:rsidRPr="00B025EE">
              <w:rPr>
                <w:rStyle w:val="Hyperlink"/>
                <w:rFonts w:asciiTheme="majorHAnsi" w:hAnsiTheme="majorHAnsi" w:cstheme="majorHAnsi"/>
              </w:rPr>
              <w:t>Principle 7</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_Toc42764238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24</w:t>
            </w:r>
            <w:r w:rsidR="00B025EE" w:rsidRPr="00B025EE">
              <w:rPr>
                <w:rFonts w:asciiTheme="majorHAnsi" w:hAnsiTheme="majorHAnsi" w:cstheme="majorHAnsi"/>
                <w:webHidden/>
              </w:rPr>
              <w:fldChar w:fldCharType="end"/>
            </w:r>
          </w:hyperlink>
        </w:p>
        <w:p w14:paraId="76C3AA46" w14:textId="3A1AC2F3" w:rsidR="00B025EE" w:rsidRPr="00B025EE" w:rsidRDefault="00EA585B">
          <w:pPr>
            <w:pStyle w:val="TOC3"/>
            <w:rPr>
              <w:rFonts w:asciiTheme="majorHAnsi" w:eastAsiaTheme="minorEastAsia" w:hAnsiTheme="majorHAnsi" w:cstheme="majorHAnsi"/>
              <w:lang w:val="en-AU"/>
            </w:rPr>
          </w:pPr>
          <w:hyperlink w:anchor="_Toc42764239" w:history="1">
            <w:r w:rsidR="00B025EE" w:rsidRPr="00B025EE">
              <w:rPr>
                <w:rStyle w:val="Hyperlink"/>
                <w:rFonts w:asciiTheme="majorHAnsi" w:hAnsiTheme="majorHAnsi" w:cstheme="majorHAnsi"/>
              </w:rPr>
              <w:t>Principle 8</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_Toc42764239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25</w:t>
            </w:r>
            <w:r w:rsidR="00B025EE" w:rsidRPr="00B025EE">
              <w:rPr>
                <w:rFonts w:asciiTheme="majorHAnsi" w:hAnsiTheme="majorHAnsi" w:cstheme="majorHAnsi"/>
                <w:webHidden/>
              </w:rPr>
              <w:fldChar w:fldCharType="end"/>
            </w:r>
          </w:hyperlink>
        </w:p>
        <w:p w14:paraId="4B683644" w14:textId="7763A290" w:rsidR="00B025EE" w:rsidRPr="00B025EE" w:rsidRDefault="00EA585B">
          <w:pPr>
            <w:pStyle w:val="TOC3"/>
            <w:rPr>
              <w:rFonts w:asciiTheme="majorHAnsi" w:eastAsiaTheme="minorEastAsia" w:hAnsiTheme="majorHAnsi" w:cstheme="majorHAnsi"/>
              <w:lang w:val="en-AU"/>
            </w:rPr>
          </w:pPr>
          <w:hyperlink w:anchor="_Toc42764240" w:history="1">
            <w:r w:rsidR="00B025EE" w:rsidRPr="00B025EE">
              <w:rPr>
                <w:rStyle w:val="Hyperlink"/>
                <w:rFonts w:asciiTheme="majorHAnsi" w:hAnsiTheme="majorHAnsi" w:cstheme="majorHAnsi"/>
              </w:rPr>
              <w:t>Principle 9</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_Toc42764240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26</w:t>
            </w:r>
            <w:r w:rsidR="00B025EE" w:rsidRPr="00B025EE">
              <w:rPr>
                <w:rFonts w:asciiTheme="majorHAnsi" w:hAnsiTheme="majorHAnsi" w:cstheme="majorHAnsi"/>
                <w:webHidden/>
              </w:rPr>
              <w:fldChar w:fldCharType="end"/>
            </w:r>
          </w:hyperlink>
        </w:p>
        <w:p w14:paraId="77F6ABD6" w14:textId="74B6A297" w:rsidR="00B025EE" w:rsidRPr="00B025EE" w:rsidRDefault="00EA585B">
          <w:pPr>
            <w:pStyle w:val="TOC3"/>
            <w:rPr>
              <w:rFonts w:asciiTheme="majorHAnsi" w:eastAsiaTheme="minorEastAsia" w:hAnsiTheme="majorHAnsi" w:cstheme="majorHAnsi"/>
              <w:lang w:val="en-AU"/>
            </w:rPr>
          </w:pPr>
          <w:hyperlink w:anchor="_Toc42764241" w:history="1">
            <w:r w:rsidR="00B025EE" w:rsidRPr="00B025EE">
              <w:rPr>
                <w:rStyle w:val="Hyperlink"/>
                <w:rFonts w:asciiTheme="majorHAnsi" w:hAnsiTheme="majorHAnsi" w:cstheme="majorHAnsi"/>
              </w:rPr>
              <w:t>Principle 10</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_Toc42764241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27</w:t>
            </w:r>
            <w:r w:rsidR="00B025EE" w:rsidRPr="00B025EE">
              <w:rPr>
                <w:rFonts w:asciiTheme="majorHAnsi" w:hAnsiTheme="majorHAnsi" w:cstheme="majorHAnsi"/>
                <w:webHidden/>
              </w:rPr>
              <w:fldChar w:fldCharType="end"/>
            </w:r>
          </w:hyperlink>
        </w:p>
        <w:p w14:paraId="4D2B287A" w14:textId="614328D3" w:rsidR="00B025EE" w:rsidRPr="00B025EE" w:rsidRDefault="00EA585B">
          <w:pPr>
            <w:pStyle w:val="TOC1"/>
            <w:rPr>
              <w:rFonts w:asciiTheme="majorHAnsi" w:eastAsiaTheme="minorEastAsia" w:hAnsiTheme="majorHAnsi" w:cstheme="majorHAnsi"/>
              <w:b/>
              <w:noProof/>
              <w:lang w:val="en-AU"/>
            </w:rPr>
          </w:pPr>
          <w:hyperlink w:anchor="_Toc42764242" w:history="1">
            <w:r w:rsidR="00B025EE" w:rsidRPr="00B025EE">
              <w:rPr>
                <w:rStyle w:val="Hyperlink"/>
                <w:rFonts w:asciiTheme="majorHAnsi" w:eastAsia="Calibri" w:hAnsiTheme="majorHAnsi" w:cstheme="majorHAnsi"/>
                <w:b/>
                <w:bCs/>
                <w:noProof/>
              </w:rPr>
              <w:t>Objective 4: Apply the Principles to the referred recommendations</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_Toc42764242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27</w:t>
            </w:r>
            <w:r w:rsidR="00B025EE" w:rsidRPr="00B025EE">
              <w:rPr>
                <w:rFonts w:asciiTheme="majorHAnsi" w:hAnsiTheme="majorHAnsi" w:cstheme="majorHAnsi"/>
                <w:b/>
                <w:noProof/>
                <w:webHidden/>
              </w:rPr>
              <w:fldChar w:fldCharType="end"/>
            </w:r>
          </w:hyperlink>
        </w:p>
        <w:p w14:paraId="0BBCB45A" w14:textId="2C96A5A0" w:rsidR="00B025EE" w:rsidRPr="00B025EE" w:rsidRDefault="00EA585B">
          <w:pPr>
            <w:pStyle w:val="TOC1"/>
            <w:rPr>
              <w:rFonts w:asciiTheme="majorHAnsi" w:eastAsiaTheme="minorEastAsia" w:hAnsiTheme="majorHAnsi" w:cstheme="majorHAnsi"/>
              <w:b/>
              <w:noProof/>
              <w:lang w:val="en-AU"/>
            </w:rPr>
          </w:pPr>
          <w:hyperlink w:anchor="_Toc42764243" w:history="1">
            <w:r w:rsidR="00B025EE" w:rsidRPr="00B025EE">
              <w:rPr>
                <w:rStyle w:val="Hyperlink"/>
                <w:rFonts w:asciiTheme="majorHAnsi" w:eastAsia="Calibri" w:hAnsiTheme="majorHAnsi" w:cstheme="majorHAnsi"/>
                <w:b/>
                <w:noProof/>
              </w:rPr>
              <w:t>Allied Health Reference Group</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_Toc42764243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28</w:t>
            </w:r>
            <w:r w:rsidR="00B025EE" w:rsidRPr="00B025EE">
              <w:rPr>
                <w:rFonts w:asciiTheme="majorHAnsi" w:hAnsiTheme="majorHAnsi" w:cstheme="majorHAnsi"/>
                <w:b/>
                <w:noProof/>
                <w:webHidden/>
              </w:rPr>
              <w:fldChar w:fldCharType="end"/>
            </w:r>
          </w:hyperlink>
        </w:p>
        <w:p w14:paraId="615FA6FA" w14:textId="57ECA044" w:rsidR="00B025EE" w:rsidRPr="00B025EE" w:rsidRDefault="00EA585B">
          <w:pPr>
            <w:pStyle w:val="TOC1"/>
            <w:rPr>
              <w:rFonts w:asciiTheme="majorHAnsi" w:eastAsiaTheme="minorEastAsia" w:hAnsiTheme="majorHAnsi" w:cstheme="majorHAnsi"/>
              <w:b/>
              <w:noProof/>
              <w:lang w:val="en-AU"/>
            </w:rPr>
          </w:pPr>
          <w:hyperlink w:anchor="_Toc42764244" w:history="1">
            <w:r w:rsidR="00B025EE" w:rsidRPr="00B025EE">
              <w:rPr>
                <w:rStyle w:val="Hyperlink"/>
                <w:rFonts w:asciiTheme="majorHAnsi" w:eastAsia="Calibri" w:hAnsiTheme="majorHAnsi" w:cstheme="majorHAnsi"/>
                <w:b/>
                <w:noProof/>
              </w:rPr>
              <w:t>General Practice and Primary Care Clinical Committee</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_Toc42764244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30</w:t>
            </w:r>
            <w:r w:rsidR="00B025EE" w:rsidRPr="00B025EE">
              <w:rPr>
                <w:rFonts w:asciiTheme="majorHAnsi" w:hAnsiTheme="majorHAnsi" w:cstheme="majorHAnsi"/>
                <w:b/>
                <w:noProof/>
                <w:webHidden/>
              </w:rPr>
              <w:fldChar w:fldCharType="end"/>
            </w:r>
          </w:hyperlink>
        </w:p>
        <w:p w14:paraId="2D95AD32" w14:textId="610E2C20" w:rsidR="00B025EE" w:rsidRPr="00B025EE" w:rsidRDefault="00EA585B">
          <w:pPr>
            <w:pStyle w:val="TOC1"/>
            <w:rPr>
              <w:rFonts w:asciiTheme="majorHAnsi" w:eastAsiaTheme="minorEastAsia" w:hAnsiTheme="majorHAnsi" w:cstheme="majorHAnsi"/>
              <w:b/>
              <w:noProof/>
              <w:lang w:val="en-AU"/>
            </w:rPr>
          </w:pPr>
          <w:hyperlink w:anchor="_Toc42764245" w:history="1">
            <w:r w:rsidR="00B025EE" w:rsidRPr="00B025EE">
              <w:rPr>
                <w:rStyle w:val="Hyperlink"/>
                <w:rFonts w:asciiTheme="majorHAnsi" w:eastAsia="Calibri" w:hAnsiTheme="majorHAnsi" w:cstheme="majorHAnsi"/>
                <w:b/>
                <w:noProof/>
              </w:rPr>
              <w:t>Mental Health Reference Group</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_Toc42764245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31</w:t>
            </w:r>
            <w:r w:rsidR="00B025EE" w:rsidRPr="00B025EE">
              <w:rPr>
                <w:rFonts w:asciiTheme="majorHAnsi" w:hAnsiTheme="majorHAnsi" w:cstheme="majorHAnsi"/>
                <w:b/>
                <w:noProof/>
                <w:webHidden/>
              </w:rPr>
              <w:fldChar w:fldCharType="end"/>
            </w:r>
          </w:hyperlink>
        </w:p>
        <w:p w14:paraId="622231FA" w14:textId="17C4650C" w:rsidR="00B025EE" w:rsidRPr="00B025EE" w:rsidRDefault="00EA585B">
          <w:pPr>
            <w:pStyle w:val="TOC1"/>
            <w:rPr>
              <w:rFonts w:asciiTheme="majorHAnsi" w:eastAsiaTheme="minorEastAsia" w:hAnsiTheme="majorHAnsi" w:cstheme="majorHAnsi"/>
              <w:b/>
              <w:noProof/>
              <w:lang w:val="en-AU"/>
            </w:rPr>
          </w:pPr>
          <w:hyperlink w:anchor="_Toc42764246" w:history="1">
            <w:r w:rsidR="00B025EE" w:rsidRPr="00B025EE">
              <w:rPr>
                <w:rStyle w:val="Hyperlink"/>
                <w:rFonts w:asciiTheme="majorHAnsi" w:eastAsia="Calibri" w:hAnsiTheme="majorHAnsi" w:cstheme="majorHAnsi"/>
                <w:b/>
                <w:noProof/>
              </w:rPr>
              <w:t>Nurse Practitioners Reference Group</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_Toc42764246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32</w:t>
            </w:r>
            <w:r w:rsidR="00B025EE" w:rsidRPr="00B025EE">
              <w:rPr>
                <w:rFonts w:asciiTheme="majorHAnsi" w:hAnsiTheme="majorHAnsi" w:cstheme="majorHAnsi"/>
                <w:b/>
                <w:noProof/>
                <w:webHidden/>
              </w:rPr>
              <w:fldChar w:fldCharType="end"/>
            </w:r>
          </w:hyperlink>
        </w:p>
        <w:p w14:paraId="54E4235A" w14:textId="22AE1650" w:rsidR="00B025EE" w:rsidRPr="00B025EE" w:rsidRDefault="00EA585B">
          <w:pPr>
            <w:pStyle w:val="TOC1"/>
            <w:rPr>
              <w:rFonts w:asciiTheme="majorHAnsi" w:eastAsiaTheme="minorEastAsia" w:hAnsiTheme="majorHAnsi" w:cstheme="majorHAnsi"/>
              <w:b/>
              <w:noProof/>
              <w:lang w:val="en-AU"/>
            </w:rPr>
          </w:pPr>
          <w:hyperlink w:anchor="_Toc42764247" w:history="1">
            <w:r w:rsidR="00B025EE" w:rsidRPr="00B025EE">
              <w:rPr>
                <w:rStyle w:val="Hyperlink"/>
                <w:rFonts w:asciiTheme="majorHAnsi" w:eastAsia="Calibri" w:hAnsiTheme="majorHAnsi" w:cstheme="majorHAnsi"/>
                <w:b/>
                <w:noProof/>
              </w:rPr>
              <w:t>Participating Midwives Reference Group</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_Toc42764247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37</w:t>
            </w:r>
            <w:r w:rsidR="00B025EE" w:rsidRPr="00B025EE">
              <w:rPr>
                <w:rFonts w:asciiTheme="majorHAnsi" w:hAnsiTheme="majorHAnsi" w:cstheme="majorHAnsi"/>
                <w:b/>
                <w:noProof/>
                <w:webHidden/>
              </w:rPr>
              <w:fldChar w:fldCharType="end"/>
            </w:r>
          </w:hyperlink>
        </w:p>
        <w:p w14:paraId="4F2D243D" w14:textId="5AFEE521" w:rsidR="00B025EE" w:rsidRPr="00B025EE" w:rsidRDefault="00EA585B">
          <w:pPr>
            <w:pStyle w:val="TOC1"/>
            <w:rPr>
              <w:rFonts w:asciiTheme="majorHAnsi" w:eastAsiaTheme="minorEastAsia" w:hAnsiTheme="majorHAnsi" w:cstheme="majorHAnsi"/>
              <w:b/>
              <w:noProof/>
              <w:lang w:val="en-AU"/>
            </w:rPr>
          </w:pPr>
          <w:hyperlink w:anchor="_Toc42764248" w:history="1">
            <w:r w:rsidR="00B025EE" w:rsidRPr="00B025EE">
              <w:rPr>
                <w:rStyle w:val="Hyperlink"/>
                <w:rFonts w:asciiTheme="majorHAnsi" w:eastAsia="Calibri" w:hAnsiTheme="majorHAnsi" w:cstheme="majorHAnsi"/>
                <w:b/>
                <w:noProof/>
              </w:rPr>
              <w:t>Ophthalmology Clinical Committee</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_Toc42764248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41</w:t>
            </w:r>
            <w:r w:rsidR="00B025EE" w:rsidRPr="00B025EE">
              <w:rPr>
                <w:rFonts w:asciiTheme="majorHAnsi" w:hAnsiTheme="majorHAnsi" w:cstheme="majorHAnsi"/>
                <w:b/>
                <w:noProof/>
                <w:webHidden/>
              </w:rPr>
              <w:fldChar w:fldCharType="end"/>
            </w:r>
          </w:hyperlink>
        </w:p>
        <w:p w14:paraId="11D40B42" w14:textId="4A7DD71C" w:rsidR="00B025EE" w:rsidRPr="00B025EE" w:rsidRDefault="00EA585B">
          <w:pPr>
            <w:pStyle w:val="TOC1"/>
            <w:rPr>
              <w:rFonts w:asciiTheme="majorHAnsi" w:eastAsiaTheme="minorEastAsia" w:hAnsiTheme="majorHAnsi" w:cstheme="majorHAnsi"/>
              <w:b/>
              <w:noProof/>
              <w:lang w:val="en-AU"/>
            </w:rPr>
          </w:pPr>
          <w:hyperlink w:anchor="_Toc42764249" w:history="1">
            <w:r w:rsidR="00B025EE" w:rsidRPr="00B025EE">
              <w:rPr>
                <w:rStyle w:val="Hyperlink"/>
                <w:rFonts w:asciiTheme="majorHAnsi" w:eastAsia="Calibri" w:hAnsiTheme="majorHAnsi" w:cstheme="majorHAnsi"/>
                <w:b/>
                <w:noProof/>
              </w:rPr>
              <w:t>Optometry Clinical Committee</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_Toc42764249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42</w:t>
            </w:r>
            <w:r w:rsidR="00B025EE" w:rsidRPr="00B025EE">
              <w:rPr>
                <w:rFonts w:asciiTheme="majorHAnsi" w:hAnsiTheme="majorHAnsi" w:cstheme="majorHAnsi"/>
                <w:b/>
                <w:noProof/>
                <w:webHidden/>
              </w:rPr>
              <w:fldChar w:fldCharType="end"/>
            </w:r>
          </w:hyperlink>
        </w:p>
        <w:p w14:paraId="0EC0A751" w14:textId="6F0AD749" w:rsidR="00B025EE" w:rsidRPr="00B025EE" w:rsidRDefault="00EA585B">
          <w:pPr>
            <w:pStyle w:val="TOC1"/>
            <w:rPr>
              <w:rFonts w:asciiTheme="majorHAnsi" w:eastAsiaTheme="minorEastAsia" w:hAnsiTheme="majorHAnsi" w:cstheme="majorHAnsi"/>
              <w:b/>
              <w:noProof/>
              <w:lang w:val="en-AU"/>
            </w:rPr>
          </w:pPr>
          <w:hyperlink w:anchor="_Toc42764250" w:history="1">
            <w:r w:rsidR="00B025EE" w:rsidRPr="00B025EE">
              <w:rPr>
                <w:rStyle w:val="Hyperlink"/>
                <w:rFonts w:asciiTheme="majorHAnsi" w:eastAsia="Calibri" w:hAnsiTheme="majorHAnsi" w:cstheme="majorHAnsi"/>
                <w:b/>
                <w:noProof/>
              </w:rPr>
              <w:t>Pain Management Clinical Committee</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_Toc42764250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43</w:t>
            </w:r>
            <w:r w:rsidR="00B025EE" w:rsidRPr="00B025EE">
              <w:rPr>
                <w:rFonts w:asciiTheme="majorHAnsi" w:hAnsiTheme="majorHAnsi" w:cstheme="majorHAnsi"/>
                <w:b/>
                <w:noProof/>
                <w:webHidden/>
              </w:rPr>
              <w:fldChar w:fldCharType="end"/>
            </w:r>
          </w:hyperlink>
        </w:p>
        <w:p w14:paraId="0FDF74B8" w14:textId="3C58AC3A" w:rsidR="00B025EE" w:rsidRPr="00B025EE" w:rsidRDefault="00EA585B">
          <w:pPr>
            <w:pStyle w:val="TOC1"/>
            <w:rPr>
              <w:rFonts w:asciiTheme="majorHAnsi" w:eastAsiaTheme="minorEastAsia" w:hAnsiTheme="majorHAnsi" w:cstheme="majorHAnsi"/>
              <w:b/>
              <w:noProof/>
              <w:lang w:val="en-AU"/>
            </w:rPr>
          </w:pPr>
          <w:hyperlink w:anchor="_Toc42764251" w:history="1">
            <w:r w:rsidR="00B025EE" w:rsidRPr="00B025EE">
              <w:rPr>
                <w:rStyle w:val="Hyperlink"/>
                <w:rFonts w:asciiTheme="majorHAnsi" w:eastAsia="Calibri" w:hAnsiTheme="majorHAnsi" w:cstheme="majorHAnsi"/>
                <w:b/>
                <w:noProof/>
              </w:rPr>
              <w:t>Psychiatry Clinical Committee</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_Toc42764251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44</w:t>
            </w:r>
            <w:r w:rsidR="00B025EE" w:rsidRPr="00B025EE">
              <w:rPr>
                <w:rFonts w:asciiTheme="majorHAnsi" w:hAnsiTheme="majorHAnsi" w:cstheme="majorHAnsi"/>
                <w:b/>
                <w:noProof/>
                <w:webHidden/>
              </w:rPr>
              <w:fldChar w:fldCharType="end"/>
            </w:r>
          </w:hyperlink>
        </w:p>
        <w:p w14:paraId="0A8D635B" w14:textId="68E0D9A3" w:rsidR="00B025EE" w:rsidRPr="00B025EE" w:rsidRDefault="00EA585B">
          <w:pPr>
            <w:pStyle w:val="TOC1"/>
            <w:rPr>
              <w:rFonts w:asciiTheme="majorHAnsi" w:eastAsiaTheme="minorEastAsia" w:hAnsiTheme="majorHAnsi" w:cstheme="majorHAnsi"/>
              <w:b/>
              <w:noProof/>
              <w:lang w:val="en-AU"/>
            </w:rPr>
          </w:pPr>
          <w:hyperlink w:anchor="_Toc42764252" w:history="1">
            <w:r w:rsidR="00B025EE" w:rsidRPr="00B025EE">
              <w:rPr>
                <w:rStyle w:val="Hyperlink"/>
                <w:rFonts w:asciiTheme="majorHAnsi" w:eastAsia="Calibri" w:hAnsiTheme="majorHAnsi" w:cstheme="majorHAnsi"/>
                <w:b/>
                <w:noProof/>
              </w:rPr>
              <w:t>Specialist and Consultant Physician Clinical Committee</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_Toc42764252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49</w:t>
            </w:r>
            <w:r w:rsidR="00B025EE" w:rsidRPr="00B025EE">
              <w:rPr>
                <w:rFonts w:asciiTheme="majorHAnsi" w:hAnsiTheme="majorHAnsi" w:cstheme="majorHAnsi"/>
                <w:b/>
                <w:noProof/>
                <w:webHidden/>
              </w:rPr>
              <w:fldChar w:fldCharType="end"/>
            </w:r>
          </w:hyperlink>
        </w:p>
        <w:p w14:paraId="6D29497C" w14:textId="1DB03B13" w:rsidR="00B025EE" w:rsidRPr="00B025EE" w:rsidRDefault="00EA585B">
          <w:pPr>
            <w:pStyle w:val="TOC1"/>
            <w:rPr>
              <w:rFonts w:asciiTheme="majorHAnsi" w:eastAsiaTheme="minorEastAsia" w:hAnsiTheme="majorHAnsi" w:cstheme="majorHAnsi"/>
              <w:b/>
              <w:noProof/>
              <w:lang w:val="en-AU"/>
            </w:rPr>
          </w:pPr>
          <w:hyperlink w:anchor="_Toc42764253" w:history="1">
            <w:r w:rsidR="00B025EE" w:rsidRPr="00B025EE">
              <w:rPr>
                <w:rStyle w:val="Hyperlink"/>
                <w:rFonts w:asciiTheme="majorHAnsi" w:eastAsia="Calibri" w:hAnsiTheme="majorHAnsi" w:cstheme="majorHAnsi"/>
                <w:b/>
                <w:noProof/>
              </w:rPr>
              <w:t>Wound Management Working Group</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_Toc42764253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57</w:t>
            </w:r>
            <w:r w:rsidR="00B025EE" w:rsidRPr="00B025EE">
              <w:rPr>
                <w:rFonts w:asciiTheme="majorHAnsi" w:hAnsiTheme="majorHAnsi" w:cstheme="majorHAnsi"/>
                <w:b/>
                <w:noProof/>
                <w:webHidden/>
              </w:rPr>
              <w:fldChar w:fldCharType="end"/>
            </w:r>
          </w:hyperlink>
        </w:p>
        <w:p w14:paraId="63F5196C" w14:textId="2A7B4816" w:rsidR="00B025EE" w:rsidRPr="00B025EE" w:rsidRDefault="00EA585B">
          <w:pPr>
            <w:pStyle w:val="TOC1"/>
            <w:rPr>
              <w:rFonts w:asciiTheme="majorHAnsi" w:eastAsiaTheme="minorEastAsia" w:hAnsiTheme="majorHAnsi" w:cstheme="majorHAnsi"/>
              <w:b/>
              <w:noProof/>
              <w:lang w:val="en-AU"/>
            </w:rPr>
          </w:pPr>
          <w:hyperlink w:anchor="_Toc42764254" w:history="1">
            <w:r w:rsidR="00B025EE" w:rsidRPr="00B025EE">
              <w:rPr>
                <w:rStyle w:val="Hyperlink"/>
                <w:rFonts w:asciiTheme="majorHAnsi" w:eastAsia="Calibri" w:hAnsiTheme="majorHAnsi" w:cstheme="majorHAnsi"/>
                <w:b/>
                <w:noProof/>
              </w:rPr>
              <w:t>Appendix A: Recommendations already endorsed</w:t>
            </w:r>
            <w:r w:rsidR="00B025EE" w:rsidRPr="00B025EE">
              <w:rPr>
                <w:rFonts w:asciiTheme="majorHAnsi" w:hAnsiTheme="majorHAnsi" w:cstheme="majorHAnsi"/>
                <w:b/>
                <w:noProof/>
                <w:webHidden/>
              </w:rPr>
              <w:tab/>
            </w:r>
            <w:r w:rsidR="00B025EE" w:rsidRPr="00B025EE">
              <w:rPr>
                <w:rFonts w:asciiTheme="majorHAnsi" w:hAnsiTheme="majorHAnsi" w:cstheme="majorHAnsi"/>
                <w:b/>
                <w:noProof/>
                <w:webHidden/>
              </w:rPr>
              <w:fldChar w:fldCharType="begin"/>
            </w:r>
            <w:r w:rsidR="00B025EE" w:rsidRPr="00B025EE">
              <w:rPr>
                <w:rFonts w:asciiTheme="majorHAnsi" w:hAnsiTheme="majorHAnsi" w:cstheme="majorHAnsi"/>
                <w:b/>
                <w:noProof/>
                <w:webHidden/>
              </w:rPr>
              <w:instrText xml:space="preserve"> PAGEREF _Toc42764254 \h </w:instrText>
            </w:r>
            <w:r w:rsidR="00B025EE" w:rsidRPr="00B025EE">
              <w:rPr>
                <w:rFonts w:asciiTheme="majorHAnsi" w:hAnsiTheme="majorHAnsi" w:cstheme="majorHAnsi"/>
                <w:b/>
                <w:noProof/>
                <w:webHidden/>
              </w:rPr>
            </w:r>
            <w:r w:rsidR="00B025EE" w:rsidRPr="00B025EE">
              <w:rPr>
                <w:rFonts w:asciiTheme="majorHAnsi" w:hAnsiTheme="majorHAnsi" w:cstheme="majorHAnsi"/>
                <w:b/>
                <w:noProof/>
                <w:webHidden/>
              </w:rPr>
              <w:fldChar w:fldCharType="separate"/>
            </w:r>
            <w:r w:rsidR="00B025EE" w:rsidRPr="00B025EE">
              <w:rPr>
                <w:rFonts w:asciiTheme="majorHAnsi" w:hAnsiTheme="majorHAnsi" w:cstheme="majorHAnsi"/>
                <w:b/>
                <w:noProof/>
                <w:webHidden/>
              </w:rPr>
              <w:t>59</w:t>
            </w:r>
            <w:r w:rsidR="00B025EE" w:rsidRPr="00B025EE">
              <w:rPr>
                <w:rFonts w:asciiTheme="majorHAnsi" w:hAnsiTheme="majorHAnsi" w:cstheme="majorHAnsi"/>
                <w:b/>
                <w:noProof/>
                <w:webHidden/>
              </w:rPr>
              <w:fldChar w:fldCharType="end"/>
            </w:r>
          </w:hyperlink>
        </w:p>
        <w:p w14:paraId="4CDD3C58" w14:textId="6EEC955E" w:rsidR="00B025EE" w:rsidRPr="00B025EE" w:rsidRDefault="00EA585B">
          <w:pPr>
            <w:pStyle w:val="TOC3"/>
            <w:rPr>
              <w:rFonts w:asciiTheme="majorHAnsi" w:eastAsiaTheme="minorEastAsia" w:hAnsiTheme="majorHAnsi" w:cstheme="majorHAnsi"/>
              <w:lang w:val="en-AU"/>
            </w:rPr>
          </w:pPr>
          <w:hyperlink w:anchor="_Toc42764255" w:history="1">
            <w:r w:rsidR="00B025EE" w:rsidRPr="00B025EE">
              <w:rPr>
                <w:rStyle w:val="Hyperlink"/>
                <w:rFonts w:asciiTheme="majorHAnsi" w:hAnsiTheme="majorHAnsi" w:cstheme="majorHAnsi"/>
              </w:rPr>
              <w:t>Eating Disorders</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_Toc42764255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59</w:t>
            </w:r>
            <w:r w:rsidR="00B025EE" w:rsidRPr="00B025EE">
              <w:rPr>
                <w:rFonts w:asciiTheme="majorHAnsi" w:hAnsiTheme="majorHAnsi" w:cstheme="majorHAnsi"/>
                <w:webHidden/>
              </w:rPr>
              <w:fldChar w:fldCharType="end"/>
            </w:r>
          </w:hyperlink>
        </w:p>
        <w:p w14:paraId="5E60DC53" w14:textId="4B8E0D6E" w:rsidR="00B025EE" w:rsidRDefault="00EA585B">
          <w:pPr>
            <w:pStyle w:val="TOC3"/>
            <w:rPr>
              <w:rFonts w:asciiTheme="minorHAnsi" w:eastAsiaTheme="minorEastAsia" w:hAnsiTheme="minorHAnsi" w:cstheme="minorBidi"/>
              <w:b w:val="0"/>
              <w:lang w:val="en-AU"/>
            </w:rPr>
          </w:pPr>
          <w:hyperlink w:anchor="_Toc42764256" w:history="1">
            <w:r w:rsidR="00B025EE" w:rsidRPr="00B025EE">
              <w:rPr>
                <w:rStyle w:val="Hyperlink"/>
                <w:rFonts w:asciiTheme="majorHAnsi" w:hAnsiTheme="majorHAnsi" w:cstheme="majorHAnsi"/>
              </w:rPr>
              <w:t>Gynaecology</w:t>
            </w:r>
            <w:r w:rsidR="00B025EE" w:rsidRPr="00B025EE">
              <w:rPr>
                <w:rFonts w:asciiTheme="majorHAnsi" w:hAnsiTheme="majorHAnsi" w:cstheme="majorHAnsi"/>
                <w:webHidden/>
              </w:rPr>
              <w:tab/>
            </w:r>
            <w:r w:rsidR="00B025EE" w:rsidRPr="00B025EE">
              <w:rPr>
                <w:rFonts w:asciiTheme="majorHAnsi" w:hAnsiTheme="majorHAnsi" w:cstheme="majorHAnsi"/>
                <w:webHidden/>
              </w:rPr>
              <w:fldChar w:fldCharType="begin"/>
            </w:r>
            <w:r w:rsidR="00B025EE" w:rsidRPr="00B025EE">
              <w:rPr>
                <w:rFonts w:asciiTheme="majorHAnsi" w:hAnsiTheme="majorHAnsi" w:cstheme="majorHAnsi"/>
                <w:webHidden/>
              </w:rPr>
              <w:instrText xml:space="preserve"> PAGEREF _Toc42764256 \h </w:instrText>
            </w:r>
            <w:r w:rsidR="00B025EE" w:rsidRPr="00B025EE">
              <w:rPr>
                <w:rFonts w:asciiTheme="majorHAnsi" w:hAnsiTheme="majorHAnsi" w:cstheme="majorHAnsi"/>
                <w:webHidden/>
              </w:rPr>
            </w:r>
            <w:r w:rsidR="00B025EE" w:rsidRPr="00B025EE">
              <w:rPr>
                <w:rFonts w:asciiTheme="majorHAnsi" w:hAnsiTheme="majorHAnsi" w:cstheme="majorHAnsi"/>
                <w:webHidden/>
              </w:rPr>
              <w:fldChar w:fldCharType="separate"/>
            </w:r>
            <w:r w:rsidR="00B025EE" w:rsidRPr="00B025EE">
              <w:rPr>
                <w:rFonts w:asciiTheme="majorHAnsi" w:hAnsiTheme="majorHAnsi" w:cstheme="majorHAnsi"/>
                <w:webHidden/>
              </w:rPr>
              <w:t>60</w:t>
            </w:r>
            <w:r w:rsidR="00B025EE" w:rsidRPr="00B025EE">
              <w:rPr>
                <w:rFonts w:asciiTheme="majorHAnsi" w:hAnsiTheme="majorHAnsi" w:cstheme="majorHAnsi"/>
                <w:webHidden/>
              </w:rPr>
              <w:fldChar w:fldCharType="end"/>
            </w:r>
          </w:hyperlink>
        </w:p>
        <w:p w14:paraId="45F19653" w14:textId="74FEDC98" w:rsidR="00855BDE" w:rsidRDefault="00855BDE">
          <w:r>
            <w:rPr>
              <w:b/>
              <w:bCs/>
              <w:noProof/>
            </w:rPr>
            <w:fldChar w:fldCharType="end"/>
          </w:r>
        </w:p>
      </w:sdtContent>
    </w:sdt>
    <w:p w14:paraId="4AC488AA" w14:textId="77777777" w:rsidR="005C32F2" w:rsidRDefault="005C32F2">
      <w:pPr>
        <w:rPr>
          <w:rFonts w:ascii="Calibri" w:eastAsia="Calibri" w:hAnsi="Calibri" w:cs="Calibri"/>
          <w:b/>
          <w:color w:val="01653F"/>
          <w:sz w:val="40"/>
          <w:szCs w:val="40"/>
        </w:rPr>
      </w:pPr>
      <w:r>
        <w:rPr>
          <w:rFonts w:ascii="Calibri" w:eastAsia="Calibri" w:hAnsi="Calibri" w:cs="Calibri"/>
          <w:b/>
          <w:color w:val="01653F"/>
        </w:rPr>
        <w:br w:type="page"/>
      </w:r>
    </w:p>
    <w:p w14:paraId="476F6C98" w14:textId="0AB7DDCC" w:rsidR="006D2440" w:rsidRPr="008E7FF0" w:rsidRDefault="004D7CE6" w:rsidP="00913558">
      <w:pPr>
        <w:pStyle w:val="Heading1"/>
        <w:keepLines w:val="0"/>
        <w:widowControl w:val="0"/>
        <w:pBdr>
          <w:bottom w:val="single" w:sz="16" w:space="11" w:color="BFBFBF"/>
        </w:pBdr>
        <w:spacing w:before="0" w:after="360" w:line="240" w:lineRule="auto"/>
        <w:rPr>
          <w:rFonts w:ascii="Calibri" w:eastAsia="Calibri" w:hAnsi="Calibri" w:cs="Calibri"/>
          <w:b/>
          <w:color w:val="01653F"/>
        </w:rPr>
      </w:pPr>
      <w:bookmarkStart w:id="1" w:name="_Toc42764220"/>
      <w:r w:rsidRPr="57D0558D">
        <w:rPr>
          <w:rFonts w:ascii="Calibri" w:eastAsia="Calibri" w:hAnsi="Calibri" w:cs="Calibri"/>
          <w:b/>
          <w:bCs/>
          <w:color w:val="01653F"/>
        </w:rPr>
        <w:lastRenderedPageBreak/>
        <w:t>Introduction</w:t>
      </w:r>
      <w:bookmarkEnd w:id="1"/>
    </w:p>
    <w:p w14:paraId="18A5E6F3" w14:textId="77777777" w:rsidR="006D2440" w:rsidRPr="00ED6171" w:rsidRDefault="004D7CE6" w:rsidP="00B50FA1">
      <w:pPr>
        <w:spacing w:after="120" w:line="240" w:lineRule="auto"/>
        <w:rPr>
          <w:rFonts w:ascii="Calibri" w:eastAsia="Calibri" w:hAnsi="Calibri" w:cs="Calibri"/>
          <w:sz w:val="24"/>
          <w:szCs w:val="24"/>
        </w:rPr>
      </w:pPr>
      <w:r w:rsidRPr="00ED6171">
        <w:rPr>
          <w:rFonts w:ascii="Calibri" w:eastAsia="Calibri" w:hAnsi="Calibri" w:cs="Calibri"/>
          <w:sz w:val="24"/>
          <w:szCs w:val="24"/>
        </w:rPr>
        <w:t>The Medicare Benefits Schedule (MBS) Review Taskforce (the Taskforce) is reviewing how more than 5,700 Items on the MBS can be aligned with contemporary clinical evidence and practice and improve health outcomes for patients. The Taskforce also seeks to identify any services that may be unnecessary, outdated or potentially unsafe.</w:t>
      </w:r>
    </w:p>
    <w:p w14:paraId="6D0AD240" w14:textId="77777777" w:rsidR="005C32F2" w:rsidRPr="00A87E1A" w:rsidRDefault="005C32F2" w:rsidP="005C32F2">
      <w:pPr>
        <w:pStyle w:val="Style2"/>
      </w:pPr>
      <w:bookmarkStart w:id="2" w:name="_Toc42764221"/>
      <w:r w:rsidRPr="00A87E1A">
        <w:t>MBS Review Taskforce approach</w:t>
      </w:r>
      <w:bookmarkEnd w:id="2"/>
      <w:r w:rsidRPr="00A87E1A">
        <w:t xml:space="preserve"> </w:t>
      </w:r>
    </w:p>
    <w:p w14:paraId="5330C461" w14:textId="77777777" w:rsidR="005C32F2" w:rsidRPr="00ED6171" w:rsidRDefault="005C32F2" w:rsidP="00B50FA1">
      <w:pPr>
        <w:spacing w:after="120" w:line="240" w:lineRule="auto"/>
        <w:rPr>
          <w:rFonts w:ascii="Calibri" w:eastAsia="Calibri" w:hAnsi="Calibri" w:cs="Calibri"/>
          <w:sz w:val="24"/>
          <w:szCs w:val="24"/>
        </w:rPr>
      </w:pPr>
      <w:r w:rsidRPr="00ED6171">
        <w:rPr>
          <w:rFonts w:ascii="Calibri" w:eastAsia="Calibri" w:hAnsi="Calibri" w:cs="Calibri"/>
          <w:sz w:val="24"/>
          <w:szCs w:val="24"/>
        </w:rPr>
        <w:t>The Taskforce is committed to providing recommendations to the Minister that will allow the MBS to deliver on each of these four key goals:</w:t>
      </w:r>
    </w:p>
    <w:p w14:paraId="10EAA312" w14:textId="77777777" w:rsidR="005C32F2" w:rsidRPr="00ED6171" w:rsidRDefault="005C32F2" w:rsidP="00B50FA1">
      <w:pPr>
        <w:numPr>
          <w:ilvl w:val="0"/>
          <w:numId w:val="35"/>
        </w:numPr>
        <w:spacing w:after="120" w:line="240" w:lineRule="auto"/>
        <w:rPr>
          <w:rFonts w:ascii="Calibri" w:eastAsia="Calibri" w:hAnsi="Calibri" w:cs="Calibri"/>
          <w:sz w:val="24"/>
          <w:szCs w:val="24"/>
        </w:rPr>
      </w:pPr>
      <w:r w:rsidRPr="00ED6171">
        <w:rPr>
          <w:rFonts w:ascii="Calibri" w:eastAsia="Calibri" w:hAnsi="Calibri" w:cs="Calibri"/>
          <w:b/>
          <w:sz w:val="24"/>
          <w:szCs w:val="24"/>
        </w:rPr>
        <w:t>Affordable and universal access</w:t>
      </w:r>
      <w:r w:rsidRPr="00ED6171">
        <w:rPr>
          <w:rFonts w:ascii="Calibri" w:eastAsia="Calibri" w:hAnsi="Calibri" w:cs="Calibri"/>
          <w:sz w:val="24"/>
          <w:szCs w:val="24"/>
        </w:rPr>
        <w:t>—the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being particularly under-serviced.</w:t>
      </w:r>
    </w:p>
    <w:p w14:paraId="147E9740" w14:textId="77777777" w:rsidR="005C32F2" w:rsidRPr="00ED6171" w:rsidRDefault="005C32F2" w:rsidP="00B50FA1">
      <w:pPr>
        <w:numPr>
          <w:ilvl w:val="0"/>
          <w:numId w:val="35"/>
        </w:numPr>
        <w:spacing w:after="120" w:line="240" w:lineRule="auto"/>
        <w:rPr>
          <w:rFonts w:ascii="Calibri" w:eastAsia="Calibri" w:hAnsi="Calibri" w:cs="Calibri"/>
          <w:sz w:val="24"/>
          <w:szCs w:val="24"/>
        </w:rPr>
      </w:pPr>
      <w:r w:rsidRPr="00ED6171">
        <w:rPr>
          <w:rFonts w:ascii="Calibri" w:eastAsia="Calibri" w:hAnsi="Calibri" w:cs="Calibri"/>
          <w:b/>
          <w:sz w:val="24"/>
          <w:szCs w:val="24"/>
        </w:rPr>
        <w:t>Best practice health services</w:t>
      </w:r>
      <w:r w:rsidRPr="00ED6171">
        <w:rPr>
          <w:rFonts w:ascii="Calibri" w:eastAsia="Calibri" w:hAnsi="Calibri" w:cs="Calibri"/>
          <w:sz w:val="24"/>
          <w:szCs w:val="24"/>
        </w:rPr>
        <w:t xml:space="preserve">—one of the core objectives of the Review is to </w:t>
      </w:r>
      <w:proofErr w:type="spellStart"/>
      <w:r w:rsidRPr="00ED6171">
        <w:rPr>
          <w:rFonts w:ascii="Calibri" w:eastAsia="Calibri" w:hAnsi="Calibri" w:cs="Calibri"/>
          <w:sz w:val="24"/>
          <w:szCs w:val="24"/>
        </w:rPr>
        <w:t>modernise</w:t>
      </w:r>
      <w:proofErr w:type="spellEnd"/>
      <w:r w:rsidRPr="00ED6171">
        <w:rPr>
          <w:rFonts w:ascii="Calibri" w:eastAsia="Calibri" w:hAnsi="Calibri" w:cs="Calibri"/>
          <w:sz w:val="24"/>
          <w:szCs w:val="24"/>
        </w:rPr>
        <w:t xml:space="preserve"> the MBS, ensuring that individual Items and their descriptors are consistent with contemporary best practice and the evidence base when possible. Although the Medical Services Advisory Taskforce (MSAC) plays a crucial role in thoroughly evaluating new services, the vast majority of existing MBS Items pre-date this process and have never been reviewed.</w:t>
      </w:r>
    </w:p>
    <w:p w14:paraId="577D1E15" w14:textId="30FF327E" w:rsidR="005C32F2" w:rsidRPr="00ED6171" w:rsidRDefault="0BB1454A" w:rsidP="00B50FA1">
      <w:pPr>
        <w:numPr>
          <w:ilvl w:val="0"/>
          <w:numId w:val="35"/>
        </w:numPr>
        <w:spacing w:after="120" w:line="240" w:lineRule="auto"/>
        <w:rPr>
          <w:rFonts w:ascii="Calibri" w:eastAsia="Calibri" w:hAnsi="Calibri" w:cs="Calibri"/>
          <w:color w:val="000000"/>
          <w:sz w:val="24"/>
          <w:szCs w:val="24"/>
        </w:rPr>
      </w:pPr>
      <w:r w:rsidRPr="2913B4AA">
        <w:rPr>
          <w:rFonts w:ascii="Calibri" w:eastAsia="Calibri" w:hAnsi="Calibri" w:cs="Calibri"/>
          <w:b/>
          <w:bCs/>
          <w:sz w:val="24"/>
          <w:szCs w:val="24"/>
        </w:rPr>
        <w:t>Value for the individual patient—</w:t>
      </w:r>
      <w:r w:rsidRPr="2913B4AA">
        <w:rPr>
          <w:rFonts w:ascii="Calibri" w:eastAsia="Calibri" w:hAnsi="Calibri" w:cs="Calibri"/>
          <w:sz w:val="24"/>
          <w:szCs w:val="24"/>
        </w:rPr>
        <w:t>another core objective of the Review is to have an MBS that supports the delivery of services that are appropriate to the patient’s needs</w:t>
      </w:r>
      <w:r w:rsidR="206754B6" w:rsidRPr="2913B4AA">
        <w:rPr>
          <w:rFonts w:ascii="Calibri" w:eastAsia="Calibri" w:hAnsi="Calibri" w:cs="Calibri"/>
          <w:sz w:val="24"/>
          <w:szCs w:val="24"/>
        </w:rPr>
        <w:t xml:space="preserve"> and preferences</w:t>
      </w:r>
      <w:r w:rsidRPr="2913B4AA">
        <w:rPr>
          <w:rFonts w:ascii="Calibri" w:eastAsia="Calibri" w:hAnsi="Calibri" w:cs="Calibri"/>
          <w:sz w:val="24"/>
          <w:szCs w:val="24"/>
        </w:rPr>
        <w:t>, provide real clinical value and do not expose the patient to unnecessary risk or expense.</w:t>
      </w:r>
    </w:p>
    <w:p w14:paraId="75F7EF6E" w14:textId="77777777" w:rsidR="005C32F2" w:rsidRPr="00ED6171" w:rsidRDefault="005C32F2" w:rsidP="00B50FA1">
      <w:pPr>
        <w:numPr>
          <w:ilvl w:val="0"/>
          <w:numId w:val="35"/>
        </w:numPr>
        <w:spacing w:after="120" w:line="240" w:lineRule="auto"/>
        <w:rPr>
          <w:rFonts w:ascii="Calibri" w:eastAsia="Calibri" w:hAnsi="Calibri" w:cs="Calibri"/>
          <w:sz w:val="24"/>
          <w:szCs w:val="24"/>
        </w:rPr>
      </w:pPr>
      <w:r w:rsidRPr="00ED6171">
        <w:rPr>
          <w:rFonts w:ascii="Calibri" w:eastAsia="Calibri" w:hAnsi="Calibri" w:cs="Calibri"/>
          <w:b/>
          <w:sz w:val="24"/>
          <w:szCs w:val="24"/>
        </w:rPr>
        <w:t>Value for the health system</w:t>
      </w:r>
      <w:r w:rsidRPr="00ED6171">
        <w:rPr>
          <w:rFonts w:ascii="Calibri" w:eastAsia="Calibri" w:hAnsi="Calibri" w:cs="Calibri"/>
          <w:sz w:val="24"/>
          <w:szCs w:val="24"/>
        </w:rPr>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1B1FEEA4" w14:textId="77777777" w:rsidR="006D2440" w:rsidRPr="00ED6171" w:rsidRDefault="004D7CE6" w:rsidP="00B50FA1">
      <w:pPr>
        <w:spacing w:after="120" w:line="240" w:lineRule="auto"/>
        <w:rPr>
          <w:rFonts w:ascii="Calibri" w:eastAsia="Calibri" w:hAnsi="Calibri" w:cs="Calibri"/>
          <w:sz w:val="24"/>
          <w:szCs w:val="24"/>
        </w:rPr>
      </w:pPr>
      <w:r w:rsidRPr="00ED6171">
        <w:rPr>
          <w:rFonts w:ascii="Calibri" w:eastAsia="Calibri" w:hAnsi="Calibri" w:cs="Calibri"/>
          <w:sz w:val="24"/>
          <w:szCs w:val="24"/>
        </w:rPr>
        <w:t>The Taskforce endorses a methodology whereby the necessary clinical review of MBS Items is undertaken by clinical committees and working groups.</w:t>
      </w:r>
    </w:p>
    <w:p w14:paraId="11A04331" w14:textId="77777777" w:rsidR="005B32E1" w:rsidRPr="00ED6171" w:rsidRDefault="005B32E1" w:rsidP="005B32E1">
      <w:pPr>
        <w:pStyle w:val="Heading6"/>
        <w:rPr>
          <w:rFonts w:ascii="Calibri" w:eastAsia="Calibri" w:hAnsi="Calibri" w:cs="Calibri"/>
          <w:b/>
          <w:i w:val="0"/>
          <w:color w:val="auto"/>
          <w:sz w:val="24"/>
          <w:szCs w:val="24"/>
        </w:rPr>
      </w:pPr>
      <w:bookmarkStart w:id="3" w:name="_Toc40806764"/>
      <w:r w:rsidRPr="00ED6171">
        <w:rPr>
          <w:rFonts w:ascii="Calibri" w:eastAsia="Calibri" w:hAnsi="Calibri" w:cs="Calibri"/>
          <w:b/>
          <w:i w:val="0"/>
          <w:color w:val="auto"/>
          <w:sz w:val="24"/>
          <w:szCs w:val="24"/>
        </w:rPr>
        <w:t>Medical Services Advisory Committee (MSAC)</w:t>
      </w:r>
      <w:bookmarkEnd w:id="3"/>
    </w:p>
    <w:p w14:paraId="4C3E6A98" w14:textId="6CDB7346" w:rsidR="005B32E1" w:rsidRPr="00ED6171" w:rsidRDefault="005B32E1" w:rsidP="00B50FA1">
      <w:pPr>
        <w:spacing w:after="120" w:line="240" w:lineRule="auto"/>
        <w:rPr>
          <w:rFonts w:ascii="Calibri" w:eastAsia="Calibri" w:hAnsi="Calibri" w:cs="Calibri"/>
          <w:sz w:val="24"/>
          <w:szCs w:val="24"/>
        </w:rPr>
      </w:pPr>
      <w:r w:rsidRPr="00ED6171">
        <w:rPr>
          <w:rFonts w:ascii="Calibri" w:eastAsia="Calibri" w:hAnsi="Calibri" w:cs="Calibri"/>
          <w:sz w:val="24"/>
          <w:szCs w:val="24"/>
        </w:rPr>
        <w:t xml:space="preserve">The Taskforce also agrees that some recommendations from the groups were better placed for submission to MSAC than for consideration through the MBS Review process, noting the Taskforce does not have </w:t>
      </w:r>
      <w:r w:rsidR="00EE20D3">
        <w:rPr>
          <w:rFonts w:ascii="Calibri" w:eastAsia="Calibri" w:hAnsi="Calibri" w:cs="Calibri"/>
          <w:sz w:val="24"/>
          <w:szCs w:val="24"/>
        </w:rPr>
        <w:t xml:space="preserve">the </w:t>
      </w:r>
      <w:r w:rsidRPr="00ED6171">
        <w:rPr>
          <w:rFonts w:ascii="Calibri" w:eastAsia="Calibri" w:hAnsi="Calibri" w:cs="Calibri"/>
          <w:sz w:val="24"/>
          <w:szCs w:val="24"/>
        </w:rPr>
        <w:t xml:space="preserve">power to change professional group access to existing MBS Items. </w:t>
      </w:r>
    </w:p>
    <w:p w14:paraId="118C211D" w14:textId="77777777" w:rsidR="005B32E1" w:rsidRPr="00ED6171" w:rsidRDefault="005B32E1" w:rsidP="00B50FA1">
      <w:pPr>
        <w:spacing w:after="120" w:line="240" w:lineRule="auto"/>
        <w:rPr>
          <w:rFonts w:ascii="Calibri" w:eastAsia="Calibri" w:hAnsi="Calibri" w:cs="Calibri"/>
          <w:sz w:val="24"/>
          <w:szCs w:val="24"/>
        </w:rPr>
      </w:pPr>
      <w:r w:rsidRPr="00ED6171">
        <w:rPr>
          <w:rFonts w:ascii="Calibri" w:eastAsia="Calibri" w:hAnsi="Calibri" w:cs="Calibri"/>
          <w:sz w:val="24"/>
          <w:szCs w:val="24"/>
        </w:rPr>
        <w:t xml:space="preserve">MSAC appraises amendments and reviews of existing services funded on the MBS or other programs (for example, blood products or screening programs) on an assessment of comparative safety, clinical effectiveness, cost-effectiveness, and total cost, using the best available evidence. </w:t>
      </w:r>
    </w:p>
    <w:p w14:paraId="04AC93E0" w14:textId="09D6A9B0" w:rsidR="00B623DE" w:rsidRDefault="00B623DE" w:rsidP="008E7FF0">
      <w:pPr>
        <w:pStyle w:val="Style2"/>
      </w:pPr>
      <w:bookmarkStart w:id="4" w:name="_Toc42764222"/>
      <w:r>
        <w:lastRenderedPageBreak/>
        <w:t>The Telehealth Working Group</w:t>
      </w:r>
      <w:bookmarkEnd w:id="4"/>
    </w:p>
    <w:p w14:paraId="3273D17B" w14:textId="38085141" w:rsidR="00EE20D3" w:rsidRDefault="004D7CE6" w:rsidP="00B50FA1">
      <w:p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 xml:space="preserve">Over the course of the MBS Review thirteen clinical committees and working groups made twenty-one recommendations relating to MBS telehealth items. </w:t>
      </w:r>
    </w:p>
    <w:p w14:paraId="4D7EDAFB" w14:textId="475FE759" w:rsidR="006D2440" w:rsidRPr="00ED6171" w:rsidRDefault="004D7CE6" w:rsidP="6EE85499">
      <w:pPr>
        <w:spacing w:after="120" w:line="240" w:lineRule="auto"/>
        <w:rPr>
          <w:rFonts w:asciiTheme="majorHAnsi" w:eastAsia="Calibri" w:hAnsiTheme="majorHAnsi" w:cs="Calibri"/>
          <w:sz w:val="24"/>
          <w:szCs w:val="24"/>
        </w:rPr>
      </w:pPr>
      <w:r w:rsidRPr="6EE85499">
        <w:rPr>
          <w:rFonts w:asciiTheme="majorHAnsi" w:eastAsia="Calibri" w:hAnsiTheme="majorHAnsi" w:cs="Calibri"/>
          <w:sz w:val="24"/>
          <w:szCs w:val="24"/>
        </w:rPr>
        <w:t>Given the cross-cutting nature of MBS telehealth</w:t>
      </w:r>
      <w:r w:rsidR="009358A7" w:rsidRPr="6EE85499">
        <w:rPr>
          <w:rFonts w:asciiTheme="majorHAnsi" w:eastAsia="Calibri" w:hAnsiTheme="majorHAnsi" w:cs="Calibri"/>
          <w:sz w:val="24"/>
          <w:szCs w:val="24"/>
        </w:rPr>
        <w:t xml:space="preserve"> and the recommendations</w:t>
      </w:r>
      <w:r w:rsidR="003C789F" w:rsidRPr="6EE85499">
        <w:rPr>
          <w:rFonts w:asciiTheme="majorHAnsi" w:eastAsia="Calibri" w:hAnsiTheme="majorHAnsi" w:cs="Calibri"/>
          <w:sz w:val="24"/>
          <w:szCs w:val="24"/>
        </w:rPr>
        <w:t xml:space="preserve">, </w:t>
      </w:r>
      <w:r w:rsidRPr="6EE85499">
        <w:rPr>
          <w:rFonts w:asciiTheme="majorHAnsi" w:eastAsia="Calibri" w:hAnsiTheme="majorHAnsi" w:cs="Calibri"/>
          <w:sz w:val="24"/>
          <w:szCs w:val="24"/>
        </w:rPr>
        <w:t>the Taskforce formed a</w:t>
      </w:r>
      <w:r w:rsidR="009358A7" w:rsidRPr="6EE85499">
        <w:rPr>
          <w:rFonts w:asciiTheme="majorHAnsi" w:eastAsia="Calibri" w:hAnsiTheme="majorHAnsi" w:cs="Calibri"/>
          <w:sz w:val="24"/>
          <w:szCs w:val="24"/>
        </w:rPr>
        <w:t xml:space="preserve"> </w:t>
      </w:r>
      <w:r w:rsidR="003C789F" w:rsidRPr="6EE85499">
        <w:rPr>
          <w:rFonts w:asciiTheme="majorHAnsi" w:eastAsia="Calibri" w:hAnsiTheme="majorHAnsi" w:cs="Calibri"/>
          <w:sz w:val="24"/>
          <w:szCs w:val="24"/>
        </w:rPr>
        <w:t xml:space="preserve">Telehealth Working Group (the Working Group) </w:t>
      </w:r>
      <w:r w:rsidR="00302F46" w:rsidRPr="6EE85499">
        <w:rPr>
          <w:rFonts w:asciiTheme="majorHAnsi" w:eastAsia="Calibri" w:hAnsiTheme="majorHAnsi" w:cs="Calibri"/>
          <w:sz w:val="24"/>
          <w:szCs w:val="24"/>
        </w:rPr>
        <w:t xml:space="preserve">a </w:t>
      </w:r>
      <w:r w:rsidR="009358A7" w:rsidRPr="6EE85499">
        <w:rPr>
          <w:rFonts w:asciiTheme="majorHAnsi" w:eastAsia="Calibri" w:hAnsiTheme="majorHAnsi" w:cs="Calibri"/>
          <w:sz w:val="24"/>
          <w:szCs w:val="24"/>
        </w:rPr>
        <w:t xml:space="preserve">sub-group of Taskforce members to </w:t>
      </w:r>
      <w:r w:rsidR="00EE20D3" w:rsidRPr="6EE85499">
        <w:rPr>
          <w:rFonts w:asciiTheme="majorHAnsi" w:eastAsia="Calibri" w:hAnsiTheme="majorHAnsi" w:cs="Calibri"/>
          <w:sz w:val="24"/>
          <w:szCs w:val="24"/>
        </w:rPr>
        <w:t xml:space="preserve">assess telehealth on the MBS, </w:t>
      </w:r>
      <w:r w:rsidR="00535D2D" w:rsidRPr="6EE85499">
        <w:rPr>
          <w:rFonts w:asciiTheme="majorHAnsi" w:eastAsia="Calibri" w:hAnsiTheme="majorHAnsi" w:cs="Calibri"/>
          <w:sz w:val="24"/>
          <w:szCs w:val="24"/>
        </w:rPr>
        <w:t>develop Principles</w:t>
      </w:r>
      <w:r w:rsidR="00EE20D3" w:rsidRPr="6EE85499">
        <w:rPr>
          <w:rFonts w:asciiTheme="majorHAnsi" w:eastAsia="Calibri" w:hAnsiTheme="majorHAnsi" w:cs="Calibri"/>
          <w:sz w:val="24"/>
          <w:szCs w:val="24"/>
        </w:rPr>
        <w:t xml:space="preserve">, apply the Principles to the referred recommendations and draft </w:t>
      </w:r>
      <w:r w:rsidR="00302F46" w:rsidRPr="6EE85499">
        <w:rPr>
          <w:rFonts w:asciiTheme="majorHAnsi" w:eastAsia="Calibri" w:hAnsiTheme="majorHAnsi" w:cs="Calibri"/>
          <w:sz w:val="24"/>
          <w:szCs w:val="24"/>
        </w:rPr>
        <w:t>a report</w:t>
      </w:r>
      <w:r w:rsidR="00EE20D3" w:rsidRPr="6EE85499">
        <w:rPr>
          <w:rFonts w:asciiTheme="majorHAnsi" w:eastAsia="Calibri" w:hAnsiTheme="majorHAnsi" w:cs="Calibri"/>
          <w:sz w:val="24"/>
          <w:szCs w:val="24"/>
        </w:rPr>
        <w:t xml:space="preserve"> for Taskforce’s consideration</w:t>
      </w:r>
      <w:r w:rsidR="009358A7" w:rsidRPr="6EE85499">
        <w:rPr>
          <w:rFonts w:asciiTheme="majorHAnsi" w:eastAsia="Calibri" w:hAnsiTheme="majorHAnsi" w:cs="Calibri"/>
          <w:sz w:val="24"/>
          <w:szCs w:val="24"/>
        </w:rPr>
        <w:t xml:space="preserve">. </w:t>
      </w:r>
    </w:p>
    <w:p w14:paraId="6FDF973B" w14:textId="4C21CD19" w:rsidR="008E53D7" w:rsidRPr="00ED6171" w:rsidRDefault="008E53D7" w:rsidP="0075745A">
      <w:pPr>
        <w:pStyle w:val="Style4"/>
        <w:ind w:left="0" w:firstLine="0"/>
        <w:rPr>
          <w:rFonts w:asciiTheme="majorHAnsi" w:hAnsiTheme="majorHAnsi"/>
          <w:color w:val="4F6228" w:themeColor="accent3" w:themeShade="80"/>
        </w:rPr>
      </w:pPr>
      <w:r w:rsidRPr="00ED6171">
        <w:rPr>
          <w:rFonts w:asciiTheme="majorHAnsi" w:hAnsiTheme="majorHAnsi"/>
          <w:color w:val="4F6228" w:themeColor="accent3" w:themeShade="80"/>
        </w:rPr>
        <w:t>Working Group Membership</w:t>
      </w:r>
    </w:p>
    <w:p w14:paraId="6FB9A718" w14:textId="77777777" w:rsidR="008E53D7" w:rsidRPr="00ED6171" w:rsidRDefault="008E53D7" w:rsidP="00B50FA1">
      <w:pPr>
        <w:spacing w:line="240" w:lineRule="auto"/>
        <w:rPr>
          <w:rFonts w:asciiTheme="majorHAnsi" w:eastAsia="Calibri" w:hAnsiTheme="majorHAnsi" w:cs="Calibri"/>
          <w:sz w:val="24"/>
          <w:szCs w:val="24"/>
        </w:rPr>
      </w:pPr>
      <w:r w:rsidRPr="00ED6171">
        <w:rPr>
          <w:rFonts w:asciiTheme="majorHAnsi" w:eastAsia="Calibri" w:hAnsiTheme="majorHAnsi" w:cs="Calibri"/>
          <w:sz w:val="24"/>
          <w:szCs w:val="24"/>
        </w:rPr>
        <w:t>Prof. Steve Hambleton (Chair)</w:t>
      </w:r>
    </w:p>
    <w:p w14:paraId="404C3CE1" w14:textId="77777777" w:rsidR="008E53D7" w:rsidRPr="00ED6171" w:rsidRDefault="008E53D7" w:rsidP="00B50FA1">
      <w:pPr>
        <w:spacing w:line="240" w:lineRule="auto"/>
        <w:rPr>
          <w:rFonts w:asciiTheme="majorHAnsi" w:eastAsia="Calibri" w:hAnsiTheme="majorHAnsi" w:cs="Calibri"/>
          <w:sz w:val="24"/>
          <w:szCs w:val="24"/>
        </w:rPr>
      </w:pPr>
      <w:r w:rsidRPr="00ED6171">
        <w:rPr>
          <w:rFonts w:asciiTheme="majorHAnsi" w:eastAsia="Calibri" w:hAnsiTheme="majorHAnsi" w:cs="Calibri"/>
          <w:sz w:val="24"/>
          <w:szCs w:val="24"/>
        </w:rPr>
        <w:t xml:space="preserve">Dr Tammy </w:t>
      </w:r>
      <w:proofErr w:type="spellStart"/>
      <w:r w:rsidRPr="00ED6171">
        <w:rPr>
          <w:rFonts w:asciiTheme="majorHAnsi" w:eastAsia="Calibri" w:hAnsiTheme="majorHAnsi" w:cs="Calibri"/>
          <w:sz w:val="24"/>
          <w:szCs w:val="24"/>
        </w:rPr>
        <w:t>Kimpton</w:t>
      </w:r>
      <w:proofErr w:type="spellEnd"/>
    </w:p>
    <w:p w14:paraId="47C852A3" w14:textId="77777777" w:rsidR="008E53D7" w:rsidRPr="00ED6171" w:rsidRDefault="008E53D7" w:rsidP="00B50FA1">
      <w:pPr>
        <w:spacing w:line="240" w:lineRule="auto"/>
        <w:rPr>
          <w:rFonts w:asciiTheme="majorHAnsi" w:eastAsia="Calibri" w:hAnsiTheme="majorHAnsi" w:cs="Calibri"/>
          <w:sz w:val="24"/>
          <w:szCs w:val="24"/>
        </w:rPr>
      </w:pPr>
      <w:r w:rsidRPr="00ED6171">
        <w:rPr>
          <w:rFonts w:asciiTheme="majorHAnsi" w:eastAsia="Calibri" w:hAnsiTheme="majorHAnsi" w:cs="Calibri"/>
          <w:sz w:val="24"/>
          <w:szCs w:val="24"/>
        </w:rPr>
        <w:t>Rebecca James (Consumer Representative)</w:t>
      </w:r>
    </w:p>
    <w:p w14:paraId="6B171B51" w14:textId="77777777" w:rsidR="008E53D7" w:rsidRPr="00ED6171" w:rsidRDefault="008E53D7" w:rsidP="00B50FA1">
      <w:pPr>
        <w:spacing w:line="240" w:lineRule="auto"/>
        <w:rPr>
          <w:rFonts w:asciiTheme="majorHAnsi" w:eastAsia="Calibri" w:hAnsiTheme="majorHAnsi" w:cs="Calibri"/>
          <w:sz w:val="24"/>
          <w:szCs w:val="24"/>
        </w:rPr>
      </w:pPr>
      <w:r w:rsidRPr="00ED6171">
        <w:rPr>
          <w:rFonts w:asciiTheme="majorHAnsi" w:eastAsia="Calibri" w:hAnsiTheme="majorHAnsi" w:cs="Calibri"/>
          <w:sz w:val="24"/>
          <w:szCs w:val="24"/>
        </w:rPr>
        <w:t>Dr Matthew McConnell</w:t>
      </w:r>
    </w:p>
    <w:p w14:paraId="707FE60A" w14:textId="53153461" w:rsidR="008E53D7" w:rsidRPr="00ED6171" w:rsidRDefault="092C529F" w:rsidP="4BEBAC59">
      <w:pPr>
        <w:spacing w:line="240" w:lineRule="auto"/>
        <w:rPr>
          <w:rFonts w:asciiTheme="majorHAnsi" w:eastAsia="Calibri" w:hAnsiTheme="majorHAnsi" w:cs="Calibri"/>
          <w:sz w:val="24"/>
          <w:szCs w:val="24"/>
        </w:rPr>
      </w:pPr>
      <w:r w:rsidRPr="2913B4AA">
        <w:rPr>
          <w:rFonts w:asciiTheme="majorHAnsi" w:eastAsia="Calibri" w:hAnsiTheme="majorHAnsi" w:cs="Calibri"/>
          <w:sz w:val="24"/>
          <w:szCs w:val="24"/>
        </w:rPr>
        <w:t>Dr Jo</w:t>
      </w:r>
      <w:r w:rsidR="0211C8C9" w:rsidRPr="2913B4AA">
        <w:rPr>
          <w:rFonts w:asciiTheme="majorHAnsi" w:eastAsia="Calibri" w:hAnsiTheme="majorHAnsi" w:cs="Calibri"/>
          <w:sz w:val="24"/>
          <w:szCs w:val="24"/>
        </w:rPr>
        <w:t>anna</w:t>
      </w:r>
      <w:r w:rsidRPr="2913B4AA">
        <w:rPr>
          <w:rFonts w:asciiTheme="majorHAnsi" w:eastAsia="Calibri" w:hAnsiTheme="majorHAnsi" w:cs="Calibri"/>
          <w:sz w:val="24"/>
          <w:szCs w:val="24"/>
        </w:rPr>
        <w:t xml:space="preserve"> Sutherland </w:t>
      </w:r>
    </w:p>
    <w:p w14:paraId="75A8F1F5" w14:textId="77777777" w:rsidR="008E53D7" w:rsidRPr="00ED6171" w:rsidRDefault="008E53D7" w:rsidP="00B50FA1">
      <w:pPr>
        <w:spacing w:line="240" w:lineRule="auto"/>
        <w:rPr>
          <w:rFonts w:asciiTheme="majorHAnsi" w:eastAsia="Calibri" w:hAnsiTheme="majorHAnsi" w:cs="Calibri"/>
          <w:sz w:val="24"/>
          <w:szCs w:val="24"/>
        </w:rPr>
      </w:pPr>
      <w:r w:rsidRPr="00ED6171">
        <w:rPr>
          <w:rFonts w:asciiTheme="majorHAnsi" w:eastAsia="Calibri" w:hAnsiTheme="majorHAnsi" w:cs="Calibri"/>
          <w:sz w:val="24"/>
          <w:szCs w:val="24"/>
        </w:rPr>
        <w:t>Prof Michael Grigg</w:t>
      </w:r>
    </w:p>
    <w:p w14:paraId="6D574C99" w14:textId="77777777" w:rsidR="008E53D7" w:rsidRPr="00ED6171" w:rsidRDefault="008E53D7" w:rsidP="0075745A">
      <w:pPr>
        <w:pStyle w:val="Style4"/>
        <w:ind w:left="0" w:firstLine="0"/>
        <w:rPr>
          <w:rFonts w:asciiTheme="majorHAnsi" w:hAnsiTheme="majorHAnsi"/>
          <w:color w:val="4F6228" w:themeColor="accent3" w:themeShade="80"/>
        </w:rPr>
      </w:pPr>
      <w:r w:rsidRPr="00ED6171">
        <w:rPr>
          <w:rFonts w:asciiTheme="majorHAnsi" w:hAnsiTheme="majorHAnsi"/>
          <w:color w:val="4F6228" w:themeColor="accent3" w:themeShade="80"/>
        </w:rPr>
        <w:t>Disclosed conflicts of interest</w:t>
      </w:r>
    </w:p>
    <w:p w14:paraId="49226884" w14:textId="5E48455B" w:rsidR="008E53D7" w:rsidRPr="00ED6171" w:rsidRDefault="008E53D7" w:rsidP="008E53D7">
      <w:pPr>
        <w:spacing w:after="18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Prof. Steve Hambleton (Chair) also chair</w:t>
      </w:r>
      <w:r w:rsidR="00D14E7A">
        <w:rPr>
          <w:rFonts w:asciiTheme="majorHAnsi" w:eastAsia="Calibri" w:hAnsiTheme="majorHAnsi" w:cs="Calibri"/>
          <w:sz w:val="24"/>
          <w:szCs w:val="24"/>
        </w:rPr>
        <w:t>s</w:t>
      </w:r>
      <w:r w:rsidRPr="00ED6171">
        <w:rPr>
          <w:rFonts w:asciiTheme="majorHAnsi" w:eastAsia="Calibri" w:hAnsiTheme="majorHAnsi" w:cs="Calibri"/>
          <w:sz w:val="24"/>
          <w:szCs w:val="24"/>
        </w:rPr>
        <w:t xml:space="preserve"> the Primary Health</w:t>
      </w:r>
      <w:r w:rsidR="00EE20D3">
        <w:rPr>
          <w:rFonts w:asciiTheme="majorHAnsi" w:eastAsia="Calibri" w:hAnsiTheme="majorHAnsi" w:cs="Calibri"/>
          <w:sz w:val="24"/>
          <w:szCs w:val="24"/>
        </w:rPr>
        <w:t xml:space="preserve"> Reform Steering Group.</w:t>
      </w:r>
    </w:p>
    <w:p w14:paraId="60CA7415" w14:textId="77777777" w:rsidR="006D2440" w:rsidRPr="00ED6171" w:rsidRDefault="004D7CE6" w:rsidP="0075745A">
      <w:pPr>
        <w:pStyle w:val="Style4"/>
        <w:ind w:left="0" w:firstLine="0"/>
        <w:rPr>
          <w:rFonts w:asciiTheme="majorHAnsi" w:hAnsiTheme="majorHAnsi"/>
          <w:color w:val="4F6228" w:themeColor="accent3" w:themeShade="80"/>
        </w:rPr>
      </w:pPr>
      <w:r w:rsidRPr="00ED6171">
        <w:rPr>
          <w:rFonts w:asciiTheme="majorHAnsi" w:hAnsiTheme="majorHAnsi"/>
          <w:color w:val="4F6228" w:themeColor="accent3" w:themeShade="80"/>
        </w:rPr>
        <w:t>Scope of the Telehealth Working Group</w:t>
      </w:r>
    </w:p>
    <w:p w14:paraId="5053A70A" w14:textId="6B13D13C" w:rsidR="009358A7" w:rsidRPr="00ED6171" w:rsidRDefault="004D7CE6" w:rsidP="00B50FA1">
      <w:p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 xml:space="preserve">The scope </w:t>
      </w:r>
      <w:r w:rsidR="009358A7" w:rsidRPr="00ED6171">
        <w:rPr>
          <w:rFonts w:asciiTheme="majorHAnsi" w:eastAsia="Calibri" w:hAnsiTheme="majorHAnsi" w:cs="Calibri"/>
          <w:sz w:val="24"/>
          <w:szCs w:val="24"/>
        </w:rPr>
        <w:t xml:space="preserve">and objectives </w:t>
      </w:r>
      <w:r w:rsidRPr="00ED6171">
        <w:rPr>
          <w:rFonts w:asciiTheme="majorHAnsi" w:eastAsia="Calibri" w:hAnsiTheme="majorHAnsi" w:cs="Calibri"/>
          <w:sz w:val="24"/>
          <w:szCs w:val="24"/>
        </w:rPr>
        <w:t>of the</w:t>
      </w:r>
      <w:r w:rsidR="00605B4D" w:rsidRPr="00ED6171">
        <w:rPr>
          <w:rFonts w:asciiTheme="majorHAnsi" w:eastAsia="Calibri" w:hAnsiTheme="majorHAnsi" w:cs="Calibri"/>
          <w:sz w:val="24"/>
          <w:szCs w:val="24"/>
        </w:rPr>
        <w:t xml:space="preserve"> w</w:t>
      </w:r>
      <w:r w:rsidRPr="00ED6171">
        <w:rPr>
          <w:rFonts w:asciiTheme="majorHAnsi" w:eastAsia="Calibri" w:hAnsiTheme="majorHAnsi" w:cs="Calibri"/>
          <w:sz w:val="24"/>
          <w:szCs w:val="24"/>
        </w:rPr>
        <w:t xml:space="preserve">orking </w:t>
      </w:r>
      <w:r w:rsidR="00605B4D" w:rsidRPr="00ED6171">
        <w:rPr>
          <w:rFonts w:asciiTheme="majorHAnsi" w:eastAsia="Calibri" w:hAnsiTheme="majorHAnsi" w:cs="Calibri"/>
          <w:sz w:val="24"/>
          <w:szCs w:val="24"/>
        </w:rPr>
        <w:t xml:space="preserve">group </w:t>
      </w:r>
      <w:r w:rsidR="009358A7" w:rsidRPr="00ED6171">
        <w:rPr>
          <w:rFonts w:asciiTheme="majorHAnsi" w:eastAsia="Calibri" w:hAnsiTheme="majorHAnsi" w:cs="Calibri"/>
          <w:sz w:val="24"/>
          <w:szCs w:val="24"/>
        </w:rPr>
        <w:t>were to:</w:t>
      </w:r>
    </w:p>
    <w:p w14:paraId="343C0F6A" w14:textId="3C5D567E" w:rsidR="009358A7" w:rsidRPr="00ED6171" w:rsidRDefault="009358A7" w:rsidP="00B50FA1">
      <w:pPr>
        <w:numPr>
          <w:ilvl w:val="0"/>
          <w:numId w:val="13"/>
        </w:num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 xml:space="preserve">Consider telehealth as a broader concept </w:t>
      </w:r>
    </w:p>
    <w:p w14:paraId="036CB25B" w14:textId="1C8E3B9F" w:rsidR="005C32F2" w:rsidRPr="00ED6171" w:rsidRDefault="005C32F2" w:rsidP="00B50FA1">
      <w:pPr>
        <w:numPr>
          <w:ilvl w:val="0"/>
          <w:numId w:val="13"/>
        </w:num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 xml:space="preserve">Provide observations and recommendations to the Government </w:t>
      </w:r>
      <w:r w:rsidR="00EE20D3">
        <w:rPr>
          <w:rFonts w:asciiTheme="majorHAnsi" w:eastAsia="Calibri" w:hAnsiTheme="majorHAnsi" w:cs="Calibri"/>
          <w:sz w:val="24"/>
          <w:szCs w:val="24"/>
        </w:rPr>
        <w:t>on</w:t>
      </w:r>
      <w:r w:rsidR="00EE20D3" w:rsidRPr="00ED6171">
        <w:rPr>
          <w:rFonts w:asciiTheme="majorHAnsi" w:eastAsia="Calibri" w:hAnsiTheme="majorHAnsi" w:cs="Calibri"/>
          <w:sz w:val="24"/>
          <w:szCs w:val="24"/>
        </w:rPr>
        <w:t xml:space="preserve"> </w:t>
      </w:r>
      <w:r w:rsidRPr="00ED6171">
        <w:rPr>
          <w:rFonts w:asciiTheme="majorHAnsi" w:eastAsia="Calibri" w:hAnsiTheme="majorHAnsi" w:cs="Calibri"/>
          <w:sz w:val="24"/>
          <w:szCs w:val="24"/>
        </w:rPr>
        <w:t>MBS and non-MBS telehealth models</w:t>
      </w:r>
    </w:p>
    <w:p w14:paraId="7F2814BE" w14:textId="6CCE766B" w:rsidR="009358A7" w:rsidRPr="00ED6171" w:rsidRDefault="009358A7" w:rsidP="57D0558D">
      <w:pPr>
        <w:numPr>
          <w:ilvl w:val="0"/>
          <w:numId w:val="13"/>
        </w:numPr>
        <w:spacing w:after="120" w:line="240" w:lineRule="auto"/>
        <w:ind w:left="357" w:hanging="357"/>
        <w:rPr>
          <w:rFonts w:asciiTheme="majorHAnsi" w:eastAsia="Calibri" w:hAnsiTheme="majorHAnsi" w:cs="Calibri"/>
          <w:sz w:val="24"/>
          <w:szCs w:val="24"/>
        </w:rPr>
      </w:pPr>
      <w:r w:rsidRPr="57D0558D">
        <w:rPr>
          <w:rFonts w:asciiTheme="majorHAnsi" w:eastAsia="Calibri" w:hAnsiTheme="majorHAnsi" w:cs="Calibri"/>
          <w:sz w:val="24"/>
          <w:szCs w:val="24"/>
        </w:rPr>
        <w:t xml:space="preserve">Develop a set of MBS telehealth Principles (the Principles) to </w:t>
      </w:r>
      <w:r w:rsidR="000F3F61" w:rsidRPr="57D0558D">
        <w:rPr>
          <w:rFonts w:asciiTheme="majorHAnsi" w:eastAsia="Calibri" w:hAnsiTheme="majorHAnsi" w:cs="Calibri"/>
          <w:sz w:val="24"/>
          <w:szCs w:val="24"/>
        </w:rPr>
        <w:t xml:space="preserve">apply when considering </w:t>
      </w:r>
      <w:r w:rsidR="00D907A9" w:rsidRPr="57D0558D">
        <w:rPr>
          <w:rFonts w:asciiTheme="majorHAnsi" w:eastAsia="Calibri" w:hAnsiTheme="majorHAnsi" w:cs="Calibri"/>
          <w:sz w:val="24"/>
          <w:szCs w:val="24"/>
        </w:rPr>
        <w:t>the referred recommendations for endorsement by Taskforce</w:t>
      </w:r>
    </w:p>
    <w:p w14:paraId="3FB0C8EA" w14:textId="533D12AB" w:rsidR="009358A7" w:rsidRPr="00ED6171" w:rsidRDefault="009358A7" w:rsidP="6EE85499">
      <w:pPr>
        <w:numPr>
          <w:ilvl w:val="0"/>
          <w:numId w:val="13"/>
        </w:numPr>
        <w:spacing w:after="120" w:line="240" w:lineRule="auto"/>
        <w:ind w:left="357" w:hanging="357"/>
        <w:rPr>
          <w:rFonts w:asciiTheme="majorHAnsi" w:eastAsia="Calibri" w:hAnsiTheme="majorHAnsi" w:cs="Calibri"/>
          <w:sz w:val="24"/>
          <w:szCs w:val="24"/>
        </w:rPr>
      </w:pPr>
      <w:r w:rsidRPr="6EE85499">
        <w:rPr>
          <w:rFonts w:asciiTheme="majorHAnsi" w:eastAsia="Calibri" w:hAnsiTheme="majorHAnsi" w:cs="Calibri"/>
          <w:sz w:val="24"/>
          <w:szCs w:val="24"/>
        </w:rPr>
        <w:t xml:space="preserve">Apply the Principles to the referred recommendations and amend as needed for </w:t>
      </w:r>
      <w:r w:rsidR="00EE20D3" w:rsidRPr="6EE85499">
        <w:rPr>
          <w:rFonts w:asciiTheme="majorHAnsi" w:eastAsia="Calibri" w:hAnsiTheme="majorHAnsi" w:cs="Calibri"/>
          <w:sz w:val="24"/>
          <w:szCs w:val="24"/>
        </w:rPr>
        <w:t xml:space="preserve">consideration </w:t>
      </w:r>
      <w:r w:rsidR="0029136A" w:rsidRPr="6EE85499">
        <w:rPr>
          <w:rFonts w:asciiTheme="majorHAnsi" w:eastAsia="Calibri" w:hAnsiTheme="majorHAnsi" w:cs="Calibri"/>
          <w:sz w:val="24"/>
          <w:szCs w:val="24"/>
        </w:rPr>
        <w:t xml:space="preserve">and endorsement </w:t>
      </w:r>
      <w:r w:rsidRPr="6EE85499">
        <w:rPr>
          <w:rFonts w:asciiTheme="majorHAnsi" w:eastAsia="Calibri" w:hAnsiTheme="majorHAnsi" w:cs="Calibri"/>
          <w:sz w:val="24"/>
          <w:szCs w:val="24"/>
        </w:rPr>
        <w:t>by the Taskforce</w:t>
      </w:r>
    </w:p>
    <w:p w14:paraId="7AB1A89B" w14:textId="77777777" w:rsidR="009358A7" w:rsidRPr="00ED6171" w:rsidRDefault="009358A7" w:rsidP="0075745A">
      <w:pPr>
        <w:pStyle w:val="Style4"/>
        <w:ind w:left="0" w:firstLine="0"/>
        <w:rPr>
          <w:rFonts w:asciiTheme="majorHAnsi" w:hAnsiTheme="majorHAnsi"/>
          <w:color w:val="4F6228" w:themeColor="accent3" w:themeShade="80"/>
        </w:rPr>
      </w:pPr>
      <w:r w:rsidRPr="00ED6171">
        <w:rPr>
          <w:rFonts w:asciiTheme="majorHAnsi" w:hAnsiTheme="majorHAnsi"/>
          <w:color w:val="4F6228" w:themeColor="accent3" w:themeShade="80"/>
        </w:rPr>
        <w:t>COVID-19 and Bushfire Items</w:t>
      </w:r>
    </w:p>
    <w:p w14:paraId="0C9E41EA" w14:textId="77777777" w:rsidR="009358A7" w:rsidRPr="00ED6171" w:rsidRDefault="009358A7" w:rsidP="008E7FF0">
      <w:p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 xml:space="preserve">The 2019-2020 Australian bushfires and the COVID-19 pandemic have resulted in the Australian Government’s introduction of temporary MBS Telehealth items which will continue until 30 September 2020. </w:t>
      </w:r>
    </w:p>
    <w:p w14:paraId="51BE0D79" w14:textId="44EBFDD1" w:rsidR="009358A7" w:rsidRPr="00ED6171" w:rsidRDefault="009358A7" w:rsidP="007D57F0">
      <w:p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Given the temporary nature</w:t>
      </w:r>
      <w:r w:rsidR="00893760">
        <w:rPr>
          <w:rFonts w:asciiTheme="majorHAnsi" w:eastAsia="Calibri" w:hAnsiTheme="majorHAnsi" w:cs="Calibri"/>
          <w:sz w:val="24"/>
          <w:szCs w:val="24"/>
        </w:rPr>
        <w:t xml:space="preserve"> of these items and the Taskforce’s timeframe and resources for completing their work in June 2020</w:t>
      </w:r>
      <w:r w:rsidR="00EE20D3">
        <w:rPr>
          <w:rFonts w:asciiTheme="majorHAnsi" w:eastAsia="Calibri" w:hAnsiTheme="majorHAnsi" w:cs="Calibri"/>
          <w:sz w:val="24"/>
          <w:szCs w:val="24"/>
        </w:rPr>
        <w:t>,</w:t>
      </w:r>
      <w:r w:rsidRPr="00ED6171">
        <w:rPr>
          <w:rFonts w:asciiTheme="majorHAnsi" w:eastAsia="Calibri" w:hAnsiTheme="majorHAnsi" w:cs="Calibri"/>
          <w:sz w:val="24"/>
          <w:szCs w:val="24"/>
        </w:rPr>
        <w:t xml:space="preserve"> these items are considered out of scope for review </w:t>
      </w:r>
      <w:r w:rsidR="00893760">
        <w:rPr>
          <w:rFonts w:asciiTheme="majorHAnsi" w:eastAsia="Calibri" w:hAnsiTheme="majorHAnsi" w:cs="Calibri"/>
          <w:sz w:val="24"/>
          <w:szCs w:val="24"/>
        </w:rPr>
        <w:t>in this report.</w:t>
      </w:r>
      <w:r w:rsidR="00D62EFA">
        <w:rPr>
          <w:rFonts w:asciiTheme="majorHAnsi" w:eastAsia="Calibri" w:hAnsiTheme="majorHAnsi" w:cs="Calibri"/>
          <w:sz w:val="24"/>
          <w:szCs w:val="24"/>
        </w:rPr>
        <w:t xml:space="preserve"> However, </w:t>
      </w:r>
      <w:r w:rsidR="007D57F0">
        <w:rPr>
          <w:rFonts w:asciiTheme="majorHAnsi" w:eastAsia="Calibri" w:hAnsiTheme="majorHAnsi" w:cs="Calibri"/>
          <w:sz w:val="24"/>
          <w:szCs w:val="24"/>
        </w:rPr>
        <w:t xml:space="preserve">the </w:t>
      </w:r>
      <w:r w:rsidR="00893760">
        <w:rPr>
          <w:rFonts w:asciiTheme="majorHAnsi" w:eastAsia="Calibri" w:hAnsiTheme="majorHAnsi" w:cs="Calibri"/>
          <w:sz w:val="24"/>
          <w:szCs w:val="24"/>
        </w:rPr>
        <w:t xml:space="preserve">principles set out in this </w:t>
      </w:r>
      <w:r w:rsidR="007D57F0">
        <w:rPr>
          <w:rFonts w:asciiTheme="majorHAnsi" w:eastAsia="Calibri" w:hAnsiTheme="majorHAnsi" w:cs="Calibri"/>
          <w:sz w:val="24"/>
          <w:szCs w:val="24"/>
        </w:rPr>
        <w:t xml:space="preserve">report </w:t>
      </w:r>
      <w:r w:rsidR="00893760">
        <w:rPr>
          <w:rFonts w:asciiTheme="majorHAnsi" w:eastAsia="Calibri" w:hAnsiTheme="majorHAnsi" w:cs="Calibri"/>
          <w:sz w:val="24"/>
          <w:szCs w:val="24"/>
        </w:rPr>
        <w:t xml:space="preserve">will support the Australian </w:t>
      </w:r>
      <w:r w:rsidRPr="00ED6171">
        <w:rPr>
          <w:rFonts w:asciiTheme="majorHAnsi" w:eastAsia="Calibri" w:hAnsiTheme="majorHAnsi" w:cs="Calibri"/>
          <w:sz w:val="24"/>
          <w:szCs w:val="24"/>
        </w:rPr>
        <w:t xml:space="preserve">Government in its analysis of the operation of the time-limited items.  </w:t>
      </w:r>
    </w:p>
    <w:p w14:paraId="665DCEFE" w14:textId="361499DE" w:rsidR="00EE0F63" w:rsidRDefault="00EE0F63">
      <w:pPr>
        <w:rPr>
          <w:rFonts w:ascii="Calibri" w:eastAsia="Calibri" w:hAnsi="Calibri" w:cs="Calibri"/>
        </w:rPr>
      </w:pPr>
      <w:bookmarkStart w:id="5" w:name="_jjgefznmvvcr" w:colFirst="0" w:colLast="0"/>
      <w:bookmarkEnd w:id="5"/>
      <w:r>
        <w:rPr>
          <w:rFonts w:ascii="Calibri" w:eastAsia="Calibri" w:hAnsi="Calibri" w:cs="Calibri"/>
        </w:rPr>
        <w:br w:type="page"/>
      </w:r>
    </w:p>
    <w:p w14:paraId="4C7A6571" w14:textId="3E2FB5BB" w:rsidR="0075745A" w:rsidRDefault="0075745A" w:rsidP="0075745A">
      <w:pPr>
        <w:pStyle w:val="Heading3"/>
        <w:keepLines w:val="0"/>
        <w:spacing w:before="240" w:after="180" w:line="240" w:lineRule="auto"/>
        <w:rPr>
          <w:rFonts w:ascii="Calibri" w:eastAsia="Calibri" w:hAnsi="Calibri" w:cs="Calibri"/>
          <w:b/>
          <w:color w:val="01653F"/>
        </w:rPr>
      </w:pPr>
      <w:bookmarkStart w:id="6" w:name="_id2sdqudz3m8" w:colFirst="0" w:colLast="0"/>
      <w:bookmarkStart w:id="7" w:name="_Toc42764223"/>
      <w:bookmarkEnd w:id="6"/>
      <w:r>
        <w:rPr>
          <w:rFonts w:ascii="Calibri" w:eastAsia="Calibri" w:hAnsi="Calibri" w:cs="Calibri"/>
          <w:b/>
          <w:color w:val="01653F"/>
        </w:rPr>
        <w:lastRenderedPageBreak/>
        <w:t>Key Definitions and Concepts</w:t>
      </w:r>
      <w:bookmarkEnd w:id="7"/>
      <w:r>
        <w:rPr>
          <w:rFonts w:ascii="Calibri" w:eastAsia="Calibri" w:hAnsi="Calibri" w:cs="Calibri"/>
          <w:b/>
          <w:color w:val="01653F"/>
        </w:rPr>
        <w:t xml:space="preserve"> </w:t>
      </w:r>
    </w:p>
    <w:p w14:paraId="6BEF49E3" w14:textId="77777777" w:rsidR="0075745A" w:rsidRPr="00ED6171" w:rsidRDefault="0075745A" w:rsidP="0075745A">
      <w:pPr>
        <w:pStyle w:val="Style4"/>
        <w:ind w:left="0" w:firstLine="0"/>
        <w:rPr>
          <w:rFonts w:asciiTheme="majorHAnsi" w:hAnsiTheme="majorHAnsi"/>
          <w:color w:val="4F6228" w:themeColor="accent3" w:themeShade="80"/>
        </w:rPr>
      </w:pPr>
      <w:bookmarkStart w:id="8" w:name="_3ip203wa9u84" w:colFirst="0" w:colLast="0"/>
      <w:bookmarkEnd w:id="8"/>
      <w:r w:rsidRPr="00ED6171">
        <w:rPr>
          <w:rFonts w:asciiTheme="majorHAnsi" w:hAnsiTheme="majorHAnsi"/>
          <w:color w:val="4F6228" w:themeColor="accent3" w:themeShade="80"/>
        </w:rPr>
        <w:t>Defining Telehealth</w:t>
      </w:r>
    </w:p>
    <w:p w14:paraId="57F24431" w14:textId="7BECE293" w:rsidR="00EE20D3" w:rsidRDefault="00EE20D3" w:rsidP="00C31237">
      <w:pPr>
        <w:spacing w:after="120" w:line="240" w:lineRule="auto"/>
        <w:rPr>
          <w:rFonts w:asciiTheme="majorHAnsi" w:eastAsia="Calibri" w:hAnsiTheme="majorHAnsi" w:cs="Calibri"/>
          <w:sz w:val="24"/>
          <w:szCs w:val="24"/>
        </w:rPr>
      </w:pPr>
      <w:r>
        <w:rPr>
          <w:rFonts w:asciiTheme="majorHAnsi" w:eastAsia="Calibri" w:hAnsiTheme="majorHAnsi" w:cs="Calibri"/>
          <w:sz w:val="24"/>
          <w:szCs w:val="24"/>
        </w:rPr>
        <w:t>T</w:t>
      </w:r>
      <w:r w:rsidR="0075745A" w:rsidRPr="00ED6171">
        <w:rPr>
          <w:rFonts w:asciiTheme="majorHAnsi" w:eastAsia="Calibri" w:hAnsiTheme="majorHAnsi" w:cs="Calibri"/>
          <w:sz w:val="24"/>
          <w:szCs w:val="24"/>
        </w:rPr>
        <w:t>his report differentiates between ‘MBS Telehealth’ and ‘telehealth’</w:t>
      </w:r>
      <w:r>
        <w:rPr>
          <w:rFonts w:asciiTheme="majorHAnsi" w:eastAsia="Calibri" w:hAnsiTheme="majorHAnsi" w:cs="Calibri"/>
          <w:sz w:val="24"/>
          <w:szCs w:val="24"/>
        </w:rPr>
        <w:t>.</w:t>
      </w:r>
      <w:r w:rsidR="0075745A" w:rsidRPr="00ED6171">
        <w:rPr>
          <w:rFonts w:asciiTheme="majorHAnsi" w:eastAsia="Calibri" w:hAnsiTheme="majorHAnsi" w:cs="Calibri"/>
          <w:sz w:val="24"/>
          <w:szCs w:val="24"/>
        </w:rPr>
        <w:t xml:space="preserve"> </w:t>
      </w:r>
      <w:r>
        <w:rPr>
          <w:rFonts w:asciiTheme="majorHAnsi" w:eastAsia="Calibri" w:hAnsiTheme="majorHAnsi" w:cs="Calibri"/>
          <w:sz w:val="24"/>
          <w:szCs w:val="24"/>
        </w:rPr>
        <w:t>W</w:t>
      </w:r>
      <w:r w:rsidR="0075745A" w:rsidRPr="00ED6171">
        <w:rPr>
          <w:rFonts w:asciiTheme="majorHAnsi" w:eastAsia="Calibri" w:hAnsiTheme="majorHAnsi" w:cs="Calibri"/>
          <w:sz w:val="24"/>
          <w:szCs w:val="24"/>
        </w:rPr>
        <w:t xml:space="preserve">here ‘telehealth’ is a general term that refers to all modalities, ‘MBS Telehealth’ refers specifically to items that have been deemed appropriate to be funded via </w:t>
      </w:r>
      <w:r>
        <w:rPr>
          <w:rFonts w:asciiTheme="majorHAnsi" w:eastAsia="Calibri" w:hAnsiTheme="majorHAnsi" w:cs="Calibri"/>
          <w:sz w:val="24"/>
          <w:szCs w:val="24"/>
        </w:rPr>
        <w:t xml:space="preserve">the </w:t>
      </w:r>
      <w:r w:rsidR="0075745A" w:rsidRPr="00ED6171">
        <w:rPr>
          <w:rFonts w:asciiTheme="majorHAnsi" w:eastAsia="Calibri" w:hAnsiTheme="majorHAnsi" w:cs="Calibri"/>
          <w:sz w:val="24"/>
          <w:szCs w:val="24"/>
        </w:rPr>
        <w:t>MBS.</w:t>
      </w:r>
      <w:r w:rsidRPr="00EE20D3">
        <w:rPr>
          <w:rFonts w:asciiTheme="majorHAnsi" w:eastAsia="Calibri" w:hAnsiTheme="majorHAnsi" w:cs="Calibri"/>
          <w:sz w:val="24"/>
          <w:szCs w:val="24"/>
        </w:rPr>
        <w:t xml:space="preserve"> </w:t>
      </w:r>
    </w:p>
    <w:p w14:paraId="24767841" w14:textId="49BD091A" w:rsidR="0075745A" w:rsidRPr="00ED6171" w:rsidRDefault="00EE20D3" w:rsidP="00C31237">
      <w:p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The Working Group acknowledges the MBS may not be the most appropriate funding method for all models of telehealth provision.</w:t>
      </w:r>
    </w:p>
    <w:p w14:paraId="55F27104" w14:textId="39F6797F" w:rsidR="0075745A" w:rsidRPr="00A24416" w:rsidRDefault="00EE20D3" w:rsidP="00A24416">
      <w:pPr>
        <w:pStyle w:val="CommentText"/>
        <w:spacing w:after="120"/>
      </w:pPr>
      <w:r>
        <w:rPr>
          <w:rFonts w:asciiTheme="majorHAnsi" w:eastAsia="Calibri" w:hAnsiTheme="majorHAnsi" w:cs="Calibri"/>
          <w:sz w:val="24"/>
          <w:szCs w:val="24"/>
        </w:rPr>
        <w:t xml:space="preserve">To enable </w:t>
      </w:r>
      <w:r w:rsidR="0075745A" w:rsidRPr="00ED6171">
        <w:rPr>
          <w:rFonts w:asciiTheme="majorHAnsi" w:eastAsia="Calibri" w:hAnsiTheme="majorHAnsi" w:cs="Calibri"/>
          <w:sz w:val="24"/>
          <w:szCs w:val="24"/>
        </w:rPr>
        <w:t xml:space="preserve">the Working Group to </w:t>
      </w:r>
      <w:r>
        <w:rPr>
          <w:rFonts w:asciiTheme="majorHAnsi" w:eastAsia="Calibri" w:hAnsiTheme="majorHAnsi" w:cs="Calibri"/>
          <w:sz w:val="24"/>
          <w:szCs w:val="24"/>
        </w:rPr>
        <w:t>be</w:t>
      </w:r>
      <w:r w:rsidR="0075745A" w:rsidRPr="00ED6171">
        <w:rPr>
          <w:rFonts w:asciiTheme="majorHAnsi" w:eastAsia="Calibri" w:hAnsiTheme="majorHAnsi" w:cs="Calibri"/>
          <w:sz w:val="24"/>
          <w:szCs w:val="24"/>
        </w:rPr>
        <w:t xml:space="preserve"> consisten</w:t>
      </w:r>
      <w:r>
        <w:rPr>
          <w:rFonts w:asciiTheme="majorHAnsi" w:eastAsia="Calibri" w:hAnsiTheme="majorHAnsi" w:cs="Calibri"/>
          <w:sz w:val="24"/>
          <w:szCs w:val="24"/>
        </w:rPr>
        <w:t>t</w:t>
      </w:r>
      <w:r w:rsidR="0075745A" w:rsidRPr="00ED6171">
        <w:rPr>
          <w:rFonts w:asciiTheme="majorHAnsi" w:eastAsia="Calibri" w:hAnsiTheme="majorHAnsi" w:cs="Calibri"/>
          <w:sz w:val="24"/>
          <w:szCs w:val="24"/>
        </w:rPr>
        <w:t xml:space="preserve"> in </w:t>
      </w:r>
      <w:r>
        <w:rPr>
          <w:rFonts w:asciiTheme="majorHAnsi" w:eastAsia="Calibri" w:hAnsiTheme="majorHAnsi" w:cs="Calibri"/>
          <w:sz w:val="24"/>
          <w:szCs w:val="24"/>
        </w:rPr>
        <w:t>assessing MBS</w:t>
      </w:r>
      <w:r w:rsidR="0075745A" w:rsidRPr="00ED6171">
        <w:rPr>
          <w:rFonts w:asciiTheme="majorHAnsi" w:eastAsia="Calibri" w:hAnsiTheme="majorHAnsi" w:cs="Calibri"/>
          <w:sz w:val="24"/>
          <w:szCs w:val="24"/>
        </w:rPr>
        <w:t xml:space="preserve"> telehealth, it </w:t>
      </w:r>
      <w:r>
        <w:rPr>
          <w:rFonts w:asciiTheme="majorHAnsi" w:eastAsia="Calibri" w:hAnsiTheme="majorHAnsi" w:cs="Calibri"/>
          <w:sz w:val="24"/>
          <w:szCs w:val="24"/>
        </w:rPr>
        <w:t xml:space="preserve">considered the </w:t>
      </w:r>
      <w:r w:rsidR="0075745A" w:rsidRPr="00ED6171">
        <w:rPr>
          <w:rFonts w:asciiTheme="majorHAnsi" w:eastAsia="Calibri" w:hAnsiTheme="majorHAnsi" w:cs="Calibri"/>
          <w:sz w:val="24"/>
          <w:szCs w:val="24"/>
        </w:rPr>
        <w:t>defin</w:t>
      </w:r>
      <w:r>
        <w:rPr>
          <w:rFonts w:asciiTheme="majorHAnsi" w:eastAsia="Calibri" w:hAnsiTheme="majorHAnsi" w:cs="Calibri"/>
          <w:sz w:val="24"/>
          <w:szCs w:val="24"/>
        </w:rPr>
        <w:t xml:space="preserve">ition of </w:t>
      </w:r>
      <w:r w:rsidR="0075745A" w:rsidRPr="00ED6171">
        <w:rPr>
          <w:rFonts w:asciiTheme="majorHAnsi" w:eastAsia="Calibri" w:hAnsiTheme="majorHAnsi" w:cs="Calibri"/>
          <w:sz w:val="24"/>
          <w:szCs w:val="24"/>
        </w:rPr>
        <w:t xml:space="preserve">‘telehealth’ and the potential role of the MBS in </w:t>
      </w:r>
      <w:proofErr w:type="spellStart"/>
      <w:r w:rsidR="0075745A" w:rsidRPr="00ED6171">
        <w:rPr>
          <w:rFonts w:asciiTheme="majorHAnsi" w:eastAsia="Calibri" w:hAnsiTheme="majorHAnsi" w:cs="Calibri"/>
          <w:sz w:val="24"/>
          <w:szCs w:val="24"/>
        </w:rPr>
        <w:t>subsidising</w:t>
      </w:r>
      <w:proofErr w:type="spellEnd"/>
      <w:r w:rsidR="0075745A" w:rsidRPr="00ED6171">
        <w:rPr>
          <w:rFonts w:asciiTheme="majorHAnsi" w:eastAsia="Calibri" w:hAnsiTheme="majorHAnsi" w:cs="Calibri"/>
          <w:sz w:val="24"/>
          <w:szCs w:val="24"/>
        </w:rPr>
        <w:t xml:space="preserve"> these services.</w:t>
      </w:r>
      <w:r w:rsidR="009F58E2">
        <w:rPr>
          <w:rFonts w:asciiTheme="majorHAnsi" w:eastAsia="Calibri" w:hAnsiTheme="majorHAnsi" w:cs="Calibri"/>
          <w:sz w:val="24"/>
          <w:szCs w:val="24"/>
        </w:rPr>
        <w:t xml:space="preserve"> </w:t>
      </w:r>
    </w:p>
    <w:p w14:paraId="50E6817E" w14:textId="77777777" w:rsidR="0075745A" w:rsidRPr="00ED6171" w:rsidRDefault="0075745A" w:rsidP="00A24416">
      <w:pPr>
        <w:spacing w:after="120" w:line="240" w:lineRule="auto"/>
        <w:rPr>
          <w:rFonts w:asciiTheme="majorHAnsi" w:eastAsia="Calibri" w:hAnsiTheme="majorHAnsi" w:cs="Calibri"/>
          <w:sz w:val="24"/>
          <w:szCs w:val="24"/>
        </w:rPr>
      </w:pPr>
      <w:r w:rsidRPr="00A24416">
        <w:rPr>
          <w:rFonts w:asciiTheme="majorHAnsi" w:eastAsia="Calibri" w:hAnsiTheme="majorHAnsi" w:cs="Calibri"/>
          <w:i/>
          <w:sz w:val="24"/>
          <w:szCs w:val="24"/>
        </w:rPr>
        <w:t>Telehealth</w:t>
      </w:r>
      <w:r w:rsidRPr="00ED6171">
        <w:rPr>
          <w:rFonts w:asciiTheme="majorHAnsi" w:eastAsia="Calibri" w:hAnsiTheme="majorHAnsi" w:cs="Calibri"/>
          <w:sz w:val="24"/>
          <w:szCs w:val="24"/>
        </w:rPr>
        <w:t xml:space="preserve"> is often broadly defined. The Department of Health website references the International </w:t>
      </w:r>
      <w:proofErr w:type="spellStart"/>
      <w:r w:rsidRPr="00ED6171">
        <w:rPr>
          <w:rFonts w:asciiTheme="majorHAnsi" w:eastAsia="Calibri" w:hAnsiTheme="majorHAnsi" w:cs="Calibri"/>
          <w:sz w:val="24"/>
          <w:szCs w:val="24"/>
        </w:rPr>
        <w:t>Organisation</w:t>
      </w:r>
      <w:proofErr w:type="spellEnd"/>
      <w:r w:rsidRPr="00ED6171">
        <w:rPr>
          <w:rFonts w:asciiTheme="majorHAnsi" w:eastAsia="Calibri" w:hAnsiTheme="majorHAnsi" w:cs="Calibri"/>
          <w:sz w:val="24"/>
          <w:szCs w:val="24"/>
        </w:rPr>
        <w:t xml:space="preserve"> for </w:t>
      </w:r>
      <w:proofErr w:type="spellStart"/>
      <w:r w:rsidRPr="00ED6171">
        <w:rPr>
          <w:rFonts w:asciiTheme="majorHAnsi" w:eastAsia="Calibri" w:hAnsiTheme="majorHAnsi" w:cs="Calibri"/>
          <w:sz w:val="24"/>
          <w:szCs w:val="24"/>
        </w:rPr>
        <w:t>Standardisation</w:t>
      </w:r>
      <w:proofErr w:type="spellEnd"/>
      <w:r w:rsidRPr="00ED6171">
        <w:rPr>
          <w:rFonts w:asciiTheme="majorHAnsi" w:eastAsia="Calibri" w:hAnsiTheme="majorHAnsi" w:cs="Calibri"/>
          <w:sz w:val="24"/>
          <w:szCs w:val="24"/>
        </w:rPr>
        <w:t xml:space="preserve"> telehealth definition, the “use of telecommunication techniques for the purpose of providing telemedicine, medical education and health education over a distance”</w:t>
      </w:r>
      <w:r w:rsidRPr="00ED6171">
        <w:rPr>
          <w:rFonts w:asciiTheme="majorHAnsi" w:eastAsia="Calibri" w:hAnsiTheme="majorHAnsi" w:cs="Calibri"/>
          <w:sz w:val="24"/>
          <w:szCs w:val="24"/>
          <w:vertAlign w:val="superscript"/>
        </w:rPr>
        <w:footnoteReference w:id="2"/>
      </w:r>
      <w:r w:rsidRPr="00ED6171">
        <w:rPr>
          <w:rFonts w:asciiTheme="majorHAnsi" w:eastAsia="Calibri" w:hAnsiTheme="majorHAnsi" w:cs="Calibri"/>
          <w:sz w:val="24"/>
          <w:szCs w:val="24"/>
        </w:rPr>
        <w:t xml:space="preserve">. </w:t>
      </w:r>
    </w:p>
    <w:p w14:paraId="36028CDA" w14:textId="77777777" w:rsidR="0075745A" w:rsidRPr="00ED6171" w:rsidRDefault="0075745A" w:rsidP="00C31237">
      <w:pPr>
        <w:spacing w:after="120" w:line="240" w:lineRule="auto"/>
        <w:rPr>
          <w:rFonts w:asciiTheme="majorHAnsi" w:eastAsia="Calibri" w:hAnsiTheme="majorHAnsi" w:cs="Calibri"/>
          <w:sz w:val="24"/>
          <w:szCs w:val="24"/>
        </w:rPr>
      </w:pPr>
      <w:r w:rsidRPr="00A24416">
        <w:rPr>
          <w:rFonts w:asciiTheme="majorHAnsi" w:eastAsia="Calibri" w:hAnsiTheme="majorHAnsi" w:cs="Calibri"/>
          <w:i/>
          <w:sz w:val="24"/>
          <w:szCs w:val="24"/>
        </w:rPr>
        <w:t>Telemedicine</w:t>
      </w:r>
      <w:r w:rsidRPr="00ED6171">
        <w:rPr>
          <w:rFonts w:asciiTheme="majorHAnsi" w:eastAsia="Calibri" w:hAnsiTheme="majorHAnsi" w:cs="Calibri"/>
          <w:sz w:val="24"/>
          <w:szCs w:val="24"/>
        </w:rPr>
        <w:t xml:space="preserve"> is defined as “the use of technology to deliver health care services at a distance”</w:t>
      </w:r>
      <w:r w:rsidRPr="00ED6171">
        <w:rPr>
          <w:rFonts w:asciiTheme="majorHAnsi" w:eastAsia="Calibri" w:hAnsiTheme="majorHAnsi" w:cs="Calibri"/>
          <w:sz w:val="24"/>
          <w:szCs w:val="24"/>
          <w:vertAlign w:val="superscript"/>
        </w:rPr>
        <w:footnoteReference w:id="3"/>
      </w:r>
      <w:r w:rsidRPr="00ED6171">
        <w:rPr>
          <w:rFonts w:asciiTheme="majorHAnsi" w:eastAsia="Calibri" w:hAnsiTheme="majorHAnsi" w:cs="Calibri"/>
          <w:sz w:val="24"/>
          <w:szCs w:val="24"/>
        </w:rPr>
        <w:t>. The Centre of Research Excellence in Telehealth from University of Queensland defines telehealth as “the delivery of health services in circumstances involving separation in location and/or time, using information and communication technologies”</w:t>
      </w:r>
      <w:r w:rsidRPr="00ED6171">
        <w:rPr>
          <w:rFonts w:asciiTheme="majorHAnsi" w:eastAsia="Calibri" w:hAnsiTheme="majorHAnsi" w:cs="Calibri"/>
          <w:sz w:val="24"/>
          <w:szCs w:val="24"/>
          <w:vertAlign w:val="superscript"/>
        </w:rPr>
        <w:footnoteReference w:id="4"/>
      </w:r>
      <w:r w:rsidRPr="00ED6171">
        <w:rPr>
          <w:rFonts w:asciiTheme="majorHAnsi" w:eastAsia="Calibri" w:hAnsiTheme="majorHAnsi" w:cs="Calibri"/>
          <w:sz w:val="24"/>
          <w:szCs w:val="24"/>
        </w:rPr>
        <w:t xml:space="preserve">. </w:t>
      </w:r>
    </w:p>
    <w:p w14:paraId="1AE24504" w14:textId="759E4FAC" w:rsidR="0075745A" w:rsidRPr="00ED6171" w:rsidRDefault="0075745A" w:rsidP="57D0558D">
      <w:pPr>
        <w:spacing w:after="120" w:line="240" w:lineRule="auto"/>
        <w:rPr>
          <w:rFonts w:asciiTheme="majorHAnsi" w:eastAsia="Calibri" w:hAnsiTheme="majorHAnsi" w:cs="Calibri"/>
          <w:sz w:val="24"/>
          <w:szCs w:val="24"/>
        </w:rPr>
      </w:pPr>
      <w:r w:rsidRPr="57D0558D">
        <w:rPr>
          <w:rFonts w:asciiTheme="majorHAnsi" w:eastAsia="Calibri" w:hAnsiTheme="majorHAnsi" w:cs="Calibri"/>
          <w:sz w:val="24"/>
          <w:szCs w:val="24"/>
        </w:rPr>
        <w:t xml:space="preserve">The structural requirements of MBS items necessitate a more specific definition for telehealth items. In the MBS context (MBS Telehealth), excluding bushfire relief and COVID-19 items, telehealth relates to clinical consultations via visual and audio links, with a small number of services permitted by phone, between practitioners and patients in real time who are both in eligible areas of Australia. </w:t>
      </w:r>
      <w:r w:rsidR="00FE322D" w:rsidRPr="57D0558D">
        <w:rPr>
          <w:rFonts w:asciiTheme="majorHAnsi" w:eastAsia="Calibri" w:hAnsiTheme="majorHAnsi" w:cs="Calibri"/>
          <w:sz w:val="24"/>
          <w:szCs w:val="24"/>
        </w:rPr>
        <w:t xml:space="preserve">This is the definition the Working Group has adopted for the purposes of reviewing the referred MBS telehealth items and in developing the Principles. </w:t>
      </w:r>
    </w:p>
    <w:p w14:paraId="273EA678" w14:textId="3C59AC43" w:rsidR="00FE322D" w:rsidRPr="00D62EFA" w:rsidRDefault="00EE20D3" w:rsidP="00FE322D">
      <w:pPr>
        <w:spacing w:after="120" w:line="240" w:lineRule="auto"/>
        <w:rPr>
          <w:rFonts w:asciiTheme="majorHAnsi" w:eastAsia="Calibri" w:hAnsiTheme="majorHAnsi" w:cs="Calibri"/>
          <w:sz w:val="24"/>
          <w:szCs w:val="24"/>
        </w:rPr>
      </w:pPr>
      <w:r>
        <w:rPr>
          <w:rFonts w:asciiTheme="majorHAnsi" w:eastAsia="Calibri" w:hAnsiTheme="majorHAnsi" w:cs="Calibri"/>
          <w:sz w:val="24"/>
          <w:szCs w:val="24"/>
        </w:rPr>
        <w:t>To respond</w:t>
      </w:r>
      <w:r w:rsidR="0075745A" w:rsidRPr="00ED6171">
        <w:rPr>
          <w:rFonts w:asciiTheme="majorHAnsi" w:eastAsia="Calibri" w:hAnsiTheme="majorHAnsi" w:cs="Calibri"/>
          <w:sz w:val="24"/>
          <w:szCs w:val="24"/>
        </w:rPr>
        <w:t xml:space="preserve"> to COVID-19 the Australian Government introduced more than </w:t>
      </w:r>
      <w:proofErr w:type="gramStart"/>
      <w:r w:rsidR="0075745A" w:rsidRPr="00ED6171">
        <w:rPr>
          <w:rFonts w:asciiTheme="majorHAnsi" w:eastAsia="Calibri" w:hAnsiTheme="majorHAnsi" w:cs="Calibri"/>
          <w:sz w:val="24"/>
          <w:szCs w:val="24"/>
        </w:rPr>
        <w:t xml:space="preserve">270 </w:t>
      </w:r>
      <w:r w:rsidR="00FE322D">
        <w:rPr>
          <w:rFonts w:asciiTheme="majorHAnsi" w:eastAsia="Calibri" w:hAnsiTheme="majorHAnsi" w:cs="Calibri"/>
          <w:sz w:val="24"/>
          <w:szCs w:val="24"/>
        </w:rPr>
        <w:t>time</w:t>
      </w:r>
      <w:proofErr w:type="gramEnd"/>
      <w:r w:rsidR="00FE322D">
        <w:rPr>
          <w:rFonts w:asciiTheme="majorHAnsi" w:eastAsia="Calibri" w:hAnsiTheme="majorHAnsi" w:cs="Calibri"/>
          <w:sz w:val="24"/>
          <w:szCs w:val="24"/>
        </w:rPr>
        <w:t xml:space="preserve"> limited </w:t>
      </w:r>
      <w:r w:rsidR="0075745A" w:rsidRPr="00ED6171">
        <w:rPr>
          <w:rFonts w:asciiTheme="majorHAnsi" w:eastAsia="Calibri" w:hAnsiTheme="majorHAnsi" w:cs="Calibri"/>
          <w:sz w:val="24"/>
          <w:szCs w:val="24"/>
        </w:rPr>
        <w:t>MBS Telehealth items</w:t>
      </w:r>
      <w:r w:rsidR="00FE322D">
        <w:rPr>
          <w:rFonts w:asciiTheme="majorHAnsi" w:eastAsia="Calibri" w:hAnsiTheme="majorHAnsi" w:cs="Calibri"/>
          <w:sz w:val="24"/>
          <w:szCs w:val="24"/>
        </w:rPr>
        <w:t xml:space="preserve">. This has temporarily </w:t>
      </w:r>
      <w:r w:rsidR="0075745A" w:rsidRPr="00ED6171">
        <w:rPr>
          <w:rFonts w:asciiTheme="majorHAnsi" w:eastAsia="Calibri" w:hAnsiTheme="majorHAnsi" w:cs="Calibri"/>
          <w:sz w:val="24"/>
          <w:szCs w:val="24"/>
        </w:rPr>
        <w:t>broaden</w:t>
      </w:r>
      <w:r w:rsidR="00FE322D">
        <w:rPr>
          <w:rFonts w:asciiTheme="majorHAnsi" w:eastAsia="Calibri" w:hAnsiTheme="majorHAnsi" w:cs="Calibri"/>
          <w:sz w:val="24"/>
          <w:szCs w:val="24"/>
        </w:rPr>
        <w:t>ed</w:t>
      </w:r>
      <w:r w:rsidR="0075745A" w:rsidRPr="00ED6171">
        <w:rPr>
          <w:rFonts w:asciiTheme="majorHAnsi" w:eastAsia="Calibri" w:hAnsiTheme="majorHAnsi" w:cs="Calibri"/>
          <w:sz w:val="24"/>
          <w:szCs w:val="24"/>
        </w:rPr>
        <w:t xml:space="preserve"> the availability of telehealth, to embrace a “telehealth first” </w:t>
      </w:r>
      <w:r w:rsidR="00FE322D">
        <w:rPr>
          <w:rFonts w:asciiTheme="majorHAnsi" w:eastAsia="Calibri" w:hAnsiTheme="majorHAnsi" w:cs="Calibri"/>
          <w:sz w:val="24"/>
          <w:szCs w:val="24"/>
        </w:rPr>
        <w:t xml:space="preserve">approach </w:t>
      </w:r>
      <w:r w:rsidR="0075745A" w:rsidRPr="00ED6171">
        <w:rPr>
          <w:rFonts w:asciiTheme="majorHAnsi" w:eastAsia="Calibri" w:hAnsiTheme="majorHAnsi" w:cs="Calibri"/>
          <w:sz w:val="24"/>
          <w:szCs w:val="24"/>
        </w:rPr>
        <w:t>to avoid face</w:t>
      </w:r>
      <w:r w:rsidR="00FE322D">
        <w:rPr>
          <w:rFonts w:asciiTheme="majorHAnsi" w:eastAsia="Calibri" w:hAnsiTheme="majorHAnsi" w:cs="Calibri"/>
          <w:sz w:val="24"/>
          <w:szCs w:val="24"/>
        </w:rPr>
        <w:t>-</w:t>
      </w:r>
      <w:r w:rsidR="0075745A" w:rsidRPr="00ED6171">
        <w:rPr>
          <w:rFonts w:asciiTheme="majorHAnsi" w:eastAsia="Calibri" w:hAnsiTheme="majorHAnsi" w:cs="Calibri"/>
          <w:sz w:val="24"/>
          <w:szCs w:val="24"/>
        </w:rPr>
        <w:t>to</w:t>
      </w:r>
      <w:r w:rsidR="00FE322D">
        <w:rPr>
          <w:rFonts w:asciiTheme="majorHAnsi" w:eastAsia="Calibri" w:hAnsiTheme="majorHAnsi" w:cs="Calibri"/>
          <w:sz w:val="24"/>
          <w:szCs w:val="24"/>
        </w:rPr>
        <w:t>-</w:t>
      </w:r>
      <w:r w:rsidR="0075745A" w:rsidRPr="00ED6171">
        <w:rPr>
          <w:rFonts w:asciiTheme="majorHAnsi" w:eastAsia="Calibri" w:hAnsiTheme="majorHAnsi" w:cs="Calibri"/>
          <w:sz w:val="24"/>
          <w:szCs w:val="24"/>
        </w:rPr>
        <w:t xml:space="preserve">face care </w:t>
      </w:r>
      <w:r w:rsidR="00FE322D">
        <w:rPr>
          <w:rFonts w:asciiTheme="majorHAnsi" w:eastAsia="Calibri" w:hAnsiTheme="majorHAnsi" w:cs="Calibri"/>
          <w:sz w:val="24"/>
          <w:szCs w:val="24"/>
        </w:rPr>
        <w:t xml:space="preserve">where appropriate. This approach has also permitted more widespread use of telephone consultations, without a video element. Historically this has not been permitted as part of MBS telehealth. </w:t>
      </w:r>
      <w:r w:rsidR="00FE322D" w:rsidRPr="00D62EFA">
        <w:rPr>
          <w:rFonts w:asciiTheme="majorHAnsi" w:eastAsia="Calibri" w:hAnsiTheme="majorHAnsi" w:cs="Calibri"/>
          <w:sz w:val="24"/>
          <w:szCs w:val="24"/>
        </w:rPr>
        <w:t>A list of the</w:t>
      </w:r>
      <w:r w:rsidR="00FE322D">
        <w:rPr>
          <w:rFonts w:asciiTheme="majorHAnsi" w:eastAsia="Calibri" w:hAnsiTheme="majorHAnsi" w:cs="Calibri"/>
          <w:sz w:val="24"/>
          <w:szCs w:val="24"/>
        </w:rPr>
        <w:t>se</w:t>
      </w:r>
      <w:r w:rsidR="00FE322D" w:rsidRPr="00D62EFA">
        <w:rPr>
          <w:rFonts w:asciiTheme="majorHAnsi" w:eastAsia="Calibri" w:hAnsiTheme="majorHAnsi" w:cs="Calibri"/>
          <w:sz w:val="24"/>
          <w:szCs w:val="24"/>
        </w:rPr>
        <w:t xml:space="preserve"> telehealth items is provided at </w:t>
      </w:r>
      <w:hyperlink r:id="rId17" w:history="1">
        <w:r w:rsidR="00FE322D" w:rsidRPr="006026FC">
          <w:rPr>
            <w:rStyle w:val="Hyperlink"/>
            <w:rFonts w:asciiTheme="majorHAnsi" w:eastAsia="Calibri" w:hAnsiTheme="majorHAnsi" w:cs="Calibri"/>
            <w:sz w:val="24"/>
            <w:szCs w:val="24"/>
          </w:rPr>
          <w:t>www.mbsonline.gov.au</w:t>
        </w:r>
      </w:hyperlink>
      <w:r w:rsidR="00FE322D" w:rsidRPr="00D62EFA">
        <w:rPr>
          <w:rFonts w:asciiTheme="majorHAnsi" w:eastAsia="Calibri" w:hAnsiTheme="majorHAnsi" w:cs="Calibri"/>
          <w:sz w:val="24"/>
          <w:szCs w:val="24"/>
        </w:rPr>
        <w:t xml:space="preserve">. </w:t>
      </w:r>
    </w:p>
    <w:p w14:paraId="5418A50D" w14:textId="77777777" w:rsidR="006D4BD8" w:rsidRDefault="0075745A" w:rsidP="006D4BD8">
      <w:p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 xml:space="preserve">With the emergence of blended payment models and voluntary </w:t>
      </w:r>
      <w:r w:rsidR="00FE322D">
        <w:rPr>
          <w:rFonts w:asciiTheme="majorHAnsi" w:eastAsia="Calibri" w:hAnsiTheme="majorHAnsi" w:cs="Calibri"/>
          <w:sz w:val="24"/>
          <w:szCs w:val="24"/>
        </w:rPr>
        <w:t xml:space="preserve">patient </w:t>
      </w:r>
      <w:r w:rsidRPr="00ED6171">
        <w:rPr>
          <w:rFonts w:asciiTheme="majorHAnsi" w:eastAsia="Calibri" w:hAnsiTheme="majorHAnsi" w:cs="Calibri"/>
          <w:sz w:val="24"/>
          <w:szCs w:val="24"/>
        </w:rPr>
        <w:t>enrolment</w:t>
      </w:r>
      <w:r w:rsidR="00FE322D">
        <w:rPr>
          <w:rFonts w:asciiTheme="majorHAnsi" w:eastAsia="Calibri" w:hAnsiTheme="majorHAnsi" w:cs="Calibri"/>
          <w:sz w:val="24"/>
          <w:szCs w:val="24"/>
        </w:rPr>
        <w:t xml:space="preserve"> (VPE)</w:t>
      </w:r>
      <w:r w:rsidRPr="00ED6171">
        <w:rPr>
          <w:rFonts w:asciiTheme="majorHAnsi" w:eastAsia="Calibri" w:hAnsiTheme="majorHAnsi" w:cs="Calibri"/>
          <w:sz w:val="24"/>
          <w:szCs w:val="24"/>
        </w:rPr>
        <w:t xml:space="preserve">, the Telehealth Working Group </w:t>
      </w:r>
      <w:proofErr w:type="spellStart"/>
      <w:r w:rsidRPr="00ED6171">
        <w:rPr>
          <w:rFonts w:asciiTheme="majorHAnsi" w:eastAsia="Calibri" w:hAnsiTheme="majorHAnsi" w:cs="Calibri"/>
          <w:sz w:val="24"/>
          <w:szCs w:val="24"/>
        </w:rPr>
        <w:t>recognises</w:t>
      </w:r>
      <w:proofErr w:type="spellEnd"/>
      <w:r w:rsidRPr="00ED6171">
        <w:rPr>
          <w:rFonts w:asciiTheme="majorHAnsi" w:eastAsia="Calibri" w:hAnsiTheme="majorHAnsi" w:cs="Calibri"/>
          <w:sz w:val="24"/>
          <w:szCs w:val="24"/>
        </w:rPr>
        <w:t xml:space="preserve"> there are opportunities for a more broadly defined telehealth concept to extend beyond the remit of the current fee-for-service MBS model. </w:t>
      </w:r>
      <w:bookmarkStart w:id="9" w:name="_qlw4aolzgo2c" w:colFirst="0" w:colLast="0"/>
      <w:bookmarkEnd w:id="9"/>
    </w:p>
    <w:p w14:paraId="34CB8CF9" w14:textId="50EAA068" w:rsidR="0075745A" w:rsidRPr="006D4BD8" w:rsidRDefault="00C31237" w:rsidP="006D4BD8">
      <w:pPr>
        <w:pStyle w:val="Style4"/>
        <w:ind w:left="0" w:firstLine="0"/>
        <w:rPr>
          <w:rFonts w:asciiTheme="majorHAnsi" w:hAnsiTheme="majorHAnsi"/>
          <w:color w:val="4F6228" w:themeColor="accent3" w:themeShade="80"/>
        </w:rPr>
      </w:pPr>
      <w:r w:rsidRPr="006D4BD8">
        <w:rPr>
          <w:rFonts w:asciiTheme="majorHAnsi" w:hAnsiTheme="majorHAnsi"/>
          <w:color w:val="4F6228" w:themeColor="accent3" w:themeShade="80"/>
        </w:rPr>
        <w:t>A</w:t>
      </w:r>
      <w:r w:rsidR="0075745A" w:rsidRPr="006D4BD8">
        <w:rPr>
          <w:rFonts w:asciiTheme="majorHAnsi" w:hAnsiTheme="majorHAnsi"/>
          <w:color w:val="4F6228" w:themeColor="accent3" w:themeShade="80"/>
        </w:rPr>
        <w:t>ccess</w:t>
      </w:r>
    </w:p>
    <w:p w14:paraId="6A6D56BE" w14:textId="29A4DDC2" w:rsidR="0075745A" w:rsidRPr="00ED6171" w:rsidRDefault="0075745A" w:rsidP="00A24416">
      <w:p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 xml:space="preserve">Access is </w:t>
      </w:r>
      <w:r w:rsidR="394614CC" w:rsidRPr="00546346">
        <w:rPr>
          <w:rFonts w:asciiTheme="majorHAnsi" w:eastAsia="Calibri" w:hAnsiTheme="majorHAnsi" w:cs="Calibri"/>
          <w:sz w:val="24"/>
          <w:szCs w:val="24"/>
        </w:rPr>
        <w:t>understood as the availability of good</w:t>
      </w:r>
      <w:r w:rsidR="00546346">
        <w:rPr>
          <w:rFonts w:asciiTheme="majorHAnsi" w:eastAsia="Calibri" w:hAnsiTheme="majorHAnsi" w:cs="Calibri"/>
          <w:sz w:val="24"/>
          <w:szCs w:val="24"/>
        </w:rPr>
        <w:t xml:space="preserve">, affordable and informed </w:t>
      </w:r>
      <w:r w:rsidR="394614CC" w:rsidRPr="00546346">
        <w:rPr>
          <w:rFonts w:asciiTheme="majorHAnsi" w:eastAsia="Calibri" w:hAnsiTheme="majorHAnsi" w:cs="Calibri"/>
          <w:sz w:val="24"/>
          <w:szCs w:val="24"/>
        </w:rPr>
        <w:t>health services within reasonable reach of those who need them when they need them”</w:t>
      </w:r>
      <w:r w:rsidR="00546346">
        <w:rPr>
          <w:rStyle w:val="FootnoteReference"/>
          <w:rFonts w:asciiTheme="majorHAnsi" w:eastAsia="Calibri" w:hAnsiTheme="majorHAnsi" w:cs="Calibri"/>
          <w:sz w:val="24"/>
          <w:szCs w:val="24"/>
        </w:rPr>
        <w:footnoteReference w:id="5"/>
      </w:r>
      <w:r w:rsidR="394614CC" w:rsidRPr="00546346">
        <w:rPr>
          <w:rFonts w:asciiTheme="majorHAnsi" w:eastAsia="Calibri" w:hAnsiTheme="majorHAnsi" w:cs="Calibri"/>
          <w:sz w:val="24"/>
          <w:szCs w:val="24"/>
        </w:rPr>
        <w:t>.</w:t>
      </w:r>
    </w:p>
    <w:p w14:paraId="4AA7931A" w14:textId="079D2801" w:rsidR="0075745A" w:rsidRPr="00ED6171" w:rsidRDefault="00B50FA1" w:rsidP="0075745A">
      <w:pPr>
        <w:pStyle w:val="Style4"/>
        <w:ind w:left="0" w:firstLine="0"/>
        <w:rPr>
          <w:rFonts w:asciiTheme="majorHAnsi" w:hAnsiTheme="majorHAnsi" w:cs="Arial"/>
          <w:color w:val="000000"/>
          <w:lang w:val="en-US"/>
        </w:rPr>
      </w:pPr>
      <w:bookmarkStart w:id="10" w:name="_4uz1h2jppse" w:colFirst="0" w:colLast="0"/>
      <w:bookmarkEnd w:id="10"/>
      <w:r w:rsidRPr="00ED6171">
        <w:rPr>
          <w:rFonts w:asciiTheme="majorHAnsi" w:hAnsiTheme="majorHAnsi"/>
          <w:color w:val="4F6228" w:themeColor="accent3" w:themeShade="80"/>
        </w:rPr>
        <w:lastRenderedPageBreak/>
        <w:t>Clinical Efficacy</w:t>
      </w:r>
    </w:p>
    <w:p w14:paraId="19C3363F" w14:textId="2C5F8634" w:rsidR="0075745A" w:rsidRPr="00ED6171" w:rsidRDefault="00FE322D" w:rsidP="00C31237">
      <w:p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Clinical effic</w:t>
      </w:r>
      <w:r>
        <w:rPr>
          <w:rFonts w:asciiTheme="majorHAnsi" w:eastAsia="Calibri" w:hAnsiTheme="majorHAnsi" w:cs="Calibri"/>
          <w:sz w:val="24"/>
          <w:szCs w:val="24"/>
        </w:rPr>
        <w:t xml:space="preserve">acy </w:t>
      </w:r>
      <w:r w:rsidR="0075745A" w:rsidRPr="00ED6171">
        <w:rPr>
          <w:rFonts w:asciiTheme="majorHAnsi" w:eastAsia="Calibri" w:hAnsiTheme="majorHAnsi" w:cs="Calibri"/>
          <w:sz w:val="24"/>
          <w:szCs w:val="24"/>
        </w:rPr>
        <w:t xml:space="preserve">refers to a consultation providing quality clinical outcomes </w:t>
      </w:r>
      <w:r>
        <w:rPr>
          <w:rFonts w:asciiTheme="majorHAnsi" w:eastAsia="Calibri" w:hAnsiTheme="majorHAnsi" w:cs="Calibri"/>
          <w:sz w:val="24"/>
          <w:szCs w:val="24"/>
        </w:rPr>
        <w:t xml:space="preserve">regardless of modality, i.e. telehealth and </w:t>
      </w:r>
      <w:r w:rsidR="0075745A" w:rsidRPr="00ED6171">
        <w:rPr>
          <w:rFonts w:asciiTheme="majorHAnsi" w:eastAsia="Calibri" w:hAnsiTheme="majorHAnsi" w:cs="Calibri"/>
          <w:sz w:val="24"/>
          <w:szCs w:val="24"/>
        </w:rPr>
        <w:t xml:space="preserve">face-to-face </w:t>
      </w:r>
      <w:r>
        <w:rPr>
          <w:rFonts w:asciiTheme="majorHAnsi" w:eastAsia="Calibri" w:hAnsiTheme="majorHAnsi" w:cs="Calibri"/>
          <w:sz w:val="24"/>
          <w:szCs w:val="24"/>
        </w:rPr>
        <w:t xml:space="preserve">provide equal quality of care. </w:t>
      </w:r>
    </w:p>
    <w:p w14:paraId="7104D4A4" w14:textId="4E654463" w:rsidR="0075745A" w:rsidRPr="00ED6171" w:rsidRDefault="00C31237" w:rsidP="00C31237">
      <w:p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T</w:t>
      </w:r>
      <w:r w:rsidR="0075745A" w:rsidRPr="00ED6171">
        <w:rPr>
          <w:rFonts w:asciiTheme="majorHAnsi" w:eastAsia="Calibri" w:hAnsiTheme="majorHAnsi" w:cs="Calibri"/>
          <w:sz w:val="24"/>
          <w:szCs w:val="24"/>
        </w:rPr>
        <w:t xml:space="preserve">he Working Group has determined as a reference point that face-to-face consultations are the </w:t>
      </w:r>
      <w:r w:rsidR="00B52B82" w:rsidRPr="00ED6171">
        <w:rPr>
          <w:rFonts w:asciiTheme="majorHAnsi" w:eastAsia="Calibri" w:hAnsiTheme="majorHAnsi" w:cs="Calibri"/>
          <w:sz w:val="24"/>
          <w:szCs w:val="24"/>
        </w:rPr>
        <w:t xml:space="preserve">benchmark </w:t>
      </w:r>
      <w:r w:rsidR="0075745A" w:rsidRPr="00ED6171">
        <w:rPr>
          <w:rFonts w:asciiTheme="majorHAnsi" w:eastAsia="Calibri" w:hAnsiTheme="majorHAnsi" w:cs="Calibri"/>
          <w:sz w:val="24"/>
          <w:szCs w:val="24"/>
        </w:rPr>
        <w:t xml:space="preserve">standard of healthcare service delivery, in line with MBS Review Taskforce Goal 2 </w:t>
      </w:r>
      <w:r w:rsidR="0075745A" w:rsidRPr="00ED6171">
        <w:rPr>
          <w:rFonts w:asciiTheme="majorHAnsi" w:eastAsia="Calibri" w:hAnsiTheme="majorHAnsi" w:cs="Calibri"/>
          <w:i/>
          <w:sz w:val="24"/>
          <w:szCs w:val="24"/>
        </w:rPr>
        <w:t>Best practice health services</w:t>
      </w:r>
      <w:r w:rsidR="0075745A" w:rsidRPr="00ED6171">
        <w:rPr>
          <w:rFonts w:asciiTheme="majorHAnsi" w:eastAsia="Calibri" w:hAnsiTheme="majorHAnsi" w:cs="Calibri"/>
          <w:sz w:val="24"/>
          <w:szCs w:val="24"/>
        </w:rPr>
        <w:t>.</w:t>
      </w:r>
    </w:p>
    <w:p w14:paraId="010504A8" w14:textId="56CB5479" w:rsidR="00F51B08" w:rsidRDefault="00D72969">
      <w:pPr>
        <w:rPr>
          <w:rFonts w:asciiTheme="majorHAnsi" w:eastAsia="Calibri" w:hAnsiTheme="majorHAnsi" w:cs="Calibri"/>
          <w:b/>
          <w:color w:val="01653F"/>
          <w:sz w:val="24"/>
          <w:szCs w:val="24"/>
        </w:rPr>
      </w:pPr>
      <w:bookmarkStart w:id="11" w:name="_gtb9jc4ivjac" w:colFirst="0" w:colLast="0"/>
      <w:bookmarkStart w:id="12" w:name="_x6d7vhnfln0c" w:colFirst="0" w:colLast="0"/>
      <w:bookmarkEnd w:id="11"/>
      <w:bookmarkEnd w:id="12"/>
      <w:r>
        <w:rPr>
          <w:rFonts w:asciiTheme="majorHAnsi" w:eastAsia="Calibri" w:hAnsiTheme="majorHAnsi" w:cs="Calibri"/>
          <w:b/>
          <w:color w:val="01653F"/>
          <w:sz w:val="24"/>
          <w:szCs w:val="24"/>
        </w:rPr>
        <w:t>Clinically Appropriate</w:t>
      </w:r>
    </w:p>
    <w:p w14:paraId="0D02657A" w14:textId="56EBB978" w:rsidR="00147D0F" w:rsidRPr="00A24416" w:rsidRDefault="1B1D0A97" w:rsidP="3465ED72">
      <w:pPr>
        <w:spacing w:after="120" w:line="240" w:lineRule="auto"/>
        <w:rPr>
          <w:rFonts w:asciiTheme="majorHAnsi" w:eastAsia="Calibri" w:hAnsiTheme="majorHAnsi" w:cs="Calibri"/>
          <w:sz w:val="24"/>
          <w:szCs w:val="24"/>
        </w:rPr>
      </w:pPr>
      <w:r w:rsidRPr="2913B4AA">
        <w:rPr>
          <w:rFonts w:asciiTheme="majorHAnsi" w:eastAsia="Calibri" w:hAnsiTheme="majorHAnsi" w:cs="Calibri"/>
          <w:sz w:val="24"/>
          <w:szCs w:val="24"/>
        </w:rPr>
        <w:t>Clinically appropriate</w:t>
      </w:r>
      <w:r w:rsidR="63AA70CE" w:rsidRPr="2913B4AA">
        <w:rPr>
          <w:rFonts w:asciiTheme="majorHAnsi" w:eastAsia="Calibri" w:hAnsiTheme="majorHAnsi" w:cs="Calibri"/>
          <w:sz w:val="24"/>
          <w:szCs w:val="24"/>
        </w:rPr>
        <w:t xml:space="preserve"> is </w:t>
      </w:r>
      <w:r w:rsidRPr="2913B4AA">
        <w:rPr>
          <w:rFonts w:asciiTheme="majorHAnsi" w:eastAsia="Calibri" w:hAnsiTheme="majorHAnsi" w:cs="Calibri"/>
          <w:sz w:val="24"/>
          <w:szCs w:val="24"/>
        </w:rPr>
        <w:t xml:space="preserve">care that is (A) provided in a timely manner and meets professionally </w:t>
      </w:r>
      <w:proofErr w:type="spellStart"/>
      <w:r w:rsidRPr="2913B4AA">
        <w:rPr>
          <w:rFonts w:asciiTheme="majorHAnsi" w:eastAsia="Calibri" w:hAnsiTheme="majorHAnsi" w:cs="Calibri"/>
          <w:sz w:val="24"/>
          <w:szCs w:val="24"/>
        </w:rPr>
        <w:t>recogni</w:t>
      </w:r>
      <w:r w:rsidR="63AA70CE" w:rsidRPr="2913B4AA">
        <w:rPr>
          <w:rFonts w:asciiTheme="majorHAnsi" w:eastAsia="Calibri" w:hAnsiTheme="majorHAnsi" w:cs="Calibri"/>
          <w:sz w:val="24"/>
          <w:szCs w:val="24"/>
        </w:rPr>
        <w:t>s</w:t>
      </w:r>
      <w:r w:rsidRPr="2913B4AA">
        <w:rPr>
          <w:rFonts w:asciiTheme="majorHAnsi" w:eastAsia="Calibri" w:hAnsiTheme="majorHAnsi" w:cs="Calibri"/>
          <w:sz w:val="24"/>
          <w:szCs w:val="24"/>
        </w:rPr>
        <w:t>ed</w:t>
      </w:r>
      <w:proofErr w:type="spellEnd"/>
      <w:r w:rsidRPr="2913B4AA">
        <w:rPr>
          <w:rFonts w:asciiTheme="majorHAnsi" w:eastAsia="Calibri" w:hAnsiTheme="majorHAnsi" w:cs="Calibri"/>
          <w:sz w:val="24"/>
          <w:szCs w:val="24"/>
        </w:rPr>
        <w:t xml:space="preserve"> standards of acceptable medical care; (B) delivered in the appropriate</w:t>
      </w:r>
      <w:r w:rsidR="00E45CF1">
        <w:rPr>
          <w:rFonts w:asciiTheme="majorHAnsi" w:eastAsia="Calibri" w:hAnsiTheme="majorHAnsi" w:cs="Calibri"/>
          <w:sz w:val="24"/>
          <w:szCs w:val="24"/>
        </w:rPr>
        <w:t xml:space="preserve"> clinical</w:t>
      </w:r>
      <w:r w:rsidRPr="2913B4AA">
        <w:rPr>
          <w:rFonts w:asciiTheme="majorHAnsi" w:eastAsia="Calibri" w:hAnsiTheme="majorHAnsi" w:cs="Calibri"/>
          <w:sz w:val="24"/>
          <w:szCs w:val="24"/>
        </w:rPr>
        <w:t xml:space="preserve"> setting; and (C) the least costly of multiple, equally effective alternative treatments or diagnostic modalities.</w:t>
      </w:r>
    </w:p>
    <w:p w14:paraId="213E9ACB" w14:textId="77796980" w:rsidR="00147D0F" w:rsidRPr="00B12E49" w:rsidRDefault="00147D0F" w:rsidP="00A24416">
      <w:pPr>
        <w:spacing w:after="120" w:line="240" w:lineRule="auto"/>
        <w:rPr>
          <w:rFonts w:asciiTheme="majorHAnsi" w:eastAsia="Calibri" w:hAnsiTheme="majorHAnsi" w:cs="Calibri"/>
          <w:sz w:val="24"/>
          <w:szCs w:val="24"/>
        </w:rPr>
      </w:pPr>
      <w:r w:rsidRPr="00A24416">
        <w:rPr>
          <w:rFonts w:asciiTheme="majorHAnsi" w:eastAsia="Calibri" w:hAnsiTheme="majorHAnsi" w:cs="Calibri"/>
          <w:sz w:val="24"/>
          <w:szCs w:val="24"/>
        </w:rPr>
        <w:t>The World Health Organization defines appropriateness from a system’s perspective as care that is effective, efficient and in line with ethical principles of fair allocation</w:t>
      </w:r>
      <w:r>
        <w:rPr>
          <w:rStyle w:val="FootnoteReference"/>
        </w:rPr>
        <w:footnoteReference w:id="6"/>
      </w:r>
    </w:p>
    <w:p w14:paraId="335C3743" w14:textId="79F0EC5C" w:rsidR="00712B6F" w:rsidRDefault="00F51B08" w:rsidP="00F51B08">
      <w:pPr>
        <w:rPr>
          <w:rFonts w:asciiTheme="majorHAnsi" w:eastAsia="Calibri" w:hAnsiTheme="majorHAnsi" w:cs="Calibri"/>
          <w:sz w:val="24"/>
          <w:szCs w:val="24"/>
        </w:rPr>
      </w:pPr>
      <w:r w:rsidRPr="00B12E49">
        <w:rPr>
          <w:rFonts w:asciiTheme="majorHAnsi" w:eastAsia="Calibri" w:hAnsiTheme="majorHAnsi" w:cs="Calibri"/>
          <w:sz w:val="24"/>
          <w:szCs w:val="24"/>
        </w:rPr>
        <w:t>To determine if telehealth video consultations are appropriate consider</w:t>
      </w:r>
      <w:r w:rsidR="00147D0F">
        <w:rPr>
          <w:rFonts w:asciiTheme="majorHAnsi" w:eastAsia="Calibri" w:hAnsiTheme="majorHAnsi" w:cs="Calibri"/>
          <w:sz w:val="24"/>
          <w:szCs w:val="24"/>
        </w:rPr>
        <w:t>ation should be given to</w:t>
      </w:r>
      <w:r w:rsidR="00147D0F">
        <w:rPr>
          <w:rStyle w:val="FootnoteReference"/>
          <w:rFonts w:asciiTheme="majorHAnsi" w:eastAsia="Calibri" w:hAnsiTheme="majorHAnsi" w:cs="Calibri"/>
          <w:b/>
          <w:color w:val="01653F"/>
          <w:sz w:val="24"/>
          <w:szCs w:val="24"/>
        </w:rPr>
        <w:footnoteReference w:id="7"/>
      </w:r>
      <w:r w:rsidRPr="00B12E49">
        <w:rPr>
          <w:rFonts w:asciiTheme="majorHAnsi" w:eastAsia="Calibri" w:hAnsiTheme="majorHAnsi" w:cs="Calibri"/>
          <w:sz w:val="24"/>
          <w:szCs w:val="24"/>
        </w:rPr>
        <w:t xml:space="preserve">: </w:t>
      </w:r>
    </w:p>
    <w:p w14:paraId="138D68B4" w14:textId="77777777" w:rsidR="002474B9" w:rsidRPr="00A24416" w:rsidRDefault="00F51B08" w:rsidP="00AA7184">
      <w:pPr>
        <w:pStyle w:val="CommentText"/>
        <w:numPr>
          <w:ilvl w:val="6"/>
          <w:numId w:val="71"/>
        </w:numPr>
        <w:ind w:left="709"/>
        <w:rPr>
          <w:rFonts w:asciiTheme="majorHAnsi" w:hAnsiTheme="majorHAnsi" w:cstheme="majorHAnsi"/>
          <w:sz w:val="24"/>
          <w:szCs w:val="24"/>
        </w:rPr>
      </w:pPr>
      <w:r w:rsidRPr="00A24416">
        <w:rPr>
          <w:rFonts w:asciiTheme="majorHAnsi" w:hAnsiTheme="majorHAnsi" w:cstheme="majorHAnsi"/>
          <w:sz w:val="24"/>
          <w:szCs w:val="24"/>
        </w:rPr>
        <w:t>patient safety</w:t>
      </w:r>
    </w:p>
    <w:p w14:paraId="16CC5BF2" w14:textId="77777777" w:rsidR="002474B9" w:rsidRPr="00A24416" w:rsidRDefault="00F51B08" w:rsidP="00AA7184">
      <w:pPr>
        <w:pStyle w:val="CommentText"/>
        <w:numPr>
          <w:ilvl w:val="6"/>
          <w:numId w:val="71"/>
        </w:numPr>
        <w:ind w:left="709"/>
        <w:rPr>
          <w:rFonts w:asciiTheme="majorHAnsi" w:hAnsiTheme="majorHAnsi" w:cstheme="majorHAnsi"/>
          <w:sz w:val="24"/>
          <w:szCs w:val="24"/>
        </w:rPr>
      </w:pPr>
      <w:r w:rsidRPr="00A24416">
        <w:rPr>
          <w:rFonts w:asciiTheme="majorHAnsi" w:hAnsiTheme="majorHAnsi" w:cstheme="majorHAnsi"/>
          <w:sz w:val="24"/>
          <w:szCs w:val="24"/>
        </w:rPr>
        <w:t>patient clinical need</w:t>
      </w:r>
    </w:p>
    <w:p w14:paraId="317471D9" w14:textId="77777777" w:rsidR="002474B9" w:rsidRPr="00A24416" w:rsidRDefault="00F51B08" w:rsidP="00AA7184">
      <w:pPr>
        <w:pStyle w:val="CommentText"/>
        <w:numPr>
          <w:ilvl w:val="6"/>
          <w:numId w:val="71"/>
        </w:numPr>
        <w:ind w:left="709"/>
        <w:rPr>
          <w:rFonts w:asciiTheme="majorHAnsi" w:hAnsiTheme="majorHAnsi" w:cstheme="majorHAnsi"/>
          <w:sz w:val="24"/>
          <w:szCs w:val="24"/>
        </w:rPr>
      </w:pPr>
      <w:r w:rsidRPr="00A24416">
        <w:rPr>
          <w:rFonts w:asciiTheme="majorHAnsi" w:hAnsiTheme="majorHAnsi" w:cstheme="majorHAnsi"/>
          <w:sz w:val="24"/>
          <w:szCs w:val="24"/>
        </w:rPr>
        <w:t>clinical effectiveness</w:t>
      </w:r>
    </w:p>
    <w:p w14:paraId="19110C27" w14:textId="77777777" w:rsidR="002474B9" w:rsidRPr="00A24416" w:rsidRDefault="00F51B08" w:rsidP="00AA7184">
      <w:pPr>
        <w:pStyle w:val="CommentText"/>
        <w:numPr>
          <w:ilvl w:val="6"/>
          <w:numId w:val="71"/>
        </w:numPr>
        <w:ind w:left="709"/>
        <w:rPr>
          <w:rFonts w:asciiTheme="majorHAnsi" w:hAnsiTheme="majorHAnsi" w:cstheme="majorHAnsi"/>
          <w:sz w:val="24"/>
          <w:szCs w:val="24"/>
        </w:rPr>
      </w:pPr>
      <w:r w:rsidRPr="00A24416">
        <w:rPr>
          <w:rFonts w:asciiTheme="majorHAnsi" w:hAnsiTheme="majorHAnsi" w:cstheme="majorHAnsi"/>
          <w:sz w:val="24"/>
          <w:szCs w:val="24"/>
        </w:rPr>
        <w:t>patient preference</w:t>
      </w:r>
    </w:p>
    <w:p w14:paraId="744CF1AC" w14:textId="77777777" w:rsidR="002474B9" w:rsidRPr="00A24416" w:rsidRDefault="00F51B08" w:rsidP="00AA7184">
      <w:pPr>
        <w:pStyle w:val="CommentText"/>
        <w:numPr>
          <w:ilvl w:val="6"/>
          <w:numId w:val="71"/>
        </w:numPr>
        <w:ind w:left="709"/>
        <w:rPr>
          <w:rFonts w:asciiTheme="majorHAnsi" w:hAnsiTheme="majorHAnsi" w:cstheme="majorHAnsi"/>
          <w:sz w:val="24"/>
          <w:szCs w:val="24"/>
        </w:rPr>
      </w:pPr>
      <w:r w:rsidRPr="00A24416">
        <w:rPr>
          <w:rFonts w:asciiTheme="majorHAnsi" w:hAnsiTheme="majorHAnsi" w:cstheme="majorHAnsi"/>
          <w:sz w:val="24"/>
          <w:szCs w:val="24"/>
        </w:rPr>
        <w:t>location of the practice</w:t>
      </w:r>
    </w:p>
    <w:p w14:paraId="132BAB80" w14:textId="77777777" w:rsidR="00E00AF1" w:rsidRPr="00A24416" w:rsidRDefault="00F51B08" w:rsidP="00AA7184">
      <w:pPr>
        <w:pStyle w:val="CommentText"/>
        <w:numPr>
          <w:ilvl w:val="6"/>
          <w:numId w:val="71"/>
        </w:numPr>
        <w:ind w:left="709"/>
        <w:rPr>
          <w:rFonts w:asciiTheme="majorHAnsi" w:hAnsiTheme="majorHAnsi" w:cstheme="majorHAnsi"/>
          <w:sz w:val="24"/>
          <w:szCs w:val="24"/>
        </w:rPr>
      </w:pPr>
      <w:r w:rsidRPr="00A24416">
        <w:rPr>
          <w:rFonts w:asciiTheme="majorHAnsi" w:hAnsiTheme="majorHAnsi" w:cstheme="majorHAnsi"/>
          <w:sz w:val="24"/>
          <w:szCs w:val="24"/>
        </w:rPr>
        <w:t>availability</w:t>
      </w:r>
    </w:p>
    <w:p w14:paraId="24210CCD" w14:textId="77777777" w:rsidR="00E00AF1" w:rsidRPr="00A24416" w:rsidRDefault="00F51B08" w:rsidP="00AA7184">
      <w:pPr>
        <w:pStyle w:val="CommentText"/>
        <w:numPr>
          <w:ilvl w:val="6"/>
          <w:numId w:val="71"/>
        </w:numPr>
        <w:ind w:left="709"/>
        <w:rPr>
          <w:rFonts w:asciiTheme="majorHAnsi" w:hAnsiTheme="majorHAnsi" w:cstheme="majorHAnsi"/>
          <w:sz w:val="24"/>
          <w:szCs w:val="24"/>
        </w:rPr>
      </w:pPr>
      <w:r w:rsidRPr="00A24416">
        <w:rPr>
          <w:rFonts w:asciiTheme="majorHAnsi" w:hAnsiTheme="majorHAnsi" w:cstheme="majorHAnsi"/>
          <w:sz w:val="24"/>
          <w:szCs w:val="24"/>
        </w:rPr>
        <w:t>training and skills of practice staff</w:t>
      </w:r>
    </w:p>
    <w:p w14:paraId="297D865C" w14:textId="3F4E055E" w:rsidR="00F51B08" w:rsidRPr="00A24416" w:rsidRDefault="00E00AF1" w:rsidP="00AA7184">
      <w:pPr>
        <w:pStyle w:val="CommentText"/>
        <w:numPr>
          <w:ilvl w:val="6"/>
          <w:numId w:val="71"/>
        </w:numPr>
        <w:ind w:left="709"/>
        <w:rPr>
          <w:rFonts w:asciiTheme="majorHAnsi" w:hAnsiTheme="majorHAnsi" w:cstheme="majorHAnsi"/>
          <w:sz w:val="24"/>
          <w:szCs w:val="24"/>
        </w:rPr>
      </w:pPr>
      <w:r w:rsidRPr="00A24416">
        <w:rPr>
          <w:rFonts w:asciiTheme="majorHAnsi" w:hAnsiTheme="majorHAnsi" w:cstheme="majorHAnsi"/>
          <w:sz w:val="24"/>
          <w:szCs w:val="24"/>
        </w:rPr>
        <w:t>e</w:t>
      </w:r>
      <w:r w:rsidR="00F51B08" w:rsidRPr="00A24416">
        <w:rPr>
          <w:rFonts w:asciiTheme="majorHAnsi" w:hAnsiTheme="majorHAnsi" w:cstheme="majorHAnsi"/>
          <w:sz w:val="24"/>
          <w:szCs w:val="24"/>
        </w:rPr>
        <w:t>quipment required (hardware and software)</w:t>
      </w:r>
    </w:p>
    <w:p w14:paraId="799F2690" w14:textId="7A9536CE" w:rsidR="05B38AF2" w:rsidRPr="00A24416" w:rsidRDefault="05B38AF2" w:rsidP="00AA7184">
      <w:pPr>
        <w:pStyle w:val="CommentText"/>
        <w:numPr>
          <w:ilvl w:val="6"/>
          <w:numId w:val="71"/>
        </w:numPr>
        <w:ind w:left="709"/>
        <w:rPr>
          <w:rFonts w:asciiTheme="majorHAnsi" w:hAnsiTheme="majorHAnsi" w:cstheme="majorHAnsi"/>
          <w:sz w:val="24"/>
          <w:szCs w:val="24"/>
        </w:rPr>
      </w:pPr>
      <w:r w:rsidRPr="00A24416">
        <w:rPr>
          <w:rFonts w:asciiTheme="majorHAnsi" w:hAnsiTheme="majorHAnsi" w:cstheme="majorHAnsi"/>
          <w:sz w:val="24"/>
          <w:szCs w:val="24"/>
        </w:rPr>
        <w:t>appropriate auditing and compliance mechanisms</w:t>
      </w:r>
    </w:p>
    <w:p w14:paraId="3F69AE5E" w14:textId="2C370903" w:rsidR="05B38AF2" w:rsidRPr="00A24416" w:rsidRDefault="009F6938" w:rsidP="00AA7184">
      <w:pPr>
        <w:pStyle w:val="CommentText"/>
        <w:numPr>
          <w:ilvl w:val="6"/>
          <w:numId w:val="71"/>
        </w:numPr>
        <w:ind w:left="709"/>
        <w:rPr>
          <w:rFonts w:asciiTheme="majorHAnsi" w:hAnsiTheme="majorHAnsi" w:cstheme="majorHAnsi"/>
          <w:sz w:val="24"/>
          <w:szCs w:val="24"/>
        </w:rPr>
      </w:pPr>
      <w:r w:rsidRPr="00A24416">
        <w:rPr>
          <w:rFonts w:asciiTheme="majorHAnsi" w:hAnsiTheme="majorHAnsi" w:cstheme="majorHAnsi"/>
          <w:sz w:val="24"/>
          <w:szCs w:val="24"/>
        </w:rPr>
        <w:t>Contemporaneous</w:t>
      </w:r>
      <w:r w:rsidR="05B38AF2" w:rsidRPr="00A24416">
        <w:rPr>
          <w:rFonts w:asciiTheme="majorHAnsi" w:hAnsiTheme="majorHAnsi" w:cstheme="majorHAnsi"/>
          <w:sz w:val="24"/>
          <w:szCs w:val="24"/>
        </w:rPr>
        <w:t xml:space="preserve"> note taking</w:t>
      </w:r>
    </w:p>
    <w:p w14:paraId="2DDE3C90" w14:textId="77777777" w:rsidR="00AA7184" w:rsidRDefault="00AA7184">
      <w:pPr>
        <w:rPr>
          <w:rFonts w:asciiTheme="majorHAnsi" w:eastAsia="Calibri" w:hAnsiTheme="majorHAnsi" w:cs="Calibri"/>
          <w:sz w:val="24"/>
          <w:szCs w:val="24"/>
        </w:rPr>
      </w:pPr>
    </w:p>
    <w:p w14:paraId="1CAB022F" w14:textId="77777777" w:rsidR="00AA7184" w:rsidRDefault="00AA7184" w:rsidP="00AA7184">
      <w:pPr>
        <w:spacing w:after="120" w:line="240" w:lineRule="auto"/>
        <w:rPr>
          <w:rFonts w:ascii="Calibri" w:eastAsia="Calibri" w:hAnsi="Calibri" w:cs="Calibri"/>
          <w:sz w:val="24"/>
          <w:szCs w:val="24"/>
        </w:rPr>
      </w:pPr>
      <w:r>
        <w:rPr>
          <w:rFonts w:asciiTheme="majorHAnsi" w:eastAsia="Calibri" w:hAnsiTheme="majorHAnsi" w:cs="Calibri"/>
          <w:sz w:val="24"/>
          <w:szCs w:val="24"/>
        </w:rPr>
        <w:t xml:space="preserve">NOTE: </w:t>
      </w:r>
      <w:r w:rsidRPr="00AA7184">
        <w:rPr>
          <w:rFonts w:ascii="Calibri" w:eastAsia="Calibri" w:hAnsi="Calibri" w:cs="Calibri"/>
          <w:sz w:val="24"/>
          <w:szCs w:val="24"/>
          <w:u w:val="single"/>
        </w:rPr>
        <w:t xml:space="preserve">Definitions of MBS Telehealth services: </w:t>
      </w:r>
      <w:r w:rsidRPr="00AA7184">
        <w:rPr>
          <w:rFonts w:ascii="Calibri" w:eastAsia="Calibri" w:hAnsi="Calibri" w:cs="Calibri"/>
          <w:sz w:val="24"/>
          <w:szCs w:val="24"/>
        </w:rPr>
        <w:t>Additional work will need to be done to generate a definition of an MBS Telehealth “service” in terms of items and regulations and adhering to the Principles in this Report.</w:t>
      </w:r>
    </w:p>
    <w:p w14:paraId="41B97ABD" w14:textId="77777777" w:rsidR="002E11A4" w:rsidRPr="00ED6171" w:rsidRDefault="002E11A4" w:rsidP="002E11A4">
      <w:pPr>
        <w:pStyle w:val="Style4"/>
        <w:ind w:left="0" w:firstLine="0"/>
        <w:rPr>
          <w:rFonts w:asciiTheme="majorHAnsi" w:hAnsiTheme="majorHAnsi"/>
          <w:color w:val="4F6228" w:themeColor="accent3" w:themeShade="80"/>
        </w:rPr>
      </w:pPr>
      <w:r w:rsidRPr="00ED6171">
        <w:rPr>
          <w:rFonts w:asciiTheme="majorHAnsi" w:hAnsiTheme="majorHAnsi"/>
          <w:color w:val="4F6228" w:themeColor="accent3" w:themeShade="80"/>
        </w:rPr>
        <w:t>Convenience</w:t>
      </w:r>
    </w:p>
    <w:p w14:paraId="03A66E3E" w14:textId="77777777" w:rsidR="002E11A4" w:rsidRDefault="002E11A4" w:rsidP="002E11A4">
      <w:pPr>
        <w:spacing w:after="120" w:line="240" w:lineRule="auto"/>
        <w:rPr>
          <w:rFonts w:asciiTheme="majorHAnsi" w:eastAsia="Calibri" w:hAnsiTheme="majorHAnsi" w:cs="Calibri"/>
          <w:sz w:val="24"/>
          <w:szCs w:val="24"/>
        </w:rPr>
      </w:pPr>
      <w:r>
        <w:rPr>
          <w:rFonts w:asciiTheme="majorHAnsi" w:eastAsia="Calibri" w:hAnsiTheme="majorHAnsi" w:cs="Calibri"/>
          <w:sz w:val="24"/>
          <w:szCs w:val="24"/>
        </w:rPr>
        <w:t>T</w:t>
      </w:r>
      <w:r w:rsidRPr="00ED6171">
        <w:rPr>
          <w:rFonts w:asciiTheme="majorHAnsi" w:eastAsia="Calibri" w:hAnsiTheme="majorHAnsi" w:cs="Calibri"/>
          <w:sz w:val="24"/>
          <w:szCs w:val="24"/>
        </w:rPr>
        <w:t>he concept of convenience is underpinned by the statement that (assuming infrastructure is in place) a telehealth consultation can be</w:t>
      </w:r>
      <w:r>
        <w:rPr>
          <w:rFonts w:asciiTheme="majorHAnsi" w:eastAsia="Calibri" w:hAnsiTheme="majorHAnsi" w:cs="Calibri"/>
          <w:sz w:val="24"/>
          <w:szCs w:val="24"/>
        </w:rPr>
        <w:t xml:space="preserve"> just as efficacious as </w:t>
      </w:r>
      <w:r w:rsidRPr="00ED6171">
        <w:rPr>
          <w:rFonts w:asciiTheme="majorHAnsi" w:eastAsia="Calibri" w:hAnsiTheme="majorHAnsi" w:cs="Calibri"/>
          <w:sz w:val="24"/>
          <w:szCs w:val="24"/>
        </w:rPr>
        <w:t xml:space="preserve">the same consultation delivered </w:t>
      </w:r>
      <w:proofErr w:type="gramStart"/>
      <w:r w:rsidRPr="00ED6171">
        <w:rPr>
          <w:rFonts w:asciiTheme="majorHAnsi" w:eastAsia="Calibri" w:hAnsiTheme="majorHAnsi" w:cs="Calibri"/>
          <w:sz w:val="24"/>
          <w:szCs w:val="24"/>
        </w:rPr>
        <w:t>face-to-face, and</w:t>
      </w:r>
      <w:proofErr w:type="gramEnd"/>
      <w:r w:rsidRPr="00ED6171">
        <w:rPr>
          <w:rFonts w:asciiTheme="majorHAnsi" w:eastAsia="Calibri" w:hAnsiTheme="majorHAnsi" w:cs="Calibri"/>
          <w:sz w:val="24"/>
          <w:szCs w:val="24"/>
        </w:rPr>
        <w:t xml:space="preserve"> can have fewer access limitations</w:t>
      </w:r>
      <w:r>
        <w:rPr>
          <w:rFonts w:asciiTheme="majorHAnsi" w:eastAsia="Calibri" w:hAnsiTheme="majorHAnsi" w:cs="Calibri"/>
          <w:sz w:val="24"/>
          <w:szCs w:val="24"/>
        </w:rPr>
        <w:t xml:space="preserve"> for a patient well known to the doctor. This is particularly true</w:t>
      </w:r>
      <w:r w:rsidRPr="00ED6171">
        <w:rPr>
          <w:rFonts w:asciiTheme="majorHAnsi" w:eastAsia="Calibri" w:hAnsiTheme="majorHAnsi" w:cs="Calibri"/>
          <w:sz w:val="24"/>
          <w:szCs w:val="24"/>
        </w:rPr>
        <w:t xml:space="preserve"> for Australians living in regional, rural and remote areas. </w:t>
      </w:r>
    </w:p>
    <w:p w14:paraId="22E0023D" w14:textId="77777777" w:rsidR="002E11A4" w:rsidRPr="00045FDC" w:rsidRDefault="002E11A4" w:rsidP="002E11A4">
      <w:pPr>
        <w:spacing w:after="120" w:line="240" w:lineRule="auto"/>
        <w:rPr>
          <w:rFonts w:asciiTheme="majorHAnsi" w:eastAsia="Calibri" w:hAnsiTheme="majorHAnsi" w:cstheme="majorHAnsi"/>
          <w:sz w:val="24"/>
          <w:szCs w:val="24"/>
        </w:rPr>
      </w:pPr>
      <w:r w:rsidRPr="00ED6171">
        <w:rPr>
          <w:rFonts w:asciiTheme="majorHAnsi" w:eastAsia="Calibri" w:hAnsiTheme="majorHAnsi" w:cs="Calibri"/>
          <w:sz w:val="24"/>
          <w:szCs w:val="24"/>
        </w:rPr>
        <w:t xml:space="preserve">The Working Group accepts there are clinical scenarios </w:t>
      </w:r>
      <w:r>
        <w:rPr>
          <w:rFonts w:asciiTheme="majorHAnsi" w:eastAsia="Calibri" w:hAnsiTheme="majorHAnsi" w:cs="Calibri"/>
          <w:sz w:val="24"/>
          <w:szCs w:val="24"/>
        </w:rPr>
        <w:t>where this will differ</w:t>
      </w:r>
      <w:r w:rsidRPr="00ED6171">
        <w:rPr>
          <w:rFonts w:asciiTheme="majorHAnsi" w:eastAsia="Calibri" w:hAnsiTheme="majorHAnsi" w:cs="Calibri"/>
          <w:sz w:val="24"/>
          <w:szCs w:val="24"/>
        </w:rPr>
        <w:t xml:space="preserve">, but </w:t>
      </w:r>
      <w:proofErr w:type="gramStart"/>
      <w:r w:rsidRPr="00ED6171">
        <w:rPr>
          <w:rFonts w:asciiTheme="majorHAnsi" w:eastAsia="Calibri" w:hAnsiTheme="majorHAnsi" w:cs="Calibri"/>
          <w:sz w:val="24"/>
          <w:szCs w:val="24"/>
        </w:rPr>
        <w:t>as a general rule</w:t>
      </w:r>
      <w:proofErr w:type="gramEnd"/>
      <w:r>
        <w:rPr>
          <w:rFonts w:asciiTheme="majorHAnsi" w:eastAsia="Calibri" w:hAnsiTheme="majorHAnsi" w:cs="Calibri"/>
          <w:sz w:val="24"/>
          <w:szCs w:val="24"/>
        </w:rPr>
        <w:t>,</w:t>
      </w:r>
      <w:r w:rsidRPr="00ED6171">
        <w:rPr>
          <w:rFonts w:asciiTheme="majorHAnsi" w:eastAsia="Calibri" w:hAnsiTheme="majorHAnsi" w:cs="Calibri"/>
          <w:sz w:val="24"/>
          <w:szCs w:val="24"/>
        </w:rPr>
        <w:t xml:space="preserve"> this logic defines that there are instances where telehealth services are more convenient (for either patient or practitioner, or both) than face-to-face services. This is one of the well accepted </w:t>
      </w:r>
      <w:r w:rsidRPr="00045FDC">
        <w:rPr>
          <w:rFonts w:asciiTheme="majorHAnsi" w:eastAsia="Calibri" w:hAnsiTheme="majorHAnsi" w:cstheme="majorHAnsi"/>
          <w:sz w:val="24"/>
          <w:szCs w:val="24"/>
        </w:rPr>
        <w:t>strengths of telehealth as a modality.</w:t>
      </w:r>
    </w:p>
    <w:p w14:paraId="06C29D1B" w14:textId="77777777" w:rsidR="002E11A4" w:rsidRPr="00045FDC" w:rsidRDefault="002E11A4" w:rsidP="002E11A4">
      <w:pPr>
        <w:pStyle w:val="CommentText"/>
        <w:rPr>
          <w:rFonts w:asciiTheme="majorHAnsi" w:hAnsiTheme="majorHAnsi" w:cstheme="majorHAnsi"/>
          <w:sz w:val="24"/>
          <w:szCs w:val="24"/>
        </w:rPr>
      </w:pPr>
      <w:r w:rsidRPr="00045FDC">
        <w:rPr>
          <w:rFonts w:asciiTheme="majorHAnsi" w:eastAsia="Calibri" w:hAnsiTheme="majorHAnsi" w:cstheme="majorHAnsi"/>
          <w:sz w:val="24"/>
          <w:szCs w:val="24"/>
        </w:rPr>
        <w:lastRenderedPageBreak/>
        <w:t xml:space="preserve">For the purpose of this report </w:t>
      </w:r>
      <w:r>
        <w:rPr>
          <w:rFonts w:asciiTheme="majorHAnsi" w:eastAsia="Calibri" w:hAnsiTheme="majorHAnsi" w:cstheme="majorHAnsi"/>
          <w:sz w:val="24"/>
          <w:szCs w:val="24"/>
        </w:rPr>
        <w:t>t</w:t>
      </w:r>
      <w:r w:rsidRPr="00045FDC">
        <w:rPr>
          <w:rFonts w:asciiTheme="majorHAnsi" w:eastAsia="Calibri" w:hAnsiTheme="majorHAnsi" w:cstheme="majorHAnsi"/>
          <w:sz w:val="24"/>
          <w:szCs w:val="24"/>
        </w:rPr>
        <w:t xml:space="preserve">he Working Group has used face-to-face care as a benchmark for the standard of healthcare. Acknowledging that in some scenarios </w:t>
      </w:r>
      <w:r w:rsidRPr="00045FDC">
        <w:rPr>
          <w:rFonts w:asciiTheme="majorHAnsi" w:hAnsiTheme="majorHAnsi" w:cstheme="majorHAnsi"/>
          <w:sz w:val="24"/>
          <w:szCs w:val="24"/>
        </w:rPr>
        <w:t>Telehealth may improve the quality of care, as it can be</w:t>
      </w:r>
    </w:p>
    <w:p w14:paraId="7311B819" w14:textId="77777777" w:rsidR="002E11A4" w:rsidRPr="00045FDC" w:rsidRDefault="002E11A4" w:rsidP="002E11A4">
      <w:pPr>
        <w:pStyle w:val="CommentText"/>
        <w:numPr>
          <w:ilvl w:val="6"/>
          <w:numId w:val="71"/>
        </w:numPr>
        <w:ind w:left="709"/>
        <w:rPr>
          <w:rFonts w:asciiTheme="majorHAnsi" w:hAnsiTheme="majorHAnsi" w:cstheme="majorHAnsi"/>
          <w:sz w:val="24"/>
          <w:szCs w:val="24"/>
        </w:rPr>
      </w:pPr>
      <w:r w:rsidRPr="00045FDC">
        <w:rPr>
          <w:rFonts w:asciiTheme="majorHAnsi" w:hAnsiTheme="majorHAnsi" w:cstheme="majorHAnsi"/>
          <w:sz w:val="24"/>
          <w:szCs w:val="24"/>
        </w:rPr>
        <w:t xml:space="preserve">safer </w:t>
      </w:r>
      <w:r>
        <w:rPr>
          <w:rFonts w:asciiTheme="majorHAnsi" w:hAnsiTheme="majorHAnsi" w:cstheme="majorHAnsi"/>
          <w:sz w:val="24"/>
          <w:szCs w:val="24"/>
        </w:rPr>
        <w:t xml:space="preserve">i.e. </w:t>
      </w:r>
      <w:r w:rsidRPr="00045FDC">
        <w:rPr>
          <w:rFonts w:asciiTheme="majorHAnsi" w:hAnsiTheme="majorHAnsi" w:cstheme="majorHAnsi"/>
          <w:sz w:val="24"/>
          <w:szCs w:val="24"/>
        </w:rPr>
        <w:t xml:space="preserve">wherever there is a risk of infection to either party from </w:t>
      </w:r>
      <w:r>
        <w:rPr>
          <w:rFonts w:asciiTheme="majorHAnsi" w:hAnsiTheme="majorHAnsi" w:cstheme="majorHAnsi"/>
          <w:sz w:val="24"/>
          <w:szCs w:val="24"/>
        </w:rPr>
        <w:t>face to face contact</w:t>
      </w:r>
    </w:p>
    <w:p w14:paraId="09D08621" w14:textId="77777777" w:rsidR="002E11A4" w:rsidRPr="00045FDC" w:rsidRDefault="002E11A4" w:rsidP="002E11A4">
      <w:pPr>
        <w:pStyle w:val="CommentText"/>
        <w:numPr>
          <w:ilvl w:val="6"/>
          <w:numId w:val="71"/>
        </w:numPr>
        <w:ind w:left="709"/>
        <w:rPr>
          <w:rFonts w:asciiTheme="majorHAnsi" w:hAnsiTheme="majorHAnsi" w:cstheme="majorHAnsi"/>
          <w:sz w:val="24"/>
          <w:szCs w:val="24"/>
        </w:rPr>
      </w:pPr>
      <w:r w:rsidRPr="00045FDC">
        <w:rPr>
          <w:rFonts w:asciiTheme="majorHAnsi" w:hAnsiTheme="majorHAnsi" w:cstheme="majorHAnsi"/>
          <w:sz w:val="24"/>
          <w:szCs w:val="24"/>
        </w:rPr>
        <w:t>more equitable</w:t>
      </w:r>
      <w:r>
        <w:rPr>
          <w:rFonts w:asciiTheme="majorHAnsi" w:hAnsiTheme="majorHAnsi" w:cstheme="majorHAnsi"/>
          <w:sz w:val="24"/>
          <w:szCs w:val="24"/>
        </w:rPr>
        <w:t xml:space="preserve"> by providing improved accessibility</w:t>
      </w:r>
      <w:r w:rsidRPr="00045FDC">
        <w:rPr>
          <w:rFonts w:asciiTheme="majorHAnsi" w:hAnsiTheme="majorHAnsi" w:cstheme="majorHAnsi"/>
          <w:sz w:val="24"/>
          <w:szCs w:val="24"/>
        </w:rPr>
        <w:t xml:space="preserve"> </w:t>
      </w:r>
    </w:p>
    <w:p w14:paraId="1FB65AF6" w14:textId="77777777" w:rsidR="002E11A4" w:rsidRPr="00045FDC" w:rsidRDefault="002E11A4" w:rsidP="002E11A4">
      <w:pPr>
        <w:pStyle w:val="CommentText"/>
        <w:numPr>
          <w:ilvl w:val="6"/>
          <w:numId w:val="71"/>
        </w:numPr>
        <w:ind w:left="709"/>
        <w:rPr>
          <w:rFonts w:asciiTheme="majorHAnsi" w:hAnsiTheme="majorHAnsi" w:cstheme="majorHAnsi"/>
          <w:sz w:val="24"/>
          <w:szCs w:val="24"/>
        </w:rPr>
      </w:pPr>
      <w:r w:rsidRPr="00045FDC">
        <w:rPr>
          <w:rFonts w:asciiTheme="majorHAnsi" w:hAnsiTheme="majorHAnsi" w:cstheme="majorHAnsi"/>
          <w:sz w:val="24"/>
          <w:szCs w:val="24"/>
        </w:rPr>
        <w:t>more patient centered</w:t>
      </w:r>
      <w:r>
        <w:rPr>
          <w:rFonts w:asciiTheme="majorHAnsi" w:hAnsiTheme="majorHAnsi" w:cstheme="majorHAnsi"/>
          <w:sz w:val="24"/>
          <w:szCs w:val="24"/>
        </w:rPr>
        <w:t xml:space="preserve"> with appropriate consents</w:t>
      </w:r>
    </w:p>
    <w:p w14:paraId="31CC40F9" w14:textId="77777777" w:rsidR="002E11A4" w:rsidRPr="00045FDC" w:rsidRDefault="002E11A4" w:rsidP="002E11A4">
      <w:pPr>
        <w:pStyle w:val="CommentText"/>
        <w:numPr>
          <w:ilvl w:val="6"/>
          <w:numId w:val="71"/>
        </w:numPr>
        <w:ind w:left="709"/>
        <w:rPr>
          <w:rFonts w:asciiTheme="majorHAnsi" w:hAnsiTheme="majorHAnsi" w:cstheme="majorHAnsi"/>
          <w:sz w:val="24"/>
          <w:szCs w:val="24"/>
        </w:rPr>
      </w:pPr>
      <w:r w:rsidRPr="00045FDC">
        <w:rPr>
          <w:rFonts w:asciiTheme="majorHAnsi" w:hAnsiTheme="majorHAnsi" w:cstheme="majorHAnsi"/>
          <w:sz w:val="24"/>
          <w:szCs w:val="24"/>
        </w:rPr>
        <w:t>more efficient</w:t>
      </w:r>
      <w:r>
        <w:rPr>
          <w:rFonts w:asciiTheme="majorHAnsi" w:hAnsiTheme="majorHAnsi" w:cstheme="majorHAnsi"/>
          <w:sz w:val="24"/>
          <w:szCs w:val="24"/>
        </w:rPr>
        <w:t>, convenient and timely</w:t>
      </w:r>
      <w:r w:rsidRPr="00045FDC">
        <w:rPr>
          <w:rFonts w:asciiTheme="majorHAnsi" w:hAnsiTheme="majorHAnsi" w:cstheme="majorHAnsi"/>
          <w:sz w:val="24"/>
          <w:szCs w:val="24"/>
        </w:rPr>
        <w:t xml:space="preserve"> </w:t>
      </w:r>
      <w:r>
        <w:rPr>
          <w:rFonts w:asciiTheme="majorHAnsi" w:hAnsiTheme="majorHAnsi" w:cstheme="majorHAnsi"/>
          <w:sz w:val="24"/>
          <w:szCs w:val="24"/>
        </w:rPr>
        <w:t>for patient and provider</w:t>
      </w:r>
    </w:p>
    <w:p w14:paraId="2347D134" w14:textId="77777777" w:rsidR="002E103D" w:rsidRDefault="002E103D" w:rsidP="00AA7184">
      <w:pPr>
        <w:spacing w:after="120" w:line="240" w:lineRule="auto"/>
        <w:rPr>
          <w:rFonts w:ascii="Calibri" w:eastAsia="Calibri" w:hAnsi="Calibri" w:cs="Calibri"/>
          <w:sz w:val="24"/>
          <w:szCs w:val="24"/>
        </w:rPr>
      </w:pPr>
    </w:p>
    <w:p w14:paraId="42EBCE24" w14:textId="77777777" w:rsidR="002E11A4" w:rsidRPr="00ED6171" w:rsidRDefault="002E11A4" w:rsidP="002E11A4">
      <w:pPr>
        <w:pStyle w:val="Style4"/>
        <w:ind w:left="0" w:firstLine="0"/>
        <w:rPr>
          <w:rFonts w:asciiTheme="majorHAnsi" w:hAnsiTheme="majorHAnsi"/>
          <w:color w:val="4F6228" w:themeColor="accent3" w:themeShade="80"/>
        </w:rPr>
      </w:pPr>
      <w:r w:rsidRPr="00ED6171">
        <w:rPr>
          <w:rFonts w:asciiTheme="majorHAnsi" w:hAnsiTheme="majorHAnsi"/>
          <w:color w:val="4F6228" w:themeColor="accent3" w:themeShade="80"/>
        </w:rPr>
        <w:t>Low Value Care</w:t>
      </w:r>
    </w:p>
    <w:p w14:paraId="6B501E5B" w14:textId="77777777" w:rsidR="002E11A4" w:rsidRPr="001E501D" w:rsidRDefault="002E11A4" w:rsidP="002E11A4">
      <w:p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 xml:space="preserve">Low Value Care </w:t>
      </w:r>
      <w:proofErr w:type="gramStart"/>
      <w:r>
        <w:rPr>
          <w:rFonts w:asciiTheme="majorHAnsi" w:eastAsia="Calibri" w:hAnsiTheme="majorHAnsi" w:cs="Calibri"/>
          <w:sz w:val="24"/>
          <w:szCs w:val="24"/>
        </w:rPr>
        <w:t>is considered to be</w:t>
      </w:r>
      <w:proofErr w:type="gramEnd"/>
      <w:r>
        <w:rPr>
          <w:rFonts w:asciiTheme="majorHAnsi" w:eastAsia="Calibri" w:hAnsiTheme="majorHAnsi" w:cs="Calibri"/>
          <w:sz w:val="24"/>
          <w:szCs w:val="24"/>
        </w:rPr>
        <w:t xml:space="preserve"> </w:t>
      </w:r>
      <w:r w:rsidRPr="001E501D">
        <w:rPr>
          <w:rFonts w:asciiTheme="majorHAnsi" w:eastAsia="Calibri" w:hAnsiTheme="majorHAnsi" w:cs="Calibri"/>
          <w:i/>
          <w:sz w:val="24"/>
          <w:szCs w:val="24"/>
        </w:rPr>
        <w:t>‘</w:t>
      </w:r>
      <w:r>
        <w:rPr>
          <w:rFonts w:asciiTheme="majorHAnsi" w:eastAsia="Calibri" w:hAnsiTheme="majorHAnsi" w:cs="Calibri"/>
          <w:i/>
          <w:sz w:val="24"/>
          <w:szCs w:val="24"/>
        </w:rPr>
        <w:t>c</w:t>
      </w:r>
      <w:r w:rsidRPr="001E501D">
        <w:rPr>
          <w:rFonts w:asciiTheme="majorHAnsi" w:eastAsia="Calibri" w:hAnsiTheme="majorHAnsi" w:cs="Calibri"/>
          <w:i/>
          <w:sz w:val="24"/>
          <w:szCs w:val="24"/>
        </w:rPr>
        <w:t>are that confers no benefit or benefit that is disproportionately low compared with its cost is of low value and potentially wastes limited resources</w:t>
      </w:r>
      <w:r>
        <w:rPr>
          <w:rStyle w:val="FootnoteReference"/>
          <w:rFonts w:asciiTheme="majorHAnsi" w:eastAsia="Calibri" w:hAnsiTheme="majorHAnsi" w:cs="Calibri"/>
          <w:i/>
          <w:sz w:val="24"/>
          <w:szCs w:val="24"/>
        </w:rPr>
        <w:footnoteReference w:id="8"/>
      </w:r>
      <w:r w:rsidRPr="001E501D">
        <w:rPr>
          <w:rFonts w:asciiTheme="majorHAnsi" w:eastAsia="Calibri" w:hAnsiTheme="majorHAnsi" w:cs="Calibri"/>
          <w:i/>
          <w:sz w:val="24"/>
          <w:szCs w:val="24"/>
        </w:rPr>
        <w:t>’</w:t>
      </w:r>
      <w:r w:rsidRPr="001E501D">
        <w:rPr>
          <w:rFonts w:asciiTheme="majorHAnsi" w:eastAsia="Calibri" w:hAnsiTheme="majorHAnsi" w:cs="Calibri"/>
          <w:sz w:val="24"/>
          <w:szCs w:val="24"/>
        </w:rPr>
        <w:t>.</w:t>
      </w:r>
    </w:p>
    <w:p w14:paraId="7BA97CBF" w14:textId="77777777" w:rsidR="002E11A4" w:rsidRPr="00ED6171" w:rsidRDefault="002E11A4" w:rsidP="002E11A4">
      <w:p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The Working Group understands that simply because a service is delivered in person does not guarantee it will be a high value service for the patient, but in line with Clinical Efficacy above, the Working Group accepts face-to-face consultations to be the benchmark standard of care.</w:t>
      </w:r>
    </w:p>
    <w:p w14:paraId="17737212" w14:textId="597FDB8A" w:rsidR="002E11A4" w:rsidRDefault="002E11A4" w:rsidP="00AA7184">
      <w:pPr>
        <w:spacing w:after="120" w:line="240" w:lineRule="auto"/>
        <w:rPr>
          <w:rFonts w:ascii="Calibri" w:eastAsia="Calibri" w:hAnsi="Calibri" w:cs="Calibri"/>
          <w:sz w:val="24"/>
          <w:szCs w:val="24"/>
        </w:rPr>
      </w:pPr>
    </w:p>
    <w:p w14:paraId="042B2E2D" w14:textId="77777777" w:rsidR="002E103D" w:rsidRDefault="002E103D" w:rsidP="002E103D">
      <w:pPr>
        <w:rPr>
          <w:rFonts w:asciiTheme="majorHAnsi" w:eastAsia="Calibri" w:hAnsiTheme="majorHAnsi" w:cs="Calibri"/>
          <w:b/>
          <w:bCs/>
          <w:color w:val="01653F"/>
          <w:sz w:val="24"/>
          <w:szCs w:val="24"/>
        </w:rPr>
      </w:pPr>
      <w:r w:rsidRPr="57D0558D">
        <w:rPr>
          <w:rFonts w:asciiTheme="majorHAnsi" w:eastAsia="Calibri" w:hAnsiTheme="majorHAnsi" w:cs="Calibri"/>
          <w:b/>
          <w:bCs/>
          <w:color w:val="01653F"/>
          <w:sz w:val="24"/>
          <w:szCs w:val="24"/>
        </w:rPr>
        <w:t>Value</w:t>
      </w:r>
    </w:p>
    <w:p w14:paraId="07972009" w14:textId="77777777" w:rsidR="002E103D" w:rsidRDefault="002E103D" w:rsidP="002E103D">
      <w:pPr>
        <w:spacing w:after="120" w:line="240" w:lineRule="auto"/>
        <w:rPr>
          <w:rFonts w:asciiTheme="majorHAnsi" w:eastAsia="Calibri" w:hAnsiTheme="majorHAnsi" w:cs="Calibri"/>
          <w:sz w:val="24"/>
          <w:szCs w:val="24"/>
        </w:rPr>
      </w:pPr>
      <w:r w:rsidRPr="00FE0850">
        <w:rPr>
          <w:rFonts w:asciiTheme="majorHAnsi" w:eastAsia="Calibri" w:hAnsiTheme="majorHAnsi" w:cs="Calibri"/>
          <w:sz w:val="24"/>
          <w:szCs w:val="24"/>
        </w:rPr>
        <w:t xml:space="preserve">Value is </w:t>
      </w:r>
      <w:r>
        <w:rPr>
          <w:rFonts w:asciiTheme="majorHAnsi" w:eastAsia="Calibri" w:hAnsiTheme="majorHAnsi" w:cs="Calibri"/>
          <w:sz w:val="24"/>
          <w:szCs w:val="24"/>
        </w:rPr>
        <w:t>understood to be health benefit for individuals and the community for the resources invested.</w:t>
      </w:r>
    </w:p>
    <w:p w14:paraId="4BB4A8C6" w14:textId="19CC4927" w:rsidR="002E103D" w:rsidRPr="00A24416" w:rsidRDefault="732068EB" w:rsidP="2913B4AA">
      <w:pPr>
        <w:rPr>
          <w:rFonts w:asciiTheme="majorHAnsi" w:eastAsia="Calibri" w:hAnsiTheme="majorHAnsi" w:cs="Calibri"/>
          <w:sz w:val="24"/>
          <w:szCs w:val="24"/>
        </w:rPr>
      </w:pPr>
      <w:r w:rsidRPr="2913B4AA">
        <w:rPr>
          <w:rFonts w:asciiTheme="majorHAnsi" w:eastAsia="Calibri" w:hAnsiTheme="majorHAnsi" w:cs="Calibri"/>
          <w:i/>
          <w:iCs/>
          <w:sz w:val="24"/>
          <w:szCs w:val="24"/>
        </w:rPr>
        <w:t>Value for the individual patient</w:t>
      </w:r>
      <w:r w:rsidRPr="2913B4AA">
        <w:rPr>
          <w:rFonts w:asciiTheme="majorHAnsi" w:eastAsia="Calibri" w:hAnsiTheme="majorHAnsi" w:cs="Calibri"/>
          <w:sz w:val="24"/>
          <w:szCs w:val="24"/>
        </w:rPr>
        <w:t>—supports the delivery of services that are appropriate to the patient’s needs</w:t>
      </w:r>
      <w:r w:rsidR="3F740D5D" w:rsidRPr="2913B4AA">
        <w:rPr>
          <w:rFonts w:asciiTheme="majorHAnsi" w:eastAsia="Calibri" w:hAnsiTheme="majorHAnsi" w:cs="Calibri"/>
          <w:sz w:val="24"/>
          <w:szCs w:val="24"/>
        </w:rPr>
        <w:t xml:space="preserve"> and preferences</w:t>
      </w:r>
      <w:r w:rsidRPr="2913B4AA">
        <w:rPr>
          <w:rFonts w:asciiTheme="majorHAnsi" w:eastAsia="Calibri" w:hAnsiTheme="majorHAnsi" w:cs="Calibri"/>
          <w:sz w:val="24"/>
          <w:szCs w:val="24"/>
        </w:rPr>
        <w:t>, provide real clinical benefit and do not expose the patient to unnecessary risk expense or inconvenience.</w:t>
      </w:r>
    </w:p>
    <w:p w14:paraId="6CBB93E9" w14:textId="77777777" w:rsidR="002E103D" w:rsidRPr="00A24416" w:rsidRDefault="002E103D" w:rsidP="002E103D">
      <w:pPr>
        <w:rPr>
          <w:rFonts w:asciiTheme="majorHAnsi" w:eastAsia="Calibri" w:hAnsiTheme="majorHAnsi" w:cs="Calibri"/>
          <w:sz w:val="24"/>
          <w:szCs w:val="24"/>
        </w:rPr>
      </w:pPr>
      <w:r w:rsidRPr="00A24416">
        <w:rPr>
          <w:rFonts w:asciiTheme="majorHAnsi" w:eastAsia="Calibri" w:hAnsiTheme="majorHAnsi" w:cs="Calibri"/>
          <w:i/>
          <w:sz w:val="24"/>
          <w:szCs w:val="24"/>
        </w:rPr>
        <w:t>Value for the provider</w:t>
      </w:r>
      <w:r w:rsidRPr="00A24416">
        <w:rPr>
          <w:rFonts w:asciiTheme="majorHAnsi" w:eastAsia="Calibri" w:hAnsiTheme="majorHAnsi" w:cs="Calibri"/>
          <w:i/>
          <w:sz w:val="24"/>
          <w:szCs w:val="24"/>
        </w:rPr>
        <w:softHyphen/>
      </w:r>
      <w:r w:rsidRPr="00A24416">
        <w:rPr>
          <w:rFonts w:asciiTheme="majorHAnsi" w:eastAsia="Calibri" w:hAnsiTheme="majorHAnsi" w:cs="Calibri"/>
          <w:sz w:val="24"/>
          <w:szCs w:val="24"/>
        </w:rPr>
        <w:t>—achieve efficiencies and greater patient satisfaction.</w:t>
      </w:r>
    </w:p>
    <w:p w14:paraId="732645A1" w14:textId="77777777" w:rsidR="002E103D" w:rsidRPr="00A24416" w:rsidRDefault="002E103D" w:rsidP="002E103D">
      <w:pPr>
        <w:rPr>
          <w:rFonts w:asciiTheme="majorHAnsi" w:eastAsia="Calibri" w:hAnsiTheme="majorHAnsi" w:cs="Calibri"/>
          <w:sz w:val="24"/>
          <w:szCs w:val="24"/>
        </w:rPr>
      </w:pPr>
      <w:r w:rsidRPr="00A24416">
        <w:rPr>
          <w:rFonts w:asciiTheme="majorHAnsi" w:eastAsia="Calibri" w:hAnsiTheme="majorHAnsi" w:cs="Calibri"/>
          <w:i/>
          <w:sz w:val="24"/>
          <w:szCs w:val="24"/>
        </w:rPr>
        <w:t>Value for the health system</w:t>
      </w:r>
      <w:r w:rsidRPr="00A24416">
        <w:rPr>
          <w:rFonts w:asciiTheme="majorHAnsi" w:eastAsia="Calibri" w:hAnsiTheme="majorHAnsi" w:cs="Calibri"/>
          <w:sz w:val="24"/>
          <w:szCs w:val="24"/>
        </w:rPr>
        <w:t>—enables resources to be directed to services that have proven benefit.</w:t>
      </w:r>
    </w:p>
    <w:p w14:paraId="00FFA5E7" w14:textId="29A7130F" w:rsidR="00592088" w:rsidRDefault="00592088">
      <w:pPr>
        <w:rPr>
          <w:rFonts w:asciiTheme="majorHAnsi" w:eastAsia="Calibri" w:hAnsiTheme="majorHAnsi" w:cs="Calibri"/>
          <w:sz w:val="24"/>
          <w:szCs w:val="24"/>
        </w:rPr>
      </w:pPr>
    </w:p>
    <w:p w14:paraId="75BB0CC0" w14:textId="77777777" w:rsidR="00592088" w:rsidRDefault="00592088">
      <w:pPr>
        <w:rPr>
          <w:rFonts w:asciiTheme="majorHAnsi" w:eastAsia="Calibri" w:hAnsiTheme="majorHAnsi" w:cs="Calibri"/>
          <w:b/>
          <w:color w:val="01653F"/>
          <w:sz w:val="24"/>
          <w:szCs w:val="24"/>
        </w:rPr>
      </w:pPr>
      <w:r w:rsidRPr="002F2938">
        <w:rPr>
          <w:rFonts w:asciiTheme="majorHAnsi" w:eastAsia="Calibri" w:hAnsiTheme="majorHAnsi" w:cs="Calibri"/>
          <w:b/>
          <w:color w:val="01653F"/>
          <w:sz w:val="24"/>
          <w:szCs w:val="24"/>
        </w:rPr>
        <w:t xml:space="preserve">Quadruple Aim </w:t>
      </w:r>
    </w:p>
    <w:p w14:paraId="7893F8B5" w14:textId="77777777" w:rsidR="00F9441E" w:rsidRDefault="007A7893" w:rsidP="007A7893">
      <w:pPr>
        <w:rPr>
          <w:rFonts w:asciiTheme="majorHAnsi" w:eastAsia="Calibri" w:hAnsiTheme="majorHAnsi" w:cs="Calibri"/>
          <w:sz w:val="24"/>
          <w:szCs w:val="24"/>
        </w:rPr>
      </w:pPr>
      <w:r w:rsidRPr="007A7893">
        <w:rPr>
          <w:rFonts w:asciiTheme="majorHAnsi" w:eastAsia="Calibri" w:hAnsiTheme="majorHAnsi" w:cs="Calibri"/>
          <w:sz w:val="24"/>
          <w:szCs w:val="24"/>
        </w:rPr>
        <w:t xml:space="preserve">The Quadruple aim is a well-regarded framework for </w:t>
      </w:r>
      <w:proofErr w:type="spellStart"/>
      <w:r w:rsidRPr="007A7893">
        <w:rPr>
          <w:rFonts w:asciiTheme="majorHAnsi" w:eastAsia="Calibri" w:hAnsiTheme="majorHAnsi" w:cs="Calibri"/>
          <w:sz w:val="24"/>
          <w:szCs w:val="24"/>
        </w:rPr>
        <w:t>optimising</w:t>
      </w:r>
      <w:proofErr w:type="spellEnd"/>
      <w:r w:rsidRPr="007A7893">
        <w:rPr>
          <w:rFonts w:asciiTheme="majorHAnsi" w:eastAsia="Calibri" w:hAnsiTheme="majorHAnsi" w:cs="Calibri"/>
          <w:sz w:val="24"/>
          <w:szCs w:val="24"/>
        </w:rPr>
        <w:t xml:space="preserve"> health system performance. </w:t>
      </w:r>
    </w:p>
    <w:p w14:paraId="10739C06" w14:textId="77777777" w:rsidR="006F5A14" w:rsidRDefault="007A7893" w:rsidP="007A7893">
      <w:pPr>
        <w:rPr>
          <w:rFonts w:asciiTheme="majorHAnsi" w:eastAsia="Calibri" w:hAnsiTheme="majorHAnsi" w:cs="Calibri"/>
          <w:sz w:val="24"/>
          <w:szCs w:val="24"/>
        </w:rPr>
      </w:pPr>
      <w:r w:rsidRPr="007A7893">
        <w:rPr>
          <w:rFonts w:asciiTheme="majorHAnsi" w:eastAsia="Calibri" w:hAnsiTheme="majorHAnsi" w:cs="Calibri"/>
          <w:sz w:val="24"/>
          <w:szCs w:val="24"/>
        </w:rPr>
        <w:t>The Quadruple Aim is</w:t>
      </w:r>
      <w:r w:rsidR="00F81D11">
        <w:rPr>
          <w:rStyle w:val="FootnoteReference"/>
          <w:rFonts w:asciiTheme="majorHAnsi" w:eastAsia="Calibri" w:hAnsiTheme="majorHAnsi" w:cs="Calibri"/>
          <w:sz w:val="24"/>
          <w:szCs w:val="24"/>
        </w:rPr>
        <w:footnoteReference w:id="9"/>
      </w:r>
      <w:r w:rsidRPr="007A7893">
        <w:rPr>
          <w:rFonts w:asciiTheme="majorHAnsi" w:eastAsia="Calibri" w:hAnsiTheme="majorHAnsi" w:cs="Calibri"/>
          <w:sz w:val="24"/>
          <w:szCs w:val="24"/>
        </w:rPr>
        <w:t xml:space="preserve">: </w:t>
      </w:r>
    </w:p>
    <w:p w14:paraId="7E00FF08" w14:textId="77777777" w:rsidR="002B65FD" w:rsidRDefault="007A7893" w:rsidP="00B8257F">
      <w:pPr>
        <w:ind w:firstLine="720"/>
        <w:rPr>
          <w:rFonts w:asciiTheme="majorHAnsi" w:eastAsia="Calibri" w:hAnsiTheme="majorHAnsi" w:cs="Calibri"/>
          <w:sz w:val="24"/>
          <w:szCs w:val="24"/>
        </w:rPr>
      </w:pPr>
      <w:r w:rsidRPr="007A7893">
        <w:rPr>
          <w:rFonts w:asciiTheme="majorHAnsi" w:eastAsia="Calibri" w:hAnsiTheme="majorHAnsi" w:cs="Calibri"/>
          <w:sz w:val="24"/>
          <w:szCs w:val="24"/>
        </w:rPr>
        <w:t>1. Improving the patient experience of care (including quality and satisfaction</w:t>
      </w:r>
      <w:proofErr w:type="gramStart"/>
      <w:r w:rsidRPr="007A7893">
        <w:rPr>
          <w:rFonts w:asciiTheme="majorHAnsi" w:eastAsia="Calibri" w:hAnsiTheme="majorHAnsi" w:cs="Calibri"/>
          <w:sz w:val="24"/>
          <w:szCs w:val="24"/>
        </w:rPr>
        <w:t>);</w:t>
      </w:r>
      <w:proofErr w:type="gramEnd"/>
    </w:p>
    <w:p w14:paraId="4214586F" w14:textId="77777777" w:rsidR="00E70F06" w:rsidRDefault="007A7893" w:rsidP="00B8257F">
      <w:pPr>
        <w:ind w:firstLine="720"/>
        <w:rPr>
          <w:rFonts w:asciiTheme="majorHAnsi" w:eastAsia="Calibri" w:hAnsiTheme="majorHAnsi" w:cs="Calibri"/>
          <w:sz w:val="24"/>
          <w:szCs w:val="24"/>
        </w:rPr>
      </w:pPr>
      <w:r w:rsidRPr="007A7893">
        <w:rPr>
          <w:rFonts w:asciiTheme="majorHAnsi" w:eastAsia="Calibri" w:hAnsiTheme="majorHAnsi" w:cs="Calibri"/>
          <w:sz w:val="24"/>
          <w:szCs w:val="24"/>
        </w:rPr>
        <w:t xml:space="preserve">2. Improving the work life of health care </w:t>
      </w:r>
      <w:proofErr w:type="gramStart"/>
      <w:r w:rsidRPr="007A7893">
        <w:rPr>
          <w:rFonts w:asciiTheme="majorHAnsi" w:eastAsia="Calibri" w:hAnsiTheme="majorHAnsi" w:cs="Calibri"/>
          <w:sz w:val="24"/>
          <w:szCs w:val="24"/>
        </w:rPr>
        <w:t>providers</w:t>
      </w:r>
      <w:r w:rsidR="00E70F06">
        <w:rPr>
          <w:rFonts w:asciiTheme="majorHAnsi" w:eastAsia="Calibri" w:hAnsiTheme="majorHAnsi" w:cs="Calibri"/>
          <w:sz w:val="24"/>
          <w:szCs w:val="24"/>
        </w:rPr>
        <w:t>;</w:t>
      </w:r>
      <w:proofErr w:type="gramEnd"/>
    </w:p>
    <w:p w14:paraId="66CB66AC" w14:textId="77777777" w:rsidR="004F30E9" w:rsidRDefault="007A7893" w:rsidP="00B8257F">
      <w:pPr>
        <w:ind w:firstLine="720"/>
        <w:rPr>
          <w:rFonts w:asciiTheme="majorHAnsi" w:eastAsia="Calibri" w:hAnsiTheme="majorHAnsi" w:cs="Calibri"/>
          <w:sz w:val="24"/>
          <w:szCs w:val="24"/>
        </w:rPr>
      </w:pPr>
      <w:r w:rsidRPr="007A7893">
        <w:rPr>
          <w:rFonts w:asciiTheme="majorHAnsi" w:eastAsia="Calibri" w:hAnsiTheme="majorHAnsi" w:cs="Calibri"/>
          <w:sz w:val="24"/>
          <w:szCs w:val="24"/>
        </w:rPr>
        <w:t>3. Improving the health of populations; and</w:t>
      </w:r>
    </w:p>
    <w:p w14:paraId="782B1956" w14:textId="7620E3AD" w:rsidR="007A7893" w:rsidRPr="007A7893" w:rsidRDefault="007A7893" w:rsidP="002F2938">
      <w:pPr>
        <w:ind w:firstLine="720"/>
        <w:rPr>
          <w:rFonts w:asciiTheme="majorHAnsi" w:eastAsia="Calibri" w:hAnsiTheme="majorHAnsi" w:cs="Calibri"/>
          <w:sz w:val="24"/>
          <w:szCs w:val="24"/>
        </w:rPr>
      </w:pPr>
      <w:r w:rsidRPr="007A7893">
        <w:rPr>
          <w:rFonts w:asciiTheme="majorHAnsi" w:eastAsia="Calibri" w:hAnsiTheme="majorHAnsi" w:cs="Calibri"/>
          <w:sz w:val="24"/>
          <w:szCs w:val="24"/>
        </w:rPr>
        <w:t>4. Improving the cost-efficiency of the health system.</w:t>
      </w:r>
    </w:p>
    <w:p w14:paraId="2AF25B21" w14:textId="2837ABFE" w:rsidR="008427E3" w:rsidRPr="002F2938" w:rsidRDefault="008427E3" w:rsidP="007A7893">
      <w:pPr>
        <w:rPr>
          <w:rFonts w:asciiTheme="majorHAnsi" w:eastAsia="Calibri" w:hAnsiTheme="majorHAnsi" w:cs="Calibri"/>
          <w:b/>
          <w:color w:val="01653F"/>
          <w:sz w:val="24"/>
          <w:szCs w:val="24"/>
        </w:rPr>
      </w:pPr>
      <w:r w:rsidRPr="002F2938">
        <w:rPr>
          <w:rFonts w:asciiTheme="majorHAnsi" w:eastAsia="Calibri" w:hAnsiTheme="majorHAnsi" w:cs="Calibri"/>
          <w:b/>
          <w:color w:val="01653F"/>
          <w:sz w:val="24"/>
          <w:szCs w:val="24"/>
        </w:rPr>
        <w:br w:type="page"/>
      </w:r>
    </w:p>
    <w:p w14:paraId="2EC94E9D" w14:textId="77777777" w:rsidR="00974B3E" w:rsidRPr="008E7FF0" w:rsidRDefault="00EE0F63" w:rsidP="008E7FF0">
      <w:pPr>
        <w:pStyle w:val="Heading1"/>
        <w:keepLines w:val="0"/>
        <w:widowControl w:val="0"/>
        <w:pBdr>
          <w:bottom w:val="single" w:sz="16" w:space="11" w:color="BFBFBF"/>
        </w:pBdr>
        <w:spacing w:before="0" w:after="360" w:line="240" w:lineRule="auto"/>
        <w:rPr>
          <w:rFonts w:ascii="Calibri" w:eastAsia="Calibri" w:hAnsi="Calibri" w:cs="Calibri"/>
          <w:b/>
          <w:color w:val="01653F"/>
        </w:rPr>
      </w:pPr>
      <w:bookmarkStart w:id="13" w:name="_Toc42764224"/>
      <w:r>
        <w:rPr>
          <w:rFonts w:ascii="Calibri" w:eastAsia="Calibri" w:hAnsi="Calibri" w:cs="Calibri"/>
          <w:b/>
          <w:color w:val="01653F"/>
        </w:rPr>
        <w:lastRenderedPageBreak/>
        <w:t xml:space="preserve">Objective 1: </w:t>
      </w:r>
      <w:r w:rsidR="00974B3E" w:rsidRPr="008E7FF0">
        <w:rPr>
          <w:rFonts w:ascii="Calibri" w:eastAsia="Calibri" w:hAnsi="Calibri" w:cs="Calibri"/>
          <w:b/>
          <w:color w:val="01653F"/>
        </w:rPr>
        <w:t>Consider telehealth as a broader concept</w:t>
      </w:r>
      <w:bookmarkEnd w:id="13"/>
      <w:r w:rsidR="00974B3E" w:rsidRPr="008E7FF0">
        <w:rPr>
          <w:rFonts w:ascii="Calibri" w:eastAsia="Calibri" w:hAnsi="Calibri" w:cs="Calibri"/>
          <w:b/>
          <w:color w:val="01653F"/>
        </w:rPr>
        <w:t xml:space="preserve"> </w:t>
      </w:r>
    </w:p>
    <w:p w14:paraId="1460DB9F" w14:textId="733F3AAA" w:rsidR="00116AC3" w:rsidRDefault="00116AC3" w:rsidP="00ED6171">
      <w:pPr>
        <w:spacing w:after="120" w:line="240" w:lineRule="auto"/>
        <w:rPr>
          <w:rFonts w:asciiTheme="majorHAnsi" w:hAnsiTheme="majorHAnsi" w:cstheme="majorHAnsi"/>
          <w:sz w:val="24"/>
          <w:szCs w:val="24"/>
        </w:rPr>
      </w:pPr>
      <w:r>
        <w:rPr>
          <w:rFonts w:asciiTheme="majorHAnsi" w:hAnsiTheme="majorHAnsi" w:cstheme="majorHAnsi"/>
          <w:sz w:val="24"/>
          <w:szCs w:val="24"/>
        </w:rPr>
        <w:t>The Working Group have consulted a range of experts and considered a diversity of research and publications relating to telehealth in Australia</w:t>
      </w:r>
      <w:r w:rsidR="008851E1">
        <w:rPr>
          <w:rFonts w:asciiTheme="majorHAnsi" w:hAnsiTheme="majorHAnsi" w:cstheme="majorHAnsi"/>
          <w:sz w:val="24"/>
          <w:szCs w:val="24"/>
        </w:rPr>
        <w:t xml:space="preserve"> and internationally</w:t>
      </w:r>
      <w:r w:rsidR="0062507D">
        <w:rPr>
          <w:rFonts w:asciiTheme="majorHAnsi" w:hAnsiTheme="majorHAnsi" w:cstheme="majorHAnsi"/>
          <w:sz w:val="24"/>
          <w:szCs w:val="24"/>
        </w:rPr>
        <w:t xml:space="preserve"> </w:t>
      </w:r>
      <w:r w:rsidR="00642B5F">
        <w:rPr>
          <w:rFonts w:asciiTheme="majorHAnsi" w:hAnsiTheme="majorHAnsi" w:cstheme="majorHAnsi"/>
          <w:sz w:val="24"/>
          <w:szCs w:val="24"/>
        </w:rPr>
        <w:t xml:space="preserve">in </w:t>
      </w:r>
      <w:r w:rsidR="0062507D">
        <w:rPr>
          <w:rFonts w:asciiTheme="majorHAnsi" w:hAnsiTheme="majorHAnsi" w:cstheme="majorHAnsi"/>
          <w:sz w:val="24"/>
          <w:szCs w:val="24"/>
        </w:rPr>
        <w:t>considering telehealth within the Australian health system</w:t>
      </w:r>
      <w:r>
        <w:rPr>
          <w:rFonts w:asciiTheme="majorHAnsi" w:hAnsiTheme="majorHAnsi" w:cstheme="majorHAnsi"/>
          <w:sz w:val="24"/>
          <w:szCs w:val="24"/>
        </w:rPr>
        <w:t>.</w:t>
      </w:r>
    </w:p>
    <w:p w14:paraId="4E5D2B40" w14:textId="1EF9E9B8" w:rsidR="00452EDB" w:rsidRDefault="00452EDB" w:rsidP="008851E1">
      <w:pPr>
        <w:spacing w:after="120" w:line="240" w:lineRule="auto"/>
        <w:rPr>
          <w:rFonts w:asciiTheme="majorHAnsi" w:hAnsiTheme="majorHAnsi" w:cstheme="majorHAnsi"/>
          <w:sz w:val="24"/>
          <w:szCs w:val="24"/>
        </w:rPr>
      </w:pPr>
      <w:r w:rsidDel="00452EDB">
        <w:rPr>
          <w:rFonts w:asciiTheme="majorHAnsi" w:hAnsiTheme="majorHAnsi" w:cstheme="majorHAnsi"/>
          <w:sz w:val="24"/>
          <w:szCs w:val="24"/>
        </w:rPr>
        <w:t xml:space="preserve"> </w:t>
      </w:r>
      <w:r w:rsidR="00A91D48">
        <w:rPr>
          <w:rFonts w:asciiTheme="majorHAnsi" w:hAnsiTheme="majorHAnsi" w:cstheme="majorHAnsi"/>
          <w:sz w:val="24"/>
          <w:szCs w:val="24"/>
        </w:rPr>
        <w:t>‘</w:t>
      </w:r>
      <w:r>
        <w:rPr>
          <w:rFonts w:asciiTheme="majorHAnsi" w:hAnsiTheme="majorHAnsi" w:cstheme="majorHAnsi"/>
          <w:sz w:val="24"/>
          <w:szCs w:val="24"/>
        </w:rPr>
        <w:t>A National Telehealth Strategy for Australia – For Discussion Michael Gill</w:t>
      </w:r>
      <w:r w:rsidR="00A91D48">
        <w:rPr>
          <w:rFonts w:asciiTheme="majorHAnsi" w:hAnsiTheme="majorHAnsi" w:cstheme="majorHAnsi"/>
          <w:sz w:val="24"/>
          <w:szCs w:val="24"/>
        </w:rPr>
        <w:t>’</w:t>
      </w:r>
      <w:r>
        <w:rPr>
          <w:rFonts w:asciiTheme="majorHAnsi" w:hAnsiTheme="majorHAnsi" w:cstheme="majorHAnsi"/>
          <w:sz w:val="24"/>
          <w:szCs w:val="24"/>
        </w:rPr>
        <w:t xml:space="preserve"> </w:t>
      </w:r>
      <w:r w:rsidR="00A91D48">
        <w:rPr>
          <w:rFonts w:asciiTheme="majorHAnsi" w:hAnsiTheme="majorHAnsi" w:cstheme="majorHAnsi"/>
          <w:sz w:val="24"/>
          <w:szCs w:val="24"/>
        </w:rPr>
        <w:t>states that:</w:t>
      </w:r>
    </w:p>
    <w:p w14:paraId="2E0F2BDC" w14:textId="28CF627E" w:rsidR="008851E1" w:rsidRPr="00A5163A" w:rsidRDefault="008851E1" w:rsidP="00A5163A">
      <w:pPr>
        <w:spacing w:after="120" w:line="240" w:lineRule="auto"/>
        <w:ind w:left="720"/>
        <w:rPr>
          <w:rFonts w:asciiTheme="majorHAnsi" w:hAnsiTheme="majorHAnsi" w:cstheme="majorHAnsi"/>
          <w:i/>
          <w:sz w:val="24"/>
          <w:szCs w:val="24"/>
        </w:rPr>
      </w:pPr>
      <w:r w:rsidRPr="00A5163A">
        <w:rPr>
          <w:rFonts w:asciiTheme="majorHAnsi" w:hAnsiTheme="majorHAnsi" w:cstheme="majorHAnsi"/>
          <w:i/>
          <w:sz w:val="24"/>
          <w:szCs w:val="24"/>
        </w:rPr>
        <w:t xml:space="preserve">‘Telehealth as a concept is interchangeable with telemedicine in terms of utility and addresses the collection and/or exchange of information electronically between doctors, allied health and patients in both synchronous and asynchronous modes. It ranges from telephone call </w:t>
      </w:r>
      <w:proofErr w:type="spellStart"/>
      <w:r w:rsidRPr="00A5163A">
        <w:rPr>
          <w:rFonts w:asciiTheme="majorHAnsi" w:hAnsiTheme="majorHAnsi" w:cstheme="majorHAnsi"/>
          <w:i/>
          <w:sz w:val="24"/>
          <w:szCs w:val="24"/>
        </w:rPr>
        <w:t>centres</w:t>
      </w:r>
      <w:proofErr w:type="spellEnd"/>
      <w:r w:rsidRPr="00A5163A">
        <w:rPr>
          <w:rFonts w:asciiTheme="majorHAnsi" w:hAnsiTheme="majorHAnsi" w:cstheme="majorHAnsi"/>
          <w:i/>
          <w:sz w:val="24"/>
          <w:szCs w:val="24"/>
        </w:rPr>
        <w:t xml:space="preserve"> to vital sign monitoring to video imagery for the delivery of health-at-a-distance. Telehealth has particular relevance for aged care, disaster situations, individual clinician support and for </w:t>
      </w:r>
      <w:proofErr w:type="gramStart"/>
      <w:r w:rsidRPr="00A5163A">
        <w:rPr>
          <w:rFonts w:asciiTheme="majorHAnsi" w:hAnsiTheme="majorHAnsi" w:cstheme="majorHAnsi"/>
          <w:i/>
          <w:sz w:val="24"/>
          <w:szCs w:val="24"/>
        </w:rPr>
        <w:t xml:space="preserve">team </w:t>
      </w:r>
      <w:r w:rsidRPr="00A5163A">
        <w:rPr>
          <w:rFonts w:asciiTheme="majorHAnsi" w:hAnsiTheme="majorHAnsi" w:cs="TimesNewRomanPSMT"/>
          <w:i/>
          <w:sz w:val="24"/>
          <w:szCs w:val="24"/>
          <w:lang w:val="en-AU"/>
        </w:rPr>
        <w:t>based</w:t>
      </w:r>
      <w:proofErr w:type="gramEnd"/>
      <w:r w:rsidRPr="00A5163A">
        <w:rPr>
          <w:rFonts w:asciiTheme="majorHAnsi" w:hAnsiTheme="majorHAnsi" w:cs="TimesNewRomanPSMT"/>
          <w:i/>
          <w:sz w:val="24"/>
          <w:szCs w:val="24"/>
          <w:lang w:val="en-AU"/>
        </w:rPr>
        <w:t xml:space="preserve"> support for complex conditions</w:t>
      </w:r>
      <w:r w:rsidRPr="00A5163A">
        <w:rPr>
          <w:rStyle w:val="FootnoteReference"/>
          <w:rFonts w:asciiTheme="majorHAnsi" w:hAnsiTheme="majorHAnsi" w:cs="TimesNewRomanPSMT"/>
          <w:i/>
          <w:sz w:val="24"/>
          <w:szCs w:val="24"/>
          <w:lang w:val="en-AU"/>
        </w:rPr>
        <w:footnoteReference w:id="10"/>
      </w:r>
      <w:r w:rsidRPr="00A5163A">
        <w:rPr>
          <w:rFonts w:asciiTheme="majorHAnsi" w:hAnsiTheme="majorHAnsi" w:cs="TimesNewRomanPSMT"/>
          <w:i/>
          <w:sz w:val="24"/>
          <w:szCs w:val="24"/>
          <w:lang w:val="en-AU"/>
        </w:rPr>
        <w:t>’.</w:t>
      </w:r>
    </w:p>
    <w:p w14:paraId="27534FBC" w14:textId="3F447CF1" w:rsidR="00116AC3" w:rsidRPr="00116AC3" w:rsidRDefault="00116AC3" w:rsidP="00116AC3">
      <w:pPr>
        <w:spacing w:after="120" w:line="240" w:lineRule="auto"/>
        <w:rPr>
          <w:rFonts w:asciiTheme="majorHAnsi" w:hAnsiTheme="majorHAnsi" w:cstheme="majorHAnsi"/>
          <w:sz w:val="24"/>
          <w:szCs w:val="24"/>
        </w:rPr>
      </w:pPr>
      <w:r w:rsidRPr="00116AC3">
        <w:rPr>
          <w:rFonts w:asciiTheme="majorHAnsi" w:hAnsiTheme="majorHAnsi" w:cstheme="majorHAnsi"/>
          <w:sz w:val="24"/>
          <w:szCs w:val="24"/>
        </w:rPr>
        <w:t xml:space="preserve">With the emergence of blended payment models and voluntary enrolment, the </w:t>
      </w:r>
      <w:r w:rsidR="008851E1">
        <w:rPr>
          <w:rFonts w:asciiTheme="majorHAnsi" w:hAnsiTheme="majorHAnsi" w:cstheme="majorHAnsi"/>
          <w:sz w:val="24"/>
          <w:szCs w:val="24"/>
        </w:rPr>
        <w:t xml:space="preserve">Working Group </w:t>
      </w:r>
      <w:proofErr w:type="spellStart"/>
      <w:r w:rsidRPr="00116AC3">
        <w:rPr>
          <w:rFonts w:asciiTheme="majorHAnsi" w:hAnsiTheme="majorHAnsi" w:cstheme="majorHAnsi"/>
          <w:sz w:val="24"/>
          <w:szCs w:val="24"/>
        </w:rPr>
        <w:t>recognises</w:t>
      </w:r>
      <w:proofErr w:type="spellEnd"/>
      <w:r w:rsidRPr="00116AC3">
        <w:rPr>
          <w:rFonts w:asciiTheme="majorHAnsi" w:hAnsiTheme="majorHAnsi" w:cstheme="majorHAnsi"/>
          <w:sz w:val="24"/>
          <w:szCs w:val="24"/>
        </w:rPr>
        <w:t xml:space="preserve"> there are opportunities for the more broadly defined telehealth concept to extend beyond the remit of the current fee-for-service MBS model. </w:t>
      </w:r>
    </w:p>
    <w:p w14:paraId="522C9308" w14:textId="55423B6A" w:rsidR="008851E1" w:rsidRPr="00E37B47" w:rsidRDefault="00E37B47" w:rsidP="00E37B47">
      <w:pPr>
        <w:pStyle w:val="Style4"/>
        <w:ind w:left="0" w:firstLine="0"/>
      </w:pPr>
      <w:r w:rsidRPr="00E37B47">
        <w:t>Expert consultation</w:t>
      </w:r>
      <w:r w:rsidR="008851E1" w:rsidRPr="00E37B47">
        <w:t>:</w:t>
      </w:r>
    </w:p>
    <w:p w14:paraId="37F2A769" w14:textId="77777777" w:rsidR="00A91D48" w:rsidRPr="00B627C5" w:rsidRDefault="00A91D48" w:rsidP="00B627C5">
      <w:pPr>
        <w:spacing w:after="120" w:line="240" w:lineRule="auto"/>
        <w:rPr>
          <w:rFonts w:asciiTheme="majorHAnsi" w:hAnsiTheme="majorHAnsi" w:cstheme="majorHAnsi"/>
          <w:sz w:val="24"/>
          <w:szCs w:val="24"/>
        </w:rPr>
      </w:pPr>
      <w:r w:rsidRPr="00B627C5">
        <w:rPr>
          <w:rFonts w:asciiTheme="majorHAnsi" w:hAnsiTheme="majorHAnsi" w:cstheme="majorHAnsi"/>
          <w:sz w:val="24"/>
          <w:szCs w:val="24"/>
        </w:rPr>
        <w:t>The Telehealth Working Group consulted telehealth experts from a range of professions, including dermatology, nursing, midwifery, allied health (including speech pathology and physiotherapy), psychiatry, psychology, optometry and ophthalmology, geriatric services and wound care.</w:t>
      </w:r>
    </w:p>
    <w:p w14:paraId="5CD6887D" w14:textId="77777777" w:rsidR="00A91D48" w:rsidRPr="00B627C5" w:rsidRDefault="00A91D48" w:rsidP="00B627C5">
      <w:pPr>
        <w:spacing w:after="120" w:line="240" w:lineRule="auto"/>
        <w:rPr>
          <w:rFonts w:asciiTheme="majorHAnsi" w:hAnsiTheme="majorHAnsi" w:cstheme="majorHAnsi"/>
          <w:b/>
          <w:sz w:val="24"/>
          <w:szCs w:val="24"/>
          <w:u w:val="single"/>
        </w:rPr>
      </w:pPr>
      <w:r w:rsidRPr="00B627C5">
        <w:rPr>
          <w:rFonts w:asciiTheme="majorHAnsi" w:hAnsiTheme="majorHAnsi" w:cstheme="majorHAnsi"/>
          <w:b/>
          <w:sz w:val="24"/>
          <w:szCs w:val="24"/>
          <w:u w:val="single"/>
        </w:rPr>
        <w:t>Dr Jim Muir (Tele-</w:t>
      </w:r>
      <w:proofErr w:type="spellStart"/>
      <w:r w:rsidRPr="00B627C5">
        <w:rPr>
          <w:rFonts w:asciiTheme="majorHAnsi" w:hAnsiTheme="majorHAnsi" w:cstheme="majorHAnsi"/>
          <w:b/>
          <w:sz w:val="24"/>
          <w:szCs w:val="24"/>
          <w:u w:val="single"/>
        </w:rPr>
        <w:t>Derm</w:t>
      </w:r>
      <w:proofErr w:type="spellEnd"/>
      <w:r w:rsidRPr="00B627C5">
        <w:rPr>
          <w:rFonts w:asciiTheme="majorHAnsi" w:hAnsiTheme="majorHAnsi" w:cstheme="majorHAnsi"/>
          <w:b/>
          <w:sz w:val="24"/>
          <w:szCs w:val="24"/>
          <w:u w:val="single"/>
        </w:rPr>
        <w:t xml:space="preserve"> National)</w:t>
      </w:r>
    </w:p>
    <w:p w14:paraId="2D3EFD1A" w14:textId="77777777" w:rsidR="00A91D48" w:rsidRPr="00B627C5" w:rsidRDefault="00A91D48" w:rsidP="00B627C5">
      <w:pPr>
        <w:spacing w:after="120" w:line="240" w:lineRule="auto"/>
        <w:rPr>
          <w:rFonts w:asciiTheme="majorHAnsi" w:hAnsiTheme="majorHAnsi" w:cstheme="majorHAnsi"/>
          <w:sz w:val="24"/>
          <w:szCs w:val="24"/>
        </w:rPr>
      </w:pPr>
      <w:r w:rsidRPr="00B627C5">
        <w:rPr>
          <w:rFonts w:asciiTheme="majorHAnsi" w:hAnsiTheme="majorHAnsi" w:cstheme="majorHAnsi"/>
          <w:sz w:val="24"/>
          <w:szCs w:val="24"/>
        </w:rPr>
        <w:t>Dr Muir has run a combined telehealth service since 2003 called Tele-</w:t>
      </w:r>
      <w:proofErr w:type="spellStart"/>
      <w:r w:rsidRPr="00B627C5">
        <w:rPr>
          <w:rFonts w:asciiTheme="majorHAnsi" w:hAnsiTheme="majorHAnsi" w:cstheme="majorHAnsi"/>
          <w:sz w:val="24"/>
          <w:szCs w:val="24"/>
        </w:rPr>
        <w:t>Derm</w:t>
      </w:r>
      <w:proofErr w:type="spellEnd"/>
      <w:r w:rsidRPr="00B627C5">
        <w:rPr>
          <w:rFonts w:asciiTheme="majorHAnsi" w:hAnsiTheme="majorHAnsi" w:cstheme="majorHAnsi"/>
          <w:sz w:val="24"/>
          <w:szCs w:val="24"/>
        </w:rPr>
        <w:t xml:space="preserve"> National. Tele-</w:t>
      </w:r>
      <w:proofErr w:type="spellStart"/>
      <w:r w:rsidRPr="00B627C5">
        <w:rPr>
          <w:rFonts w:asciiTheme="majorHAnsi" w:hAnsiTheme="majorHAnsi" w:cstheme="majorHAnsi"/>
          <w:sz w:val="24"/>
          <w:szCs w:val="24"/>
        </w:rPr>
        <w:t>Derm</w:t>
      </w:r>
      <w:proofErr w:type="spellEnd"/>
      <w:r w:rsidRPr="00B627C5">
        <w:rPr>
          <w:rFonts w:asciiTheme="majorHAnsi" w:hAnsiTheme="majorHAnsi" w:cstheme="majorHAnsi"/>
          <w:sz w:val="24"/>
          <w:szCs w:val="24"/>
        </w:rPr>
        <w:t xml:space="preserve"> uses a store-and-forward modality. This modality allows the dermatologist to provide education to the referring GP and the dermatologist is not required to be in a live virtual room and can attend cases when they need to. Tele-</w:t>
      </w:r>
      <w:proofErr w:type="spellStart"/>
      <w:r w:rsidRPr="00B627C5">
        <w:rPr>
          <w:rFonts w:asciiTheme="majorHAnsi" w:hAnsiTheme="majorHAnsi" w:cstheme="majorHAnsi"/>
          <w:sz w:val="24"/>
          <w:szCs w:val="24"/>
        </w:rPr>
        <w:t>Derm</w:t>
      </w:r>
      <w:proofErr w:type="spellEnd"/>
      <w:r w:rsidRPr="00B627C5">
        <w:rPr>
          <w:rFonts w:asciiTheme="majorHAnsi" w:hAnsiTheme="majorHAnsi" w:cstheme="majorHAnsi"/>
          <w:sz w:val="24"/>
          <w:szCs w:val="24"/>
        </w:rPr>
        <w:t xml:space="preserve"> services are freely available for members of the Australian College of Rural and Remote Medicine (ACRRM) and clinicians in sufficiently rural and remote areas. The funding is provided over 3 years by the Federal Government as a block payment to ACRRM, who then pay a salary to Dr Muir.</w:t>
      </w:r>
    </w:p>
    <w:p w14:paraId="3374D058" w14:textId="77777777" w:rsidR="00A91D48" w:rsidRPr="00B627C5" w:rsidRDefault="00A91D48" w:rsidP="00B627C5">
      <w:pPr>
        <w:spacing w:after="120" w:line="240" w:lineRule="auto"/>
        <w:rPr>
          <w:rFonts w:asciiTheme="majorHAnsi" w:hAnsiTheme="majorHAnsi" w:cstheme="majorHAnsi"/>
          <w:sz w:val="24"/>
          <w:szCs w:val="24"/>
        </w:rPr>
      </w:pPr>
      <w:r w:rsidRPr="00B627C5">
        <w:rPr>
          <w:rFonts w:asciiTheme="majorHAnsi" w:hAnsiTheme="majorHAnsi" w:cstheme="majorHAnsi"/>
          <w:sz w:val="24"/>
          <w:szCs w:val="24"/>
        </w:rPr>
        <w:t>Additional information on Tele-</w:t>
      </w:r>
      <w:proofErr w:type="spellStart"/>
      <w:r w:rsidRPr="00B627C5">
        <w:rPr>
          <w:rFonts w:asciiTheme="majorHAnsi" w:hAnsiTheme="majorHAnsi" w:cstheme="majorHAnsi"/>
          <w:sz w:val="24"/>
          <w:szCs w:val="24"/>
        </w:rPr>
        <w:t>Derm</w:t>
      </w:r>
      <w:proofErr w:type="spellEnd"/>
      <w:r w:rsidRPr="00B627C5">
        <w:rPr>
          <w:rFonts w:asciiTheme="majorHAnsi" w:hAnsiTheme="majorHAnsi" w:cstheme="majorHAnsi"/>
          <w:sz w:val="24"/>
          <w:szCs w:val="24"/>
        </w:rPr>
        <w:t xml:space="preserve"> National is available at </w:t>
      </w:r>
      <w:hyperlink r:id="rId18">
        <w:r w:rsidRPr="00B627C5">
          <w:rPr>
            <w:rFonts w:asciiTheme="majorHAnsi" w:hAnsiTheme="majorHAnsi" w:cstheme="majorHAnsi"/>
            <w:color w:val="1155CC"/>
            <w:sz w:val="24"/>
            <w:szCs w:val="24"/>
            <w:u w:val="single"/>
          </w:rPr>
          <w:t>http://www.ehealth.acrrm.org.au/provider/tele-derm</w:t>
        </w:r>
      </w:hyperlink>
      <w:r w:rsidRPr="00B627C5">
        <w:rPr>
          <w:rFonts w:asciiTheme="majorHAnsi" w:hAnsiTheme="majorHAnsi" w:cstheme="majorHAnsi"/>
          <w:sz w:val="24"/>
          <w:szCs w:val="24"/>
        </w:rPr>
        <w:t>.</w:t>
      </w:r>
    </w:p>
    <w:p w14:paraId="23642136" w14:textId="77777777" w:rsidR="00A91D48" w:rsidRPr="00B627C5" w:rsidRDefault="00A91D48" w:rsidP="00B627C5">
      <w:pPr>
        <w:spacing w:after="120" w:line="240" w:lineRule="auto"/>
        <w:rPr>
          <w:rFonts w:asciiTheme="majorHAnsi" w:hAnsiTheme="majorHAnsi" w:cstheme="majorHAnsi"/>
          <w:sz w:val="24"/>
          <w:szCs w:val="24"/>
        </w:rPr>
      </w:pPr>
      <w:r w:rsidRPr="00B627C5">
        <w:rPr>
          <w:rFonts w:asciiTheme="majorHAnsi" w:hAnsiTheme="majorHAnsi" w:cstheme="majorHAnsi"/>
          <w:b/>
          <w:sz w:val="24"/>
          <w:szCs w:val="24"/>
          <w:u w:val="single"/>
        </w:rPr>
        <w:t>Prof Len Gray</w:t>
      </w:r>
    </w:p>
    <w:p w14:paraId="535AE371" w14:textId="2538A509" w:rsidR="00A91D48" w:rsidRPr="00B627C5" w:rsidRDefault="00A91D48" w:rsidP="00B627C5">
      <w:pPr>
        <w:spacing w:after="120" w:line="240" w:lineRule="auto"/>
        <w:rPr>
          <w:rFonts w:asciiTheme="majorHAnsi" w:hAnsiTheme="majorHAnsi" w:cstheme="majorHAnsi"/>
          <w:sz w:val="24"/>
          <w:szCs w:val="24"/>
        </w:rPr>
      </w:pPr>
      <w:r w:rsidRPr="00B627C5">
        <w:rPr>
          <w:rFonts w:asciiTheme="majorHAnsi" w:hAnsiTheme="majorHAnsi" w:cstheme="majorHAnsi"/>
          <w:sz w:val="24"/>
          <w:szCs w:val="24"/>
        </w:rPr>
        <w:t xml:space="preserve">Prof Gray is the Director of the Centre for Health Services Research within the Faculty of Medicine at the University of </w:t>
      </w:r>
      <w:r w:rsidR="002F2938" w:rsidRPr="00B627C5">
        <w:rPr>
          <w:rFonts w:asciiTheme="majorHAnsi" w:hAnsiTheme="majorHAnsi" w:cstheme="majorHAnsi"/>
          <w:sz w:val="24"/>
          <w:szCs w:val="24"/>
        </w:rPr>
        <w:t>Queensland and</w:t>
      </w:r>
      <w:r w:rsidRPr="00B627C5">
        <w:rPr>
          <w:rFonts w:asciiTheme="majorHAnsi" w:hAnsiTheme="majorHAnsi" w:cstheme="majorHAnsi"/>
          <w:sz w:val="24"/>
          <w:szCs w:val="24"/>
        </w:rPr>
        <w:t xml:space="preserve"> has been working in telemedicine since 2007. Prof Gray proposed a multi-modal delivery strategy. Prof Gray proposed inclusion of telephone, email and messaging as well as</w:t>
      </w:r>
      <w:r w:rsidRPr="00B627C5">
        <w:rPr>
          <w:rFonts w:asciiTheme="majorHAnsi" w:hAnsiTheme="majorHAnsi" w:cstheme="majorHAnsi"/>
          <w:i/>
          <w:sz w:val="24"/>
          <w:szCs w:val="24"/>
        </w:rPr>
        <w:t xml:space="preserve"> </w:t>
      </w:r>
      <w:r w:rsidRPr="00B627C5">
        <w:rPr>
          <w:rFonts w:asciiTheme="majorHAnsi" w:hAnsiTheme="majorHAnsi" w:cstheme="majorHAnsi"/>
          <w:sz w:val="24"/>
          <w:szCs w:val="24"/>
        </w:rPr>
        <w:t xml:space="preserve">videoconferencing, as each modality offers something different to assist the patient, noting that telehealth modalities provide benefits outside the care given, examples given were the patient time savings from transport, monetary savings from not having to pay for parking, patients not needing to take time off work. Prof Gray identified a </w:t>
      </w:r>
      <w:r w:rsidRPr="00B627C5">
        <w:rPr>
          <w:rFonts w:asciiTheme="majorHAnsi" w:hAnsiTheme="majorHAnsi" w:cstheme="majorHAnsi"/>
          <w:sz w:val="24"/>
          <w:szCs w:val="24"/>
        </w:rPr>
        <w:lastRenderedPageBreak/>
        <w:t xml:space="preserve">limitation of current telehealth modalities is that if a practice nurse is required at the patient-end of the consult (example given if the patient is cognitively impaired) the nurse is not paid for their time. </w:t>
      </w:r>
    </w:p>
    <w:p w14:paraId="4A2259CF" w14:textId="77777777" w:rsidR="00A91D48" w:rsidRPr="00B627C5" w:rsidRDefault="00A91D48" w:rsidP="00B627C5">
      <w:pPr>
        <w:spacing w:after="120" w:line="240" w:lineRule="auto"/>
        <w:rPr>
          <w:rFonts w:asciiTheme="majorHAnsi" w:hAnsiTheme="majorHAnsi" w:cstheme="majorHAnsi"/>
          <w:b/>
          <w:sz w:val="24"/>
          <w:szCs w:val="24"/>
          <w:u w:val="single"/>
        </w:rPr>
      </w:pPr>
      <w:r w:rsidRPr="00B627C5">
        <w:rPr>
          <w:rFonts w:asciiTheme="majorHAnsi" w:hAnsiTheme="majorHAnsi" w:cstheme="majorHAnsi"/>
          <w:b/>
          <w:sz w:val="24"/>
          <w:szCs w:val="24"/>
          <w:u w:val="single"/>
        </w:rPr>
        <w:t xml:space="preserve">Katherine </w:t>
      </w:r>
      <w:proofErr w:type="spellStart"/>
      <w:r w:rsidRPr="00B627C5">
        <w:rPr>
          <w:rFonts w:asciiTheme="majorHAnsi" w:hAnsiTheme="majorHAnsi" w:cstheme="majorHAnsi"/>
          <w:b/>
          <w:sz w:val="24"/>
          <w:szCs w:val="24"/>
          <w:u w:val="single"/>
        </w:rPr>
        <w:t>Isbister</w:t>
      </w:r>
      <w:proofErr w:type="spellEnd"/>
    </w:p>
    <w:p w14:paraId="22DC3E15" w14:textId="77777777" w:rsidR="00A91D48" w:rsidRPr="00B627C5" w:rsidRDefault="00A91D48" w:rsidP="00B627C5">
      <w:pPr>
        <w:spacing w:after="120" w:line="240" w:lineRule="auto"/>
        <w:rPr>
          <w:rFonts w:asciiTheme="majorHAnsi" w:hAnsiTheme="majorHAnsi" w:cstheme="majorHAnsi"/>
          <w:sz w:val="24"/>
          <w:szCs w:val="24"/>
        </w:rPr>
      </w:pPr>
      <w:proofErr w:type="spellStart"/>
      <w:r w:rsidRPr="00B627C5">
        <w:rPr>
          <w:rFonts w:asciiTheme="majorHAnsi" w:hAnsiTheme="majorHAnsi" w:cstheme="majorHAnsi"/>
          <w:sz w:val="24"/>
          <w:szCs w:val="24"/>
        </w:rPr>
        <w:t>Ms</w:t>
      </w:r>
      <w:proofErr w:type="spellEnd"/>
      <w:r w:rsidRPr="00B627C5">
        <w:rPr>
          <w:rFonts w:asciiTheme="majorHAnsi" w:hAnsiTheme="majorHAnsi" w:cstheme="majorHAnsi"/>
          <w:sz w:val="24"/>
          <w:szCs w:val="24"/>
        </w:rPr>
        <w:t xml:space="preserve"> </w:t>
      </w:r>
      <w:proofErr w:type="spellStart"/>
      <w:r w:rsidRPr="00B627C5">
        <w:rPr>
          <w:rFonts w:asciiTheme="majorHAnsi" w:hAnsiTheme="majorHAnsi" w:cstheme="majorHAnsi"/>
          <w:sz w:val="24"/>
          <w:szCs w:val="24"/>
        </w:rPr>
        <w:t>Isbister</w:t>
      </w:r>
      <w:proofErr w:type="spellEnd"/>
      <w:r w:rsidRPr="00B627C5">
        <w:rPr>
          <w:rFonts w:asciiTheme="majorHAnsi" w:hAnsiTheme="majorHAnsi" w:cstheme="majorHAnsi"/>
          <w:sz w:val="24"/>
          <w:szCs w:val="24"/>
        </w:rPr>
        <w:t xml:space="preserve"> is an employee of CRANA, who represent remote area nurses, midwives and allied health professionals. She noted in her experience telehealth services have meant people do not need to leave their family or community and this has multiple cultural safety advantages, including easier access to family and support people. Remote telehealth services can also prevent </w:t>
      </w:r>
      <w:proofErr w:type="spellStart"/>
      <w:r w:rsidRPr="00B627C5">
        <w:rPr>
          <w:rFonts w:asciiTheme="majorHAnsi" w:hAnsiTheme="majorHAnsi" w:cstheme="majorHAnsi"/>
          <w:sz w:val="24"/>
          <w:szCs w:val="24"/>
        </w:rPr>
        <w:t>hospitalisation</w:t>
      </w:r>
      <w:proofErr w:type="spellEnd"/>
      <w:r w:rsidRPr="00B627C5">
        <w:rPr>
          <w:rFonts w:asciiTheme="majorHAnsi" w:hAnsiTheme="majorHAnsi" w:cstheme="majorHAnsi"/>
          <w:sz w:val="24"/>
          <w:szCs w:val="24"/>
        </w:rPr>
        <w:t xml:space="preserve"> - which saves the system money because of the reduced need for aeromedical retrieval. </w:t>
      </w:r>
      <w:proofErr w:type="spellStart"/>
      <w:r w:rsidRPr="00B627C5">
        <w:rPr>
          <w:rFonts w:asciiTheme="majorHAnsi" w:hAnsiTheme="majorHAnsi" w:cstheme="majorHAnsi"/>
          <w:sz w:val="24"/>
          <w:szCs w:val="24"/>
        </w:rPr>
        <w:t>Ms</w:t>
      </w:r>
      <w:proofErr w:type="spellEnd"/>
      <w:r w:rsidRPr="00B627C5">
        <w:rPr>
          <w:rFonts w:asciiTheme="majorHAnsi" w:hAnsiTheme="majorHAnsi" w:cstheme="majorHAnsi"/>
          <w:sz w:val="24"/>
          <w:szCs w:val="24"/>
        </w:rPr>
        <w:t xml:space="preserve"> </w:t>
      </w:r>
      <w:proofErr w:type="spellStart"/>
      <w:r w:rsidRPr="00B627C5">
        <w:rPr>
          <w:rFonts w:asciiTheme="majorHAnsi" w:hAnsiTheme="majorHAnsi" w:cstheme="majorHAnsi"/>
          <w:sz w:val="24"/>
          <w:szCs w:val="24"/>
        </w:rPr>
        <w:t>Isbister</w:t>
      </w:r>
      <w:proofErr w:type="spellEnd"/>
      <w:r w:rsidRPr="00B627C5">
        <w:rPr>
          <w:rFonts w:asciiTheme="majorHAnsi" w:hAnsiTheme="majorHAnsi" w:cstheme="majorHAnsi"/>
          <w:sz w:val="24"/>
          <w:szCs w:val="24"/>
        </w:rPr>
        <w:t xml:space="preserve"> noted limitations of telehealth at present include lack of resourcing, lack of patient understanding and poor infrastructure and connectivity in some locations. She recommended investments in infrastructure with a focus on ease of use, and still upskilling to manage this infrastructure. She also noted store-and-forward capabilities are required. Examples given were an ECG or patient history transmitted before a telehealth consult.</w:t>
      </w:r>
    </w:p>
    <w:p w14:paraId="05763814" w14:textId="77777777" w:rsidR="00A91D48" w:rsidRPr="00B627C5" w:rsidRDefault="00A91D48" w:rsidP="00B627C5">
      <w:pPr>
        <w:spacing w:after="120" w:line="240" w:lineRule="auto"/>
        <w:rPr>
          <w:rFonts w:asciiTheme="majorHAnsi" w:hAnsiTheme="majorHAnsi" w:cstheme="majorHAnsi"/>
          <w:b/>
          <w:sz w:val="24"/>
          <w:szCs w:val="24"/>
          <w:u w:val="single"/>
        </w:rPr>
      </w:pPr>
      <w:r w:rsidRPr="00B627C5">
        <w:rPr>
          <w:rFonts w:asciiTheme="majorHAnsi" w:hAnsiTheme="majorHAnsi" w:cstheme="majorHAnsi"/>
          <w:b/>
          <w:sz w:val="24"/>
          <w:szCs w:val="24"/>
          <w:u w:val="single"/>
        </w:rPr>
        <w:t xml:space="preserve">Dr George </w:t>
      </w:r>
      <w:proofErr w:type="spellStart"/>
      <w:r w:rsidRPr="00B627C5">
        <w:rPr>
          <w:rFonts w:asciiTheme="majorHAnsi" w:hAnsiTheme="majorHAnsi" w:cstheme="majorHAnsi"/>
          <w:b/>
          <w:sz w:val="24"/>
          <w:szCs w:val="24"/>
          <w:u w:val="single"/>
        </w:rPr>
        <w:t>Margelis</w:t>
      </w:r>
      <w:proofErr w:type="spellEnd"/>
    </w:p>
    <w:p w14:paraId="23520B0B" w14:textId="77777777" w:rsidR="00A91D48" w:rsidRPr="00B627C5" w:rsidRDefault="00A91D48" w:rsidP="00B627C5">
      <w:pPr>
        <w:spacing w:after="120" w:line="240" w:lineRule="auto"/>
        <w:rPr>
          <w:rFonts w:asciiTheme="majorHAnsi" w:hAnsiTheme="majorHAnsi" w:cstheme="majorHAnsi"/>
          <w:sz w:val="24"/>
          <w:szCs w:val="24"/>
          <w:u w:val="single"/>
        </w:rPr>
      </w:pPr>
      <w:r w:rsidRPr="00B627C5">
        <w:rPr>
          <w:rFonts w:asciiTheme="majorHAnsi" w:hAnsiTheme="majorHAnsi" w:cstheme="majorHAnsi"/>
          <w:sz w:val="24"/>
          <w:szCs w:val="24"/>
        </w:rPr>
        <w:t xml:space="preserve">Dr </w:t>
      </w:r>
      <w:proofErr w:type="spellStart"/>
      <w:r w:rsidRPr="00B627C5">
        <w:rPr>
          <w:rFonts w:asciiTheme="majorHAnsi" w:hAnsiTheme="majorHAnsi" w:cstheme="majorHAnsi"/>
          <w:sz w:val="24"/>
          <w:szCs w:val="24"/>
        </w:rPr>
        <w:t>Margelis</w:t>
      </w:r>
      <w:proofErr w:type="spellEnd"/>
      <w:r w:rsidRPr="00B627C5">
        <w:rPr>
          <w:rFonts w:asciiTheme="majorHAnsi" w:hAnsiTheme="majorHAnsi" w:cstheme="majorHAnsi"/>
          <w:sz w:val="24"/>
          <w:szCs w:val="24"/>
        </w:rPr>
        <w:t xml:space="preserve"> has 15 years’ experience in telehealth and provided input on telehealth access restrictions. Dr </w:t>
      </w:r>
      <w:proofErr w:type="spellStart"/>
      <w:r w:rsidRPr="00B627C5">
        <w:rPr>
          <w:rFonts w:asciiTheme="majorHAnsi" w:hAnsiTheme="majorHAnsi" w:cstheme="majorHAnsi"/>
          <w:sz w:val="24"/>
          <w:szCs w:val="24"/>
        </w:rPr>
        <w:t>Margelis</w:t>
      </w:r>
      <w:proofErr w:type="spellEnd"/>
      <w:r w:rsidRPr="00B627C5">
        <w:rPr>
          <w:rFonts w:asciiTheme="majorHAnsi" w:hAnsiTheme="majorHAnsi" w:cstheme="majorHAnsi"/>
          <w:sz w:val="24"/>
          <w:szCs w:val="24"/>
        </w:rPr>
        <w:t xml:space="preserve"> provided examples where the physical presence of the practitioner does not add value to the consult. Dr </w:t>
      </w:r>
      <w:proofErr w:type="spellStart"/>
      <w:r w:rsidRPr="00B627C5">
        <w:rPr>
          <w:rFonts w:asciiTheme="majorHAnsi" w:hAnsiTheme="majorHAnsi" w:cstheme="majorHAnsi"/>
          <w:sz w:val="24"/>
          <w:szCs w:val="24"/>
        </w:rPr>
        <w:t>Margelis</w:t>
      </w:r>
      <w:proofErr w:type="spellEnd"/>
      <w:r w:rsidRPr="00B627C5">
        <w:rPr>
          <w:rFonts w:asciiTheme="majorHAnsi" w:hAnsiTheme="majorHAnsi" w:cstheme="majorHAnsi"/>
          <w:sz w:val="24"/>
          <w:szCs w:val="24"/>
        </w:rPr>
        <w:t xml:space="preserve"> further discussed limitations of telehealth modalities and noted one of the key things from a clinician’s perspective is the need for seamless integration of new telehealth modalities. Telehealth service delivery will need to be the ability to seamlessly switch between a telehealth visit vs. an in-person visit vs. a medication review.</w:t>
      </w:r>
    </w:p>
    <w:p w14:paraId="1608E99E" w14:textId="77777777" w:rsidR="00A91D48" w:rsidRPr="00B627C5" w:rsidRDefault="00A91D48" w:rsidP="00B627C5">
      <w:pPr>
        <w:spacing w:after="120" w:line="240" w:lineRule="auto"/>
        <w:rPr>
          <w:rFonts w:asciiTheme="majorHAnsi" w:hAnsiTheme="majorHAnsi" w:cstheme="majorHAnsi"/>
          <w:b/>
          <w:sz w:val="24"/>
          <w:szCs w:val="24"/>
          <w:u w:val="single"/>
        </w:rPr>
      </w:pPr>
      <w:r w:rsidRPr="00B627C5">
        <w:rPr>
          <w:rFonts w:asciiTheme="majorHAnsi" w:hAnsiTheme="majorHAnsi" w:cstheme="majorHAnsi"/>
          <w:b/>
          <w:sz w:val="24"/>
          <w:szCs w:val="24"/>
          <w:u w:val="single"/>
        </w:rPr>
        <w:t>Miranda Shaw &amp; Dr Owen Hutchings</w:t>
      </w:r>
    </w:p>
    <w:p w14:paraId="6EF7221F" w14:textId="4378B116" w:rsidR="00A91D48" w:rsidRPr="00B627C5" w:rsidRDefault="00A91D48" w:rsidP="00B627C5">
      <w:pPr>
        <w:spacing w:after="120" w:line="240" w:lineRule="auto"/>
        <w:rPr>
          <w:rFonts w:asciiTheme="majorHAnsi" w:hAnsiTheme="majorHAnsi" w:cstheme="majorHAnsi"/>
          <w:sz w:val="24"/>
          <w:szCs w:val="24"/>
        </w:rPr>
      </w:pPr>
      <w:proofErr w:type="spellStart"/>
      <w:r w:rsidRPr="00B627C5">
        <w:rPr>
          <w:rFonts w:asciiTheme="majorHAnsi" w:hAnsiTheme="majorHAnsi" w:cstheme="majorHAnsi"/>
          <w:sz w:val="24"/>
          <w:szCs w:val="24"/>
        </w:rPr>
        <w:t>Ms</w:t>
      </w:r>
      <w:proofErr w:type="spellEnd"/>
      <w:r w:rsidRPr="00B627C5">
        <w:rPr>
          <w:rFonts w:asciiTheme="majorHAnsi" w:hAnsiTheme="majorHAnsi" w:cstheme="majorHAnsi"/>
          <w:sz w:val="24"/>
          <w:szCs w:val="24"/>
        </w:rPr>
        <w:t xml:space="preserve"> Shaw and Dr Hutchings provided information to the Working Group about a virtual model of care being developed by NSW Health. They discussed the benefits and limitations of the new model being </w:t>
      </w:r>
      <w:r w:rsidR="00485DED" w:rsidRPr="00B627C5">
        <w:rPr>
          <w:rFonts w:asciiTheme="majorHAnsi" w:hAnsiTheme="majorHAnsi" w:cstheme="majorHAnsi"/>
          <w:sz w:val="24"/>
          <w:szCs w:val="24"/>
        </w:rPr>
        <w:t>trialed</w:t>
      </w:r>
      <w:r w:rsidRPr="00B627C5">
        <w:rPr>
          <w:rFonts w:asciiTheme="majorHAnsi" w:hAnsiTheme="majorHAnsi" w:cstheme="majorHAnsi"/>
          <w:sz w:val="24"/>
          <w:szCs w:val="24"/>
        </w:rPr>
        <w:t xml:space="preserve"> and provided input on patient access restrictions, funding models, education and training options for clinicians and role of telehealth as part of the primary care landscape of Australian health into the future.</w:t>
      </w:r>
    </w:p>
    <w:p w14:paraId="7CF07A9A" w14:textId="77777777" w:rsidR="00A91D48" w:rsidRPr="00B627C5" w:rsidRDefault="00A91D48" w:rsidP="00B627C5">
      <w:pPr>
        <w:spacing w:after="120" w:line="240" w:lineRule="auto"/>
        <w:rPr>
          <w:rFonts w:asciiTheme="majorHAnsi" w:hAnsiTheme="majorHAnsi" w:cstheme="majorHAnsi"/>
          <w:b/>
          <w:sz w:val="24"/>
          <w:szCs w:val="24"/>
          <w:u w:val="single"/>
        </w:rPr>
      </w:pPr>
      <w:r w:rsidRPr="00B627C5">
        <w:rPr>
          <w:rFonts w:asciiTheme="majorHAnsi" w:hAnsiTheme="majorHAnsi" w:cstheme="majorHAnsi"/>
          <w:b/>
          <w:sz w:val="24"/>
          <w:szCs w:val="24"/>
          <w:u w:val="single"/>
        </w:rPr>
        <w:t>Dr Jenny Prentice</w:t>
      </w:r>
    </w:p>
    <w:p w14:paraId="309C554A" w14:textId="77777777" w:rsidR="00A91D48" w:rsidRPr="00B627C5" w:rsidRDefault="00A91D48" w:rsidP="00B627C5">
      <w:pPr>
        <w:spacing w:after="120" w:line="240" w:lineRule="auto"/>
        <w:rPr>
          <w:rFonts w:asciiTheme="majorHAnsi" w:hAnsiTheme="majorHAnsi" w:cstheme="majorHAnsi"/>
          <w:sz w:val="24"/>
          <w:szCs w:val="24"/>
        </w:rPr>
      </w:pPr>
      <w:r w:rsidRPr="00B627C5">
        <w:rPr>
          <w:rFonts w:asciiTheme="majorHAnsi" w:hAnsiTheme="majorHAnsi" w:cstheme="majorHAnsi"/>
          <w:sz w:val="24"/>
          <w:szCs w:val="24"/>
        </w:rPr>
        <w:t xml:space="preserve">Dr Prentice is a clinical nurse consultant </w:t>
      </w:r>
      <w:proofErr w:type="spellStart"/>
      <w:r w:rsidRPr="00B627C5">
        <w:rPr>
          <w:rFonts w:asciiTheme="majorHAnsi" w:hAnsiTheme="majorHAnsi" w:cstheme="majorHAnsi"/>
          <w:sz w:val="24"/>
          <w:szCs w:val="24"/>
        </w:rPr>
        <w:t>specialising</w:t>
      </w:r>
      <w:proofErr w:type="spellEnd"/>
      <w:r w:rsidRPr="00B627C5">
        <w:rPr>
          <w:rFonts w:asciiTheme="majorHAnsi" w:hAnsiTheme="majorHAnsi" w:cstheme="majorHAnsi"/>
          <w:sz w:val="24"/>
          <w:szCs w:val="24"/>
        </w:rPr>
        <w:t xml:space="preserve"> in wounds, skin and ostomy care. Dr Prentice declared a conflict of interest, she is a current employee of Hall and Prior Aged Care Group and additionally currently works for an employer that provides wound management telehealth. Dr Prentice provided the Working Group information on current wound care service provided by real-time telehealth consultations via a nurse with a tablet at the patient’s bedside. Dr Prentice also provided the Working Group information on synchronous and asynchronous modalities for telehealth.</w:t>
      </w:r>
    </w:p>
    <w:p w14:paraId="00877D0E" w14:textId="77777777" w:rsidR="00A91D48" w:rsidRPr="00B627C5" w:rsidRDefault="00A91D48" w:rsidP="00B627C5">
      <w:pPr>
        <w:spacing w:after="120" w:line="240" w:lineRule="auto"/>
        <w:rPr>
          <w:rFonts w:asciiTheme="majorHAnsi" w:hAnsiTheme="majorHAnsi" w:cstheme="majorHAnsi"/>
          <w:b/>
          <w:sz w:val="24"/>
          <w:szCs w:val="24"/>
          <w:u w:val="single"/>
        </w:rPr>
      </w:pPr>
      <w:r w:rsidRPr="00B627C5">
        <w:rPr>
          <w:rFonts w:asciiTheme="majorHAnsi" w:hAnsiTheme="majorHAnsi" w:cstheme="majorHAnsi"/>
          <w:b/>
          <w:sz w:val="24"/>
          <w:szCs w:val="24"/>
          <w:u w:val="single"/>
        </w:rPr>
        <w:t>A/Prof Angus Turner</w:t>
      </w:r>
    </w:p>
    <w:p w14:paraId="68D540A6" w14:textId="3EFF1519" w:rsidR="00A91D48" w:rsidRPr="00B627C5" w:rsidRDefault="00A91D48" w:rsidP="00B627C5">
      <w:pPr>
        <w:spacing w:after="120" w:line="240" w:lineRule="auto"/>
        <w:rPr>
          <w:rFonts w:asciiTheme="majorHAnsi" w:hAnsiTheme="majorHAnsi" w:cstheme="majorHAnsi"/>
          <w:sz w:val="24"/>
          <w:szCs w:val="24"/>
        </w:rPr>
      </w:pPr>
      <w:r w:rsidRPr="00B627C5">
        <w:rPr>
          <w:rFonts w:asciiTheme="majorHAnsi" w:hAnsiTheme="majorHAnsi" w:cstheme="majorHAnsi"/>
          <w:sz w:val="24"/>
          <w:szCs w:val="24"/>
        </w:rPr>
        <w:t>A/Prof Turner is an ophthalmologist and discussed with the Working Group the role of telehealth in Optometry, which was included on the MBS Schedule in 2015. A/Prof Turner noted that an on</w:t>
      </w:r>
      <w:r w:rsidR="002F2938">
        <w:rPr>
          <w:rFonts w:asciiTheme="majorHAnsi" w:hAnsiTheme="majorHAnsi" w:cstheme="majorHAnsi"/>
          <w:sz w:val="24"/>
          <w:szCs w:val="24"/>
        </w:rPr>
        <w:t>-</w:t>
      </w:r>
      <w:r w:rsidRPr="00B627C5">
        <w:rPr>
          <w:rFonts w:asciiTheme="majorHAnsi" w:hAnsiTheme="majorHAnsi" w:cstheme="majorHAnsi"/>
          <w:sz w:val="24"/>
          <w:szCs w:val="24"/>
        </w:rPr>
        <w:t xml:space="preserve">call service has increased Aboriginal and Torres Strait Islander community participation, and demonstrated reductions in non-attendance of consults, and surgical wait </w:t>
      </w:r>
      <w:r w:rsidRPr="00B627C5">
        <w:rPr>
          <w:rFonts w:asciiTheme="majorHAnsi" w:hAnsiTheme="majorHAnsi" w:cstheme="majorHAnsi"/>
          <w:sz w:val="24"/>
          <w:szCs w:val="24"/>
        </w:rPr>
        <w:lastRenderedPageBreak/>
        <w:t>lists. A/Prof discussed the need for mixed funding models and multi-modal telehealth delivery, including phone consultations and store-and-forward methodologies.</w:t>
      </w:r>
    </w:p>
    <w:p w14:paraId="14EC2E39" w14:textId="77777777" w:rsidR="00A91D48" w:rsidRPr="00B627C5" w:rsidRDefault="00A91D48" w:rsidP="00B627C5">
      <w:pPr>
        <w:spacing w:after="120" w:line="240" w:lineRule="auto"/>
        <w:rPr>
          <w:rFonts w:asciiTheme="majorHAnsi" w:hAnsiTheme="majorHAnsi" w:cstheme="majorHAnsi"/>
          <w:b/>
          <w:sz w:val="24"/>
          <w:szCs w:val="24"/>
          <w:u w:val="single"/>
        </w:rPr>
      </w:pPr>
      <w:r w:rsidRPr="00B627C5">
        <w:rPr>
          <w:rFonts w:asciiTheme="majorHAnsi" w:hAnsiTheme="majorHAnsi" w:cstheme="majorHAnsi"/>
          <w:b/>
          <w:sz w:val="24"/>
          <w:szCs w:val="24"/>
          <w:u w:val="single"/>
        </w:rPr>
        <w:t>Phillip Hermann</w:t>
      </w:r>
    </w:p>
    <w:p w14:paraId="43B5F1A3" w14:textId="77777777" w:rsidR="00A91D48" w:rsidRPr="00B627C5" w:rsidRDefault="00A91D48" w:rsidP="00B627C5">
      <w:pPr>
        <w:spacing w:after="120" w:line="240" w:lineRule="auto"/>
        <w:rPr>
          <w:rFonts w:asciiTheme="majorHAnsi" w:hAnsiTheme="majorHAnsi" w:cstheme="majorHAnsi"/>
          <w:sz w:val="24"/>
          <w:szCs w:val="24"/>
        </w:rPr>
      </w:pPr>
      <w:proofErr w:type="spellStart"/>
      <w:r w:rsidRPr="00B627C5">
        <w:rPr>
          <w:rFonts w:asciiTheme="majorHAnsi" w:hAnsiTheme="majorHAnsi" w:cstheme="majorHAnsi"/>
          <w:sz w:val="24"/>
          <w:szCs w:val="24"/>
        </w:rPr>
        <w:t>Mr</w:t>
      </w:r>
      <w:proofErr w:type="spellEnd"/>
      <w:r w:rsidRPr="00B627C5">
        <w:rPr>
          <w:rFonts w:asciiTheme="majorHAnsi" w:hAnsiTheme="majorHAnsi" w:cstheme="majorHAnsi"/>
          <w:sz w:val="24"/>
          <w:szCs w:val="24"/>
        </w:rPr>
        <w:t xml:space="preserve"> Hermann is a representative from Allied Health Australia and discussed the need for telehealth modalities to be flexible for different disciplines, citing the differences between speech pathology and psychology as examples. </w:t>
      </w:r>
      <w:proofErr w:type="spellStart"/>
      <w:r w:rsidRPr="00B627C5">
        <w:rPr>
          <w:rFonts w:asciiTheme="majorHAnsi" w:hAnsiTheme="majorHAnsi" w:cstheme="majorHAnsi"/>
          <w:sz w:val="24"/>
          <w:szCs w:val="24"/>
        </w:rPr>
        <w:t>Mr</w:t>
      </w:r>
      <w:proofErr w:type="spellEnd"/>
      <w:r w:rsidRPr="00B627C5">
        <w:rPr>
          <w:rFonts w:asciiTheme="majorHAnsi" w:hAnsiTheme="majorHAnsi" w:cstheme="majorHAnsi"/>
          <w:sz w:val="24"/>
          <w:szCs w:val="24"/>
        </w:rPr>
        <w:t xml:space="preserve"> Hermann discussed the need for national integration of services to allow clinicians to access services and for greater consistency in access.</w:t>
      </w:r>
    </w:p>
    <w:p w14:paraId="49AEE87E" w14:textId="77777777" w:rsidR="00A91D48" w:rsidRPr="00B627C5" w:rsidRDefault="00A91D48" w:rsidP="00B627C5">
      <w:pPr>
        <w:spacing w:after="120" w:line="240" w:lineRule="auto"/>
        <w:rPr>
          <w:rFonts w:asciiTheme="majorHAnsi" w:hAnsiTheme="majorHAnsi" w:cstheme="majorHAnsi"/>
          <w:b/>
          <w:sz w:val="24"/>
          <w:szCs w:val="24"/>
          <w:u w:val="single"/>
        </w:rPr>
      </w:pPr>
      <w:r w:rsidRPr="00B627C5">
        <w:rPr>
          <w:rFonts w:asciiTheme="majorHAnsi" w:hAnsiTheme="majorHAnsi" w:cstheme="majorHAnsi"/>
          <w:b/>
          <w:sz w:val="24"/>
          <w:szCs w:val="24"/>
          <w:u w:val="single"/>
        </w:rPr>
        <w:t>Prof Mal Hopwood</w:t>
      </w:r>
    </w:p>
    <w:p w14:paraId="561A119F" w14:textId="77777777" w:rsidR="00A91D48" w:rsidRPr="00B627C5" w:rsidRDefault="00A91D48" w:rsidP="00B627C5">
      <w:pPr>
        <w:spacing w:after="120" w:line="240" w:lineRule="auto"/>
        <w:rPr>
          <w:rFonts w:asciiTheme="majorHAnsi" w:hAnsiTheme="majorHAnsi" w:cstheme="majorHAnsi"/>
          <w:sz w:val="24"/>
          <w:szCs w:val="24"/>
        </w:rPr>
      </w:pPr>
      <w:r w:rsidRPr="00B627C5">
        <w:rPr>
          <w:rFonts w:asciiTheme="majorHAnsi" w:hAnsiTheme="majorHAnsi" w:cstheme="majorHAnsi"/>
          <w:sz w:val="24"/>
          <w:szCs w:val="24"/>
        </w:rPr>
        <w:t>Prof Hopwood is a psychiatrist and Chair of the MBS Mental Health Reference Group. Prof Hopwood discussed the role of telehealth in psychiatry services, particularly in rural and remote areas. Prof Hopwood particularly noted a lack of consistent approach in telehealth provision of services and discussed the role of private versus public funding models for psychiatry telehealth options.</w:t>
      </w:r>
    </w:p>
    <w:p w14:paraId="16BAB93A" w14:textId="04B26289" w:rsidR="00852C81" w:rsidRPr="008851E1" w:rsidRDefault="00852C81" w:rsidP="00E37B47">
      <w:pPr>
        <w:pStyle w:val="Style4"/>
        <w:ind w:left="0" w:firstLine="0"/>
      </w:pPr>
      <w:r w:rsidRPr="008851E1">
        <w:t>G</w:t>
      </w:r>
      <w:r w:rsidR="00E37B47">
        <w:t>eneral Practice and Primary Care Clinical Committee (G</w:t>
      </w:r>
      <w:r w:rsidRPr="008851E1">
        <w:t>PPCCC</w:t>
      </w:r>
      <w:r w:rsidR="00E37B47">
        <w:t>)</w:t>
      </w:r>
      <w:r w:rsidRPr="008851E1">
        <w:t>:</w:t>
      </w:r>
    </w:p>
    <w:p w14:paraId="1460B2BA" w14:textId="374CA50F" w:rsidR="00852C81" w:rsidRPr="008851E1" w:rsidRDefault="00852C81" w:rsidP="00852C81">
      <w:pPr>
        <w:spacing w:after="120" w:line="240" w:lineRule="auto"/>
        <w:rPr>
          <w:rFonts w:ascii="Calibri" w:eastAsia="Calibri" w:hAnsi="Calibri" w:cs="Calibri"/>
          <w:sz w:val="24"/>
          <w:szCs w:val="24"/>
        </w:rPr>
      </w:pPr>
      <w:r w:rsidRPr="008851E1">
        <w:rPr>
          <w:rFonts w:ascii="Calibri" w:eastAsia="Calibri" w:hAnsi="Calibri" w:cs="Calibri"/>
          <w:sz w:val="24"/>
          <w:szCs w:val="24"/>
        </w:rPr>
        <w:t xml:space="preserve">The GPPCCC considered a range of payment options for telehealth early in stage 2 of its deliberations. Initially it considered an open fee for service </w:t>
      </w:r>
      <w:proofErr w:type="gramStart"/>
      <w:r w:rsidRPr="008851E1">
        <w:rPr>
          <w:rFonts w:ascii="Calibri" w:eastAsia="Calibri" w:hAnsi="Calibri" w:cs="Calibri"/>
          <w:sz w:val="24"/>
          <w:szCs w:val="24"/>
        </w:rPr>
        <w:t>model</w:t>
      </w:r>
      <w:proofErr w:type="gramEnd"/>
      <w:r w:rsidRPr="008851E1">
        <w:rPr>
          <w:rFonts w:ascii="Calibri" w:eastAsia="Calibri" w:hAnsi="Calibri" w:cs="Calibri"/>
          <w:sz w:val="24"/>
          <w:szCs w:val="24"/>
        </w:rPr>
        <w:t xml:space="preserve"> but concerns were raised about the potential risk of low value care. </w:t>
      </w:r>
      <w:proofErr w:type="gramStart"/>
      <w:r w:rsidRPr="008851E1">
        <w:rPr>
          <w:rFonts w:ascii="Calibri" w:eastAsia="Calibri" w:hAnsi="Calibri" w:cs="Calibri"/>
          <w:sz w:val="24"/>
          <w:szCs w:val="24"/>
        </w:rPr>
        <w:t>A number of</w:t>
      </w:r>
      <w:proofErr w:type="gramEnd"/>
      <w:r w:rsidRPr="008851E1">
        <w:rPr>
          <w:rFonts w:ascii="Calibri" w:eastAsia="Calibri" w:hAnsi="Calibri" w:cs="Calibri"/>
          <w:sz w:val="24"/>
          <w:szCs w:val="24"/>
        </w:rPr>
        <w:t xml:space="preserve"> caveats were considered to </w:t>
      </w:r>
      <w:proofErr w:type="spellStart"/>
      <w:r w:rsidRPr="008851E1">
        <w:rPr>
          <w:rFonts w:ascii="Calibri" w:eastAsia="Calibri" w:hAnsi="Calibri" w:cs="Calibri"/>
          <w:sz w:val="24"/>
          <w:szCs w:val="24"/>
        </w:rPr>
        <w:t>minimise</w:t>
      </w:r>
      <w:proofErr w:type="spellEnd"/>
      <w:r w:rsidRPr="008851E1">
        <w:rPr>
          <w:rFonts w:ascii="Calibri" w:eastAsia="Calibri" w:hAnsi="Calibri" w:cs="Calibri"/>
          <w:sz w:val="24"/>
          <w:szCs w:val="24"/>
        </w:rPr>
        <w:t xml:space="preserve"> this risk and they included a number of potential constraints. </w:t>
      </w:r>
      <w:r w:rsidR="00642B5F">
        <w:rPr>
          <w:rFonts w:ascii="Calibri" w:eastAsia="Calibri" w:hAnsi="Calibri" w:cs="Calibri"/>
          <w:sz w:val="24"/>
          <w:szCs w:val="24"/>
        </w:rPr>
        <w:t>For example, c</w:t>
      </w:r>
      <w:r w:rsidRPr="008851E1">
        <w:rPr>
          <w:rFonts w:ascii="Calibri" w:eastAsia="Calibri" w:hAnsi="Calibri" w:cs="Calibri"/>
          <w:sz w:val="24"/>
          <w:szCs w:val="24"/>
        </w:rPr>
        <w:t xml:space="preserve">onvenience alone should not be a driver of telehealth, </w:t>
      </w:r>
      <w:r w:rsidR="00642B5F">
        <w:rPr>
          <w:rFonts w:ascii="Calibri" w:eastAsia="Calibri" w:hAnsi="Calibri" w:cs="Calibri"/>
          <w:sz w:val="24"/>
          <w:szCs w:val="24"/>
        </w:rPr>
        <w:t xml:space="preserve">telehealth </w:t>
      </w:r>
      <w:r w:rsidRPr="008851E1">
        <w:rPr>
          <w:rFonts w:ascii="Calibri" w:eastAsia="Calibri" w:hAnsi="Calibri" w:cs="Calibri"/>
          <w:sz w:val="24"/>
          <w:szCs w:val="24"/>
        </w:rPr>
        <w:t>should initially start in rural areas, must be a regular patient</w:t>
      </w:r>
      <w:r w:rsidR="00642B5F">
        <w:rPr>
          <w:rFonts w:ascii="Calibri" w:eastAsia="Calibri" w:hAnsi="Calibri" w:cs="Calibri"/>
          <w:sz w:val="24"/>
          <w:szCs w:val="24"/>
        </w:rPr>
        <w:t xml:space="preserve"> of a practice</w:t>
      </w:r>
      <w:r w:rsidRPr="008851E1">
        <w:rPr>
          <w:rFonts w:ascii="Calibri" w:eastAsia="Calibri" w:hAnsi="Calibri" w:cs="Calibri"/>
          <w:sz w:val="24"/>
          <w:szCs w:val="24"/>
        </w:rPr>
        <w:t>, must have seen the doctor at least twice that year, must live more than 30km away from the practice</w:t>
      </w:r>
      <w:r w:rsidR="00642B5F">
        <w:rPr>
          <w:rFonts w:ascii="Calibri" w:eastAsia="Calibri" w:hAnsi="Calibri" w:cs="Calibri"/>
          <w:sz w:val="24"/>
          <w:szCs w:val="24"/>
        </w:rPr>
        <w:t xml:space="preserve"> and a </w:t>
      </w:r>
      <w:r w:rsidRPr="008851E1">
        <w:rPr>
          <w:rFonts w:ascii="Calibri" w:eastAsia="Calibri" w:hAnsi="Calibri" w:cs="Calibri"/>
          <w:sz w:val="24"/>
          <w:szCs w:val="24"/>
        </w:rPr>
        <w:t>maximum of two rebates per patient per year</w:t>
      </w:r>
      <w:r w:rsidR="00642B5F">
        <w:rPr>
          <w:rFonts w:ascii="Calibri" w:eastAsia="Calibri" w:hAnsi="Calibri" w:cs="Calibri"/>
          <w:sz w:val="24"/>
          <w:szCs w:val="24"/>
        </w:rPr>
        <w:t xml:space="preserve"> applies</w:t>
      </w:r>
      <w:r w:rsidRPr="008851E1">
        <w:rPr>
          <w:rFonts w:ascii="Calibri" w:eastAsia="Calibri" w:hAnsi="Calibri" w:cs="Calibri"/>
          <w:sz w:val="24"/>
          <w:szCs w:val="24"/>
        </w:rPr>
        <w:t>.  The committee did not proceed along these lines in view of the potential red tape burden and the inability to deliver a reasonable compliance framework.</w:t>
      </w:r>
    </w:p>
    <w:p w14:paraId="5CB53614" w14:textId="0380B9C0" w:rsidR="00852C81" w:rsidRPr="008851E1" w:rsidRDefault="00852C81" w:rsidP="00852C81">
      <w:pPr>
        <w:spacing w:after="120" w:line="240" w:lineRule="auto"/>
        <w:rPr>
          <w:rFonts w:ascii="Calibri" w:eastAsia="Calibri" w:hAnsi="Calibri" w:cs="Calibri"/>
          <w:sz w:val="24"/>
          <w:szCs w:val="24"/>
        </w:rPr>
      </w:pPr>
      <w:r w:rsidRPr="008851E1">
        <w:rPr>
          <w:rFonts w:ascii="Calibri" w:eastAsia="Calibri" w:hAnsi="Calibri" w:cs="Calibri"/>
          <w:sz w:val="24"/>
          <w:szCs w:val="24"/>
        </w:rPr>
        <w:t xml:space="preserve">The GPPCCC ultimately considered the main strategy to </w:t>
      </w:r>
      <w:proofErr w:type="spellStart"/>
      <w:r w:rsidRPr="008851E1">
        <w:rPr>
          <w:rFonts w:ascii="Calibri" w:eastAsia="Calibri" w:hAnsi="Calibri" w:cs="Calibri"/>
          <w:sz w:val="24"/>
          <w:szCs w:val="24"/>
        </w:rPr>
        <w:t>minimise</w:t>
      </w:r>
      <w:proofErr w:type="spellEnd"/>
      <w:r w:rsidRPr="008851E1">
        <w:rPr>
          <w:rFonts w:ascii="Calibri" w:eastAsia="Calibri" w:hAnsi="Calibri" w:cs="Calibri"/>
          <w:sz w:val="24"/>
          <w:szCs w:val="24"/>
        </w:rPr>
        <w:t xml:space="preserve"> low value care was to link access to telehealth to voluntary patient enrolment. The committee felt a VPE gateway would </w:t>
      </w:r>
      <w:proofErr w:type="spellStart"/>
      <w:r w:rsidRPr="008851E1">
        <w:rPr>
          <w:rFonts w:ascii="Calibri" w:eastAsia="Calibri" w:hAnsi="Calibri" w:cs="Calibri"/>
          <w:sz w:val="24"/>
          <w:szCs w:val="24"/>
        </w:rPr>
        <w:t>maximise</w:t>
      </w:r>
      <w:proofErr w:type="spellEnd"/>
      <w:r w:rsidRPr="008851E1">
        <w:rPr>
          <w:rFonts w:ascii="Calibri" w:eastAsia="Calibri" w:hAnsi="Calibri" w:cs="Calibri"/>
          <w:sz w:val="24"/>
          <w:szCs w:val="24"/>
        </w:rPr>
        <w:t xml:space="preserve"> the benefits to the patient who would be interacting with a known provider who would be in </w:t>
      </w:r>
      <w:proofErr w:type="gramStart"/>
      <w:r w:rsidRPr="008851E1">
        <w:rPr>
          <w:rFonts w:ascii="Calibri" w:eastAsia="Calibri" w:hAnsi="Calibri" w:cs="Calibri"/>
          <w:sz w:val="24"/>
          <w:szCs w:val="24"/>
        </w:rPr>
        <w:t>in a position</w:t>
      </w:r>
      <w:proofErr w:type="gramEnd"/>
      <w:r w:rsidRPr="008851E1">
        <w:rPr>
          <w:rFonts w:ascii="Calibri" w:eastAsia="Calibri" w:hAnsi="Calibri" w:cs="Calibri"/>
          <w:sz w:val="24"/>
          <w:szCs w:val="24"/>
        </w:rPr>
        <w:t xml:space="preserve"> to provide an equivalent value service.</w:t>
      </w:r>
    </w:p>
    <w:p w14:paraId="2EE8730F" w14:textId="7C629E90" w:rsidR="00852C81" w:rsidRPr="00A5163A" w:rsidRDefault="00852C81" w:rsidP="00852C81">
      <w:pPr>
        <w:spacing w:after="120" w:line="240" w:lineRule="auto"/>
        <w:rPr>
          <w:rFonts w:ascii="Calibri" w:eastAsia="Calibri" w:hAnsi="Calibri" w:cs="Calibri"/>
          <w:sz w:val="24"/>
          <w:szCs w:val="24"/>
        </w:rPr>
      </w:pPr>
      <w:r w:rsidRPr="00A5163A">
        <w:rPr>
          <w:rFonts w:ascii="Calibri" w:eastAsia="Calibri" w:hAnsi="Calibri" w:cs="Calibri"/>
          <w:sz w:val="24"/>
          <w:szCs w:val="24"/>
        </w:rPr>
        <w:t>Its rational</w:t>
      </w:r>
      <w:r w:rsidR="00E37B47" w:rsidRPr="00A5163A">
        <w:rPr>
          <w:rFonts w:ascii="Calibri" w:eastAsia="Calibri" w:hAnsi="Calibri" w:cs="Calibri"/>
          <w:sz w:val="24"/>
          <w:szCs w:val="24"/>
        </w:rPr>
        <w:t>e</w:t>
      </w:r>
      <w:r w:rsidRPr="00A5163A">
        <w:rPr>
          <w:rFonts w:ascii="Calibri" w:eastAsia="Calibri" w:hAnsi="Calibri" w:cs="Calibri"/>
          <w:sz w:val="24"/>
          <w:szCs w:val="24"/>
        </w:rPr>
        <w:t xml:space="preserve"> for this included the following:</w:t>
      </w:r>
    </w:p>
    <w:p w14:paraId="2692DF77" w14:textId="77777777" w:rsidR="00852C81" w:rsidRPr="00A5163A" w:rsidRDefault="00852C81" w:rsidP="00A5163A">
      <w:pPr>
        <w:spacing w:after="120" w:line="240" w:lineRule="auto"/>
        <w:ind w:left="720"/>
        <w:rPr>
          <w:rFonts w:ascii="Calibri" w:eastAsia="Calibri" w:hAnsi="Calibri" w:cs="Calibri"/>
          <w:i/>
          <w:sz w:val="24"/>
          <w:szCs w:val="24"/>
        </w:rPr>
      </w:pPr>
      <w:r w:rsidRPr="00A5163A">
        <w:rPr>
          <w:rFonts w:ascii="Calibri" w:eastAsia="Calibri" w:hAnsi="Calibri" w:cs="Calibri"/>
          <w:i/>
          <w:sz w:val="24"/>
          <w:szCs w:val="24"/>
        </w:rPr>
        <w:t>Evidence indicates that having a regular GP is beneficial for patient outcomes, patient experience and value for the system.</w:t>
      </w:r>
    </w:p>
    <w:p w14:paraId="6B93A9FA" w14:textId="77777777" w:rsidR="00852C81" w:rsidRPr="00A5163A" w:rsidRDefault="00852C81" w:rsidP="00A5163A">
      <w:pPr>
        <w:spacing w:after="120" w:line="240" w:lineRule="auto"/>
        <w:ind w:left="720"/>
        <w:rPr>
          <w:rFonts w:ascii="Calibri" w:eastAsia="Calibri" w:hAnsi="Calibri" w:cs="Calibri"/>
          <w:i/>
          <w:sz w:val="24"/>
          <w:szCs w:val="24"/>
        </w:rPr>
      </w:pPr>
      <w:r w:rsidRPr="00A5163A">
        <w:rPr>
          <w:rFonts w:ascii="Calibri" w:eastAsia="Calibri" w:hAnsi="Calibri" w:cs="Calibri"/>
          <w:i/>
          <w:sz w:val="24"/>
          <w:szCs w:val="24"/>
        </w:rPr>
        <w:t>Patient enrolment will encourage practices to build continuity of care into their business models, ensuring support for longitudinal care and population health as well as acute, episodic care.</w:t>
      </w:r>
    </w:p>
    <w:p w14:paraId="1AECBC2E" w14:textId="77777777" w:rsidR="00852C81" w:rsidRPr="00A5163A" w:rsidRDefault="00852C81" w:rsidP="00A5163A">
      <w:pPr>
        <w:spacing w:after="120" w:line="240" w:lineRule="auto"/>
        <w:ind w:left="720"/>
        <w:rPr>
          <w:rFonts w:ascii="Calibri" w:eastAsia="Calibri" w:hAnsi="Calibri" w:cs="Calibri"/>
          <w:i/>
          <w:sz w:val="24"/>
          <w:szCs w:val="24"/>
        </w:rPr>
      </w:pPr>
      <w:r w:rsidRPr="00A5163A">
        <w:rPr>
          <w:rFonts w:ascii="Calibri" w:eastAsia="Calibri" w:hAnsi="Calibri" w:cs="Calibri"/>
          <w:i/>
          <w:sz w:val="24"/>
          <w:szCs w:val="24"/>
        </w:rPr>
        <w:t xml:space="preserve">Enrolment will lead to stronger GP stewardship, with GPs supported to drive data-driven improvements in quality of care, and in referral and prescribing practices leading to potential downstream savings from preventable </w:t>
      </w:r>
      <w:proofErr w:type="spellStart"/>
      <w:r w:rsidRPr="00A5163A">
        <w:rPr>
          <w:rFonts w:ascii="Calibri" w:eastAsia="Calibri" w:hAnsi="Calibri" w:cs="Calibri"/>
          <w:i/>
          <w:sz w:val="24"/>
          <w:szCs w:val="24"/>
        </w:rPr>
        <w:t>hospitalisations</w:t>
      </w:r>
      <w:proofErr w:type="spellEnd"/>
      <w:r w:rsidRPr="00A5163A">
        <w:rPr>
          <w:rFonts w:ascii="Calibri" w:eastAsia="Calibri" w:hAnsi="Calibri" w:cs="Calibri"/>
          <w:i/>
          <w:sz w:val="24"/>
          <w:szCs w:val="24"/>
        </w:rPr>
        <w:t>.</w:t>
      </w:r>
    </w:p>
    <w:p w14:paraId="73709CBF" w14:textId="77777777" w:rsidR="00485DED" w:rsidRDefault="00485DED">
      <w:pPr>
        <w:rPr>
          <w:rFonts w:ascii="Calibri" w:eastAsia="Calibri" w:hAnsi="Calibri" w:cs="Calibri"/>
          <w:i/>
          <w:sz w:val="24"/>
          <w:szCs w:val="24"/>
        </w:rPr>
      </w:pPr>
      <w:r>
        <w:rPr>
          <w:rFonts w:ascii="Calibri" w:eastAsia="Calibri" w:hAnsi="Calibri" w:cs="Calibri"/>
          <w:i/>
          <w:sz w:val="24"/>
          <w:szCs w:val="24"/>
        </w:rPr>
        <w:br w:type="page"/>
      </w:r>
    </w:p>
    <w:p w14:paraId="06FBFAF8" w14:textId="3ECE15A3" w:rsidR="00852C81" w:rsidRPr="00A5163A" w:rsidRDefault="00852C81" w:rsidP="00A5163A">
      <w:pPr>
        <w:spacing w:after="120" w:line="240" w:lineRule="auto"/>
        <w:ind w:left="720"/>
        <w:rPr>
          <w:rFonts w:ascii="Calibri" w:eastAsia="Calibri" w:hAnsi="Calibri" w:cs="Calibri"/>
          <w:i/>
          <w:sz w:val="24"/>
          <w:szCs w:val="24"/>
        </w:rPr>
      </w:pPr>
      <w:r w:rsidRPr="00A5163A">
        <w:rPr>
          <w:rFonts w:ascii="Calibri" w:eastAsia="Calibri" w:hAnsi="Calibri" w:cs="Calibri"/>
          <w:i/>
          <w:sz w:val="24"/>
          <w:szCs w:val="24"/>
        </w:rPr>
        <w:lastRenderedPageBreak/>
        <w:t xml:space="preserve">The GPPCCC </w:t>
      </w:r>
      <w:proofErr w:type="spellStart"/>
      <w:r w:rsidRPr="00A5163A">
        <w:rPr>
          <w:rFonts w:ascii="Calibri" w:eastAsia="Calibri" w:hAnsi="Calibri" w:cs="Calibri"/>
          <w:i/>
          <w:sz w:val="24"/>
          <w:szCs w:val="24"/>
        </w:rPr>
        <w:t>recognised</w:t>
      </w:r>
      <w:proofErr w:type="spellEnd"/>
      <w:r w:rsidRPr="00A5163A">
        <w:rPr>
          <w:rFonts w:ascii="Calibri" w:eastAsia="Calibri" w:hAnsi="Calibri" w:cs="Calibri"/>
          <w:i/>
          <w:sz w:val="24"/>
          <w:szCs w:val="24"/>
        </w:rPr>
        <w:t xml:space="preserve"> that many members of the community including those living with disability and/or with transport issues, and people living in rural and remote communities, face challenges in attending general practices and believed this group would benefit from flexible access including non-face-to-face access (e.g. telephone,</w:t>
      </w:r>
      <w:r w:rsidR="00485DED">
        <w:rPr>
          <w:rFonts w:ascii="Calibri" w:eastAsia="Calibri" w:hAnsi="Calibri" w:cs="Calibri"/>
          <w:i/>
          <w:sz w:val="24"/>
          <w:szCs w:val="24"/>
        </w:rPr>
        <w:t xml:space="preserve"> </w:t>
      </w:r>
      <w:r w:rsidRPr="00A5163A">
        <w:rPr>
          <w:rFonts w:ascii="Calibri" w:eastAsia="Calibri" w:hAnsi="Calibri" w:cs="Calibri"/>
          <w:i/>
          <w:sz w:val="24"/>
          <w:szCs w:val="24"/>
        </w:rPr>
        <w:t xml:space="preserve">email, video consulting, telehealth, </w:t>
      </w:r>
      <w:proofErr w:type="spellStart"/>
      <w:r w:rsidRPr="00A5163A">
        <w:rPr>
          <w:rFonts w:ascii="Calibri" w:eastAsia="Calibri" w:hAnsi="Calibri" w:cs="Calibri"/>
          <w:i/>
          <w:sz w:val="24"/>
          <w:szCs w:val="24"/>
        </w:rPr>
        <w:t>etc</w:t>
      </w:r>
      <w:proofErr w:type="spellEnd"/>
      <w:r w:rsidRPr="00A5163A">
        <w:rPr>
          <w:rFonts w:ascii="Calibri" w:eastAsia="Calibri" w:hAnsi="Calibri" w:cs="Calibri"/>
          <w:i/>
          <w:sz w:val="24"/>
          <w:szCs w:val="24"/>
        </w:rPr>
        <w:t>).</w:t>
      </w:r>
    </w:p>
    <w:p w14:paraId="0BD7AFCC" w14:textId="77777777" w:rsidR="00852C81" w:rsidRPr="00A5163A" w:rsidRDefault="00852C81" w:rsidP="00A5163A">
      <w:pPr>
        <w:spacing w:after="120" w:line="240" w:lineRule="auto"/>
        <w:ind w:left="720"/>
        <w:rPr>
          <w:rFonts w:ascii="Calibri" w:eastAsia="Calibri" w:hAnsi="Calibri" w:cs="Calibri"/>
          <w:i/>
          <w:sz w:val="24"/>
          <w:szCs w:val="24"/>
        </w:rPr>
      </w:pPr>
      <w:r w:rsidRPr="00A5163A">
        <w:rPr>
          <w:rFonts w:ascii="Calibri" w:eastAsia="Calibri" w:hAnsi="Calibri" w:cs="Calibri"/>
          <w:i/>
          <w:sz w:val="24"/>
          <w:szCs w:val="24"/>
        </w:rPr>
        <w:t>The committee noted that there is strong evidence that non-face-to-face care can increase access, without compromising patient outcomes.</w:t>
      </w:r>
    </w:p>
    <w:p w14:paraId="36CA61A2" w14:textId="77777777" w:rsidR="00E37B47" w:rsidRPr="008851E1" w:rsidRDefault="00E37B47" w:rsidP="00E37B47">
      <w:pPr>
        <w:pStyle w:val="Heading6"/>
        <w:spacing w:before="0" w:after="120" w:line="240" w:lineRule="auto"/>
        <w:rPr>
          <w:rFonts w:ascii="Calibri" w:eastAsia="Calibri" w:hAnsi="Calibri" w:cs="Calibri"/>
          <w:b/>
          <w:i w:val="0"/>
          <w:color w:val="auto"/>
          <w:sz w:val="24"/>
          <w:szCs w:val="24"/>
        </w:rPr>
      </w:pPr>
      <w:r w:rsidRPr="008851E1">
        <w:rPr>
          <w:rFonts w:ascii="Calibri" w:eastAsia="Calibri" w:hAnsi="Calibri" w:cs="Calibri"/>
          <w:b/>
          <w:i w:val="0"/>
          <w:color w:val="auto"/>
          <w:sz w:val="24"/>
          <w:szCs w:val="24"/>
        </w:rPr>
        <w:t>Primary Health Networks:</w:t>
      </w:r>
    </w:p>
    <w:p w14:paraId="0D1044BE" w14:textId="42954E62" w:rsidR="00E37B47" w:rsidRPr="008851E1" w:rsidRDefault="092E4AE5" w:rsidP="00E37B47">
      <w:pPr>
        <w:pStyle w:val="Bullet-green"/>
        <w:numPr>
          <w:ilvl w:val="0"/>
          <w:numId w:val="0"/>
        </w:numPr>
        <w:spacing w:after="120"/>
        <w:rPr>
          <w:rFonts w:eastAsia="Calibri"/>
          <w:sz w:val="24"/>
          <w:szCs w:val="24"/>
        </w:rPr>
      </w:pPr>
      <w:r w:rsidRPr="2913B4AA">
        <w:rPr>
          <w:rFonts w:eastAsia="Calibri"/>
          <w:sz w:val="24"/>
          <w:szCs w:val="24"/>
        </w:rPr>
        <w:t xml:space="preserve">PHNs are independent primary health care </w:t>
      </w:r>
      <w:proofErr w:type="spellStart"/>
      <w:r w:rsidRPr="2913B4AA">
        <w:rPr>
          <w:rFonts w:eastAsia="Calibri"/>
          <w:sz w:val="24"/>
          <w:szCs w:val="24"/>
        </w:rPr>
        <w:t>organisations</w:t>
      </w:r>
      <w:proofErr w:type="spellEnd"/>
      <w:r w:rsidRPr="2913B4AA">
        <w:rPr>
          <w:rFonts w:eastAsia="Calibri"/>
          <w:sz w:val="24"/>
          <w:szCs w:val="24"/>
        </w:rPr>
        <w:t>, located throughout Australia. They are funded to undertake activities and commission services to address the health care needs of their communities and to improve efficiency, effectiveness and coordination of care.</w:t>
      </w:r>
    </w:p>
    <w:p w14:paraId="54BC086B" w14:textId="0292457F" w:rsidR="00974B3E" w:rsidRPr="008427E3" w:rsidRDefault="009B03AE" w:rsidP="008427E3">
      <w:pPr>
        <w:pStyle w:val="Heading6"/>
        <w:spacing w:before="0" w:after="120" w:line="240" w:lineRule="auto"/>
        <w:rPr>
          <w:rFonts w:ascii="Calibri" w:eastAsia="Calibri" w:hAnsi="Calibri" w:cs="Calibri"/>
          <w:b/>
          <w:i w:val="0"/>
          <w:color w:val="auto"/>
          <w:sz w:val="24"/>
          <w:szCs w:val="24"/>
        </w:rPr>
      </w:pPr>
      <w:proofErr w:type="spellStart"/>
      <w:r w:rsidRPr="008427E3">
        <w:rPr>
          <w:rFonts w:ascii="Calibri" w:eastAsia="Calibri" w:hAnsi="Calibri" w:cs="Calibri"/>
          <w:b/>
          <w:i w:val="0"/>
          <w:color w:val="auto"/>
          <w:sz w:val="24"/>
          <w:szCs w:val="24"/>
        </w:rPr>
        <w:t>Health</w:t>
      </w:r>
      <w:r w:rsidR="00974B3E" w:rsidRPr="008427E3">
        <w:rPr>
          <w:rFonts w:ascii="Calibri" w:eastAsia="Calibri" w:hAnsi="Calibri" w:cs="Calibri"/>
          <w:b/>
          <w:i w:val="0"/>
          <w:color w:val="auto"/>
          <w:sz w:val="24"/>
          <w:szCs w:val="24"/>
        </w:rPr>
        <w:t>Pathways</w:t>
      </w:r>
      <w:proofErr w:type="spellEnd"/>
    </w:p>
    <w:p w14:paraId="3ACFC546" w14:textId="387FFD18" w:rsidR="001A740B" w:rsidRPr="00B12E49" w:rsidRDefault="001A740B" w:rsidP="00BF01A4">
      <w:pPr>
        <w:shd w:val="clear" w:color="auto" w:fill="FFFFFF"/>
        <w:spacing w:after="255" w:line="240" w:lineRule="auto"/>
        <w:rPr>
          <w:rFonts w:ascii="Calibri" w:eastAsia="Calibri" w:hAnsi="Calibri" w:cs="Calibri"/>
          <w:sz w:val="24"/>
          <w:szCs w:val="24"/>
        </w:rPr>
      </w:pPr>
      <w:proofErr w:type="spellStart"/>
      <w:r w:rsidRPr="00B12E49">
        <w:rPr>
          <w:rFonts w:ascii="Calibri" w:eastAsia="Calibri" w:hAnsi="Calibri" w:cs="Calibri"/>
          <w:sz w:val="24"/>
          <w:szCs w:val="24"/>
        </w:rPr>
        <w:t>HealthPathways</w:t>
      </w:r>
      <w:proofErr w:type="spellEnd"/>
      <w:r w:rsidRPr="00B12E49">
        <w:rPr>
          <w:rFonts w:ascii="Calibri" w:eastAsia="Calibri" w:hAnsi="Calibri" w:cs="Calibri"/>
          <w:sz w:val="24"/>
          <w:szCs w:val="24"/>
        </w:rPr>
        <w:t xml:space="preserve"> offers clinicians locally agreed information to make </w:t>
      </w:r>
      <w:r w:rsidR="00154761">
        <w:rPr>
          <w:rFonts w:ascii="Calibri" w:eastAsia="Calibri" w:hAnsi="Calibri" w:cs="Calibri"/>
          <w:sz w:val="24"/>
          <w:szCs w:val="24"/>
        </w:rPr>
        <w:t xml:space="preserve">informed </w:t>
      </w:r>
      <w:r w:rsidRPr="00B12E49">
        <w:rPr>
          <w:rFonts w:ascii="Calibri" w:eastAsia="Calibri" w:hAnsi="Calibri" w:cs="Calibri"/>
          <w:sz w:val="24"/>
          <w:szCs w:val="24"/>
        </w:rPr>
        <w:t>decisions,</w:t>
      </w:r>
      <w:r w:rsidR="00154761">
        <w:rPr>
          <w:rFonts w:ascii="Calibri" w:eastAsia="Calibri" w:hAnsi="Calibri" w:cs="Calibri"/>
          <w:sz w:val="24"/>
          <w:szCs w:val="24"/>
        </w:rPr>
        <w:t xml:space="preserve"> </w:t>
      </w:r>
      <w:r w:rsidRPr="00B12E49">
        <w:rPr>
          <w:rFonts w:ascii="Calibri" w:eastAsia="Calibri" w:hAnsi="Calibri" w:cs="Calibri"/>
          <w:sz w:val="24"/>
          <w:szCs w:val="24"/>
        </w:rPr>
        <w:t>together with patients, at the point of care</w:t>
      </w:r>
      <w:r w:rsidR="00BF01A4">
        <w:rPr>
          <w:rFonts w:ascii="Calibri" w:eastAsia="Calibri" w:hAnsi="Calibri" w:cs="Calibri"/>
          <w:sz w:val="24"/>
          <w:szCs w:val="24"/>
        </w:rPr>
        <w:t xml:space="preserve"> for use</w:t>
      </w:r>
      <w:r w:rsidRPr="00B12E49">
        <w:rPr>
          <w:rFonts w:ascii="Calibri" w:eastAsia="Calibri" w:hAnsi="Calibri" w:cs="Calibri"/>
          <w:sz w:val="24"/>
          <w:szCs w:val="24"/>
        </w:rPr>
        <w:t xml:space="preserve"> during a consultation. Each pathway provides clear and concise guidance for assessing and managing a patient with a particular symptom or condition. Pathways also include information about making requests to services in the local health system.</w:t>
      </w:r>
    </w:p>
    <w:p w14:paraId="1CE6743E" w14:textId="1CCAAC6D" w:rsidR="008427E3" w:rsidRPr="00B0408F" w:rsidRDefault="0F549D5E" w:rsidP="3465ED72">
      <w:pPr>
        <w:shd w:val="clear" w:color="auto" w:fill="FFFFFF" w:themeFill="background1"/>
        <w:spacing w:after="255" w:line="240" w:lineRule="auto"/>
        <w:rPr>
          <w:sz w:val="24"/>
          <w:szCs w:val="24"/>
        </w:rPr>
      </w:pPr>
      <w:r w:rsidRPr="2913B4AA">
        <w:rPr>
          <w:rFonts w:ascii="Calibri" w:eastAsia="Calibri" w:hAnsi="Calibri" w:cs="Calibri"/>
          <w:sz w:val="24"/>
          <w:szCs w:val="24"/>
        </w:rPr>
        <w:t>Content is </w:t>
      </w:r>
      <w:hyperlink r:id="rId19">
        <w:r w:rsidRPr="2913B4AA">
          <w:rPr>
            <w:rFonts w:ascii="Calibri" w:eastAsia="Calibri" w:hAnsi="Calibri" w:cs="Calibri"/>
            <w:sz w:val="24"/>
            <w:szCs w:val="24"/>
          </w:rPr>
          <w:t>developed collaboratively</w:t>
        </w:r>
      </w:hyperlink>
      <w:r w:rsidRPr="2913B4AA">
        <w:rPr>
          <w:rFonts w:ascii="Calibri" w:eastAsia="Calibri" w:hAnsi="Calibri" w:cs="Calibri"/>
          <w:sz w:val="24"/>
          <w:szCs w:val="24"/>
        </w:rPr>
        <w:t xml:space="preserve"> by general practitioners, hospital </w:t>
      </w:r>
      <w:r w:rsidRPr="00B91161">
        <w:rPr>
          <w:rFonts w:ascii="Calibri" w:eastAsia="Calibri" w:hAnsi="Calibri" w:cs="Calibri"/>
          <w:sz w:val="24"/>
          <w:szCs w:val="24"/>
        </w:rPr>
        <w:t>clinicians</w:t>
      </w:r>
      <w:r w:rsidR="00B91161" w:rsidRPr="00B91161">
        <w:rPr>
          <w:rFonts w:ascii="Calibri" w:eastAsia="Calibri" w:hAnsi="Calibri" w:cs="Calibri"/>
          <w:sz w:val="24"/>
          <w:szCs w:val="24"/>
        </w:rPr>
        <w:t xml:space="preserve"> and consumers</w:t>
      </w:r>
      <w:r w:rsidRPr="2913B4AA">
        <w:rPr>
          <w:rFonts w:ascii="Calibri" w:eastAsia="Calibri" w:hAnsi="Calibri" w:cs="Calibri"/>
          <w:sz w:val="24"/>
          <w:szCs w:val="24"/>
        </w:rPr>
        <w:t xml:space="preserve">, and a wide range of other health professionals. Each pathway is evidence-informed, but also reflects local reality, and aims to preserve clinical autonomy and patient choice. </w:t>
      </w:r>
      <w:proofErr w:type="spellStart"/>
      <w:r w:rsidRPr="2913B4AA">
        <w:rPr>
          <w:rFonts w:ascii="Calibri" w:eastAsia="Calibri" w:hAnsi="Calibri" w:cs="Calibri"/>
          <w:sz w:val="24"/>
          <w:szCs w:val="24"/>
        </w:rPr>
        <w:t>HealthPathways</w:t>
      </w:r>
      <w:proofErr w:type="spellEnd"/>
      <w:r w:rsidRPr="2913B4AA">
        <w:rPr>
          <w:rFonts w:ascii="Calibri" w:eastAsia="Calibri" w:hAnsi="Calibri" w:cs="Calibri"/>
          <w:sz w:val="24"/>
          <w:szCs w:val="24"/>
        </w:rPr>
        <w:t xml:space="preserve"> serves to reduce unwarranted variation and accelerate evidence into practice.</w:t>
      </w:r>
    </w:p>
    <w:p w14:paraId="53ADABE3" w14:textId="5D11948F" w:rsidR="009F58E2" w:rsidRPr="00B0408F" w:rsidRDefault="004D7CE6" w:rsidP="00A24416">
      <w:pPr>
        <w:pStyle w:val="Heading6"/>
        <w:spacing w:before="0" w:after="120" w:line="240" w:lineRule="auto"/>
        <w:rPr>
          <w:color w:val="auto"/>
          <w:sz w:val="24"/>
          <w:szCs w:val="24"/>
        </w:rPr>
      </w:pPr>
      <w:r w:rsidRPr="00A24416">
        <w:rPr>
          <w:rFonts w:ascii="Calibri" w:eastAsia="Calibri" w:hAnsi="Calibri" w:cs="Calibri"/>
          <w:b/>
          <w:color w:val="auto"/>
          <w:sz w:val="24"/>
          <w:szCs w:val="24"/>
        </w:rPr>
        <w:t>Other consider</w:t>
      </w:r>
      <w:r w:rsidR="00CC4789" w:rsidRPr="00A24416">
        <w:rPr>
          <w:rFonts w:ascii="Calibri" w:eastAsia="Calibri" w:hAnsi="Calibri" w:cs="Calibri"/>
          <w:b/>
          <w:color w:val="auto"/>
          <w:sz w:val="24"/>
          <w:szCs w:val="24"/>
        </w:rPr>
        <w:t>ations</w:t>
      </w:r>
    </w:p>
    <w:p w14:paraId="699670B2" w14:textId="2297DF5D" w:rsidR="64D7BC83" w:rsidRPr="00171DB7" w:rsidRDefault="64D7BC83" w:rsidP="57D0558D">
      <w:pPr>
        <w:rPr>
          <w:rFonts w:ascii="Calibri" w:eastAsia="Calibri" w:hAnsi="Calibri" w:cs="Calibri"/>
        </w:rPr>
      </w:pPr>
      <w:r w:rsidRPr="00B0408F">
        <w:rPr>
          <w:rFonts w:ascii="Calibri" w:eastAsia="Calibri" w:hAnsi="Calibri" w:cs="Calibri"/>
        </w:rPr>
        <w:t>The Working Group has</w:t>
      </w:r>
      <w:r w:rsidR="00693413">
        <w:rPr>
          <w:rFonts w:ascii="Calibri" w:eastAsia="Calibri" w:hAnsi="Calibri" w:cs="Calibri"/>
        </w:rPr>
        <w:t xml:space="preserve"> also</w:t>
      </w:r>
      <w:r w:rsidRPr="00171DB7">
        <w:rPr>
          <w:rFonts w:ascii="Calibri" w:eastAsia="Calibri" w:hAnsi="Calibri" w:cs="Calibri"/>
        </w:rPr>
        <w:t xml:space="preserve"> considered other pieces of work relating to telehealth, including the work of the Primary Health Care Reform Steering Committee</w:t>
      </w:r>
      <w:r w:rsidR="00693413">
        <w:rPr>
          <w:rFonts w:ascii="Calibri" w:eastAsia="Calibri" w:hAnsi="Calibri" w:cs="Calibri"/>
        </w:rPr>
        <w:t xml:space="preserve">, </w:t>
      </w:r>
      <w:r w:rsidRPr="00171DB7">
        <w:rPr>
          <w:rFonts w:ascii="Calibri" w:eastAsia="Calibri" w:hAnsi="Calibri" w:cs="Calibri"/>
        </w:rPr>
        <w:t>and papers by Len Gray and Prof. Besser</w:t>
      </w:r>
    </w:p>
    <w:p w14:paraId="3DEE198C" w14:textId="3F0DAFF8" w:rsidR="006D2440" w:rsidRDefault="006D2440">
      <w:pPr>
        <w:rPr>
          <w:rFonts w:ascii="Calibri" w:eastAsia="Calibri" w:hAnsi="Calibri" w:cs="Calibri"/>
        </w:rPr>
      </w:pPr>
    </w:p>
    <w:p w14:paraId="392BE657" w14:textId="77777777" w:rsidR="00852624" w:rsidRDefault="00852624">
      <w:pPr>
        <w:rPr>
          <w:rFonts w:ascii="Calibri" w:eastAsia="Calibri" w:hAnsi="Calibri" w:cs="Calibri"/>
          <w:b/>
          <w:color w:val="01653F"/>
          <w:sz w:val="40"/>
          <w:szCs w:val="40"/>
        </w:rPr>
      </w:pPr>
      <w:r>
        <w:rPr>
          <w:rFonts w:ascii="Calibri" w:eastAsia="Calibri" w:hAnsi="Calibri" w:cs="Calibri"/>
          <w:b/>
          <w:color w:val="01653F"/>
        </w:rPr>
        <w:br w:type="page"/>
      </w:r>
    </w:p>
    <w:p w14:paraId="214F3A0D" w14:textId="7EC635B2" w:rsidR="00974B3E" w:rsidRPr="008E7FF0" w:rsidRDefault="00852624" w:rsidP="008E7FF0">
      <w:pPr>
        <w:pStyle w:val="Heading1"/>
        <w:keepLines w:val="0"/>
        <w:widowControl w:val="0"/>
        <w:pBdr>
          <w:bottom w:val="single" w:sz="16" w:space="11" w:color="BFBFBF"/>
        </w:pBdr>
        <w:spacing w:before="0" w:after="360" w:line="240" w:lineRule="auto"/>
        <w:rPr>
          <w:rFonts w:ascii="Calibri" w:eastAsia="Calibri" w:hAnsi="Calibri" w:cs="Calibri"/>
          <w:b/>
          <w:color w:val="01653F"/>
        </w:rPr>
      </w:pPr>
      <w:bookmarkStart w:id="14" w:name="_Toc42764225"/>
      <w:r>
        <w:rPr>
          <w:rFonts w:ascii="Calibri" w:eastAsia="Calibri" w:hAnsi="Calibri" w:cs="Calibri"/>
          <w:b/>
          <w:color w:val="01653F"/>
        </w:rPr>
        <w:lastRenderedPageBreak/>
        <w:t xml:space="preserve">Objective 2: </w:t>
      </w:r>
      <w:r w:rsidR="005B32E1">
        <w:rPr>
          <w:rFonts w:ascii="Calibri" w:eastAsia="Calibri" w:hAnsi="Calibri" w:cs="Calibri"/>
          <w:b/>
          <w:color w:val="01653F"/>
        </w:rPr>
        <w:t>O</w:t>
      </w:r>
      <w:r w:rsidRPr="008E7FF0">
        <w:rPr>
          <w:rFonts w:ascii="Calibri" w:eastAsia="Calibri" w:hAnsi="Calibri" w:cs="Calibri"/>
          <w:b/>
          <w:color w:val="01653F"/>
        </w:rPr>
        <w:t>bservations and recommendations</w:t>
      </w:r>
      <w:r w:rsidRPr="00852624">
        <w:rPr>
          <w:rFonts w:ascii="Calibri" w:eastAsia="Calibri" w:hAnsi="Calibri" w:cs="Calibri"/>
          <w:b/>
          <w:color w:val="01653F"/>
        </w:rPr>
        <w:t xml:space="preserve"> </w:t>
      </w:r>
      <w:r>
        <w:rPr>
          <w:rFonts w:ascii="Calibri" w:eastAsia="Calibri" w:hAnsi="Calibri" w:cs="Calibri"/>
          <w:b/>
          <w:color w:val="01653F"/>
        </w:rPr>
        <w:t>to Government</w:t>
      </w:r>
      <w:bookmarkEnd w:id="14"/>
    </w:p>
    <w:p w14:paraId="59BE5874" w14:textId="77777777" w:rsidR="00132469" w:rsidRPr="001B6D29" w:rsidRDefault="00132469" w:rsidP="00132469">
      <w:pPr>
        <w:pStyle w:val="Style2"/>
      </w:pPr>
      <w:bookmarkStart w:id="15" w:name="_Toc42764226"/>
      <w:r w:rsidRPr="001B6D29">
        <w:t>Observations</w:t>
      </w:r>
      <w:bookmarkEnd w:id="15"/>
    </w:p>
    <w:p w14:paraId="53502FE0" w14:textId="478FB878" w:rsidR="00132469" w:rsidRPr="00A24416" w:rsidRDefault="1FBB0309" w:rsidP="00132469">
      <w:pPr>
        <w:rPr>
          <w:rFonts w:ascii="Calibri" w:eastAsia="Calibri" w:hAnsi="Calibri" w:cs="Calibri"/>
          <w:b/>
          <w:sz w:val="24"/>
          <w:szCs w:val="24"/>
        </w:rPr>
      </w:pPr>
      <w:r w:rsidRPr="00A24416">
        <w:rPr>
          <w:rFonts w:ascii="Calibri" w:eastAsia="Calibri" w:hAnsi="Calibri" w:cs="Calibri"/>
          <w:b/>
          <w:sz w:val="24"/>
          <w:szCs w:val="24"/>
        </w:rPr>
        <w:t>Bushfires 2019 and COVID-19</w:t>
      </w:r>
      <w:r w:rsidR="1900537B" w:rsidRPr="00A24416">
        <w:rPr>
          <w:rFonts w:ascii="Calibri" w:eastAsia="Calibri" w:hAnsi="Calibri" w:cs="Calibri"/>
          <w:b/>
          <w:sz w:val="24"/>
          <w:szCs w:val="24"/>
        </w:rPr>
        <w:t xml:space="preserve"> </w:t>
      </w:r>
    </w:p>
    <w:p w14:paraId="141FA69D" w14:textId="77777777" w:rsidR="00693413" w:rsidRPr="00ED6171" w:rsidRDefault="00693413" w:rsidP="00693413">
      <w:p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 xml:space="preserve">The 2019-2020 Australian bushfires and the COVID-19 pandemic have resulted in the Australian Government’s introduction of temporary MBS Telehealth items which will continue until 30 September 2020. </w:t>
      </w:r>
    </w:p>
    <w:p w14:paraId="3F1393FA" w14:textId="19C029DA" w:rsidR="00693413" w:rsidRPr="00A24416" w:rsidRDefault="00AF2B81" w:rsidP="00A24416">
      <w:pPr>
        <w:spacing w:after="120" w:line="240" w:lineRule="auto"/>
        <w:rPr>
          <w:rFonts w:asciiTheme="majorHAnsi" w:eastAsia="Calibri" w:hAnsiTheme="majorHAnsi" w:cs="Calibri"/>
          <w:sz w:val="24"/>
          <w:szCs w:val="24"/>
        </w:rPr>
      </w:pPr>
      <w:r w:rsidRPr="00A24416">
        <w:rPr>
          <w:rFonts w:asciiTheme="majorHAnsi" w:eastAsia="Calibri" w:hAnsiTheme="majorHAnsi" w:cs="Calibri"/>
          <w:sz w:val="24"/>
          <w:szCs w:val="24"/>
        </w:rPr>
        <w:t xml:space="preserve">Anecdotal indications are that </w:t>
      </w:r>
      <w:r w:rsidR="00693413" w:rsidRPr="00A24416">
        <w:rPr>
          <w:rFonts w:asciiTheme="majorHAnsi" w:eastAsia="Calibri" w:hAnsiTheme="majorHAnsi" w:cs="Calibri"/>
          <w:sz w:val="24"/>
          <w:szCs w:val="24"/>
        </w:rPr>
        <w:t xml:space="preserve">Telehealth services have </w:t>
      </w:r>
      <w:r w:rsidRPr="00A24416">
        <w:rPr>
          <w:rFonts w:asciiTheme="majorHAnsi" w:eastAsia="Calibri" w:hAnsiTheme="majorHAnsi" w:cs="Calibri"/>
          <w:sz w:val="24"/>
          <w:szCs w:val="24"/>
        </w:rPr>
        <w:t xml:space="preserve">been </w:t>
      </w:r>
      <w:r w:rsidR="00693413" w:rsidRPr="00A24416">
        <w:rPr>
          <w:rFonts w:asciiTheme="majorHAnsi" w:eastAsia="Calibri" w:hAnsiTheme="majorHAnsi" w:cs="Calibri"/>
          <w:sz w:val="24"/>
          <w:szCs w:val="24"/>
        </w:rPr>
        <w:t xml:space="preserve">effective in bushfire and COVID-19 response items, and the Australian community is receptive to telehealth </w:t>
      </w:r>
      <w:r w:rsidRPr="00A24416">
        <w:rPr>
          <w:rFonts w:asciiTheme="majorHAnsi" w:eastAsia="Calibri" w:hAnsiTheme="majorHAnsi" w:cs="Calibri"/>
          <w:sz w:val="24"/>
          <w:szCs w:val="24"/>
        </w:rPr>
        <w:t>consultations being provided more broadly</w:t>
      </w:r>
      <w:r w:rsidR="00693413" w:rsidRPr="00A24416">
        <w:rPr>
          <w:rFonts w:asciiTheme="majorHAnsi" w:eastAsia="Calibri" w:hAnsiTheme="majorHAnsi" w:cs="Calibri"/>
          <w:sz w:val="24"/>
          <w:szCs w:val="24"/>
        </w:rPr>
        <w:t>.</w:t>
      </w:r>
    </w:p>
    <w:p w14:paraId="0AAA5608" w14:textId="1F330B2F" w:rsidR="00AF2B81" w:rsidRDefault="00AF2B81" w:rsidP="00A24416">
      <w:pPr>
        <w:spacing w:after="120" w:line="240" w:lineRule="auto"/>
        <w:rPr>
          <w:rFonts w:asciiTheme="majorHAnsi" w:eastAsia="Calibri" w:hAnsiTheme="majorHAnsi" w:cs="Calibri"/>
          <w:sz w:val="24"/>
          <w:szCs w:val="24"/>
        </w:rPr>
      </w:pPr>
      <w:r w:rsidRPr="00A24416">
        <w:rPr>
          <w:rFonts w:asciiTheme="majorHAnsi" w:eastAsia="Calibri" w:hAnsiTheme="majorHAnsi" w:cs="Calibri"/>
          <w:sz w:val="24"/>
          <w:szCs w:val="24"/>
        </w:rPr>
        <w:t xml:space="preserve">The introduction of the temporary MBS telehealth items has altered the approach to delivering Medicare services in Australia, changing them from an almost entirely face to face service to one that has an increased level of non-face to face services delivered. This poses its own risks, such as </w:t>
      </w:r>
      <w:proofErr w:type="spellStart"/>
      <w:r w:rsidRPr="00A24416">
        <w:rPr>
          <w:rFonts w:asciiTheme="majorHAnsi" w:eastAsia="Calibri" w:hAnsiTheme="majorHAnsi" w:cs="Calibri"/>
          <w:sz w:val="24"/>
          <w:szCs w:val="24"/>
        </w:rPr>
        <w:t>commercialisation</w:t>
      </w:r>
      <w:proofErr w:type="spellEnd"/>
      <w:r w:rsidRPr="00A24416">
        <w:rPr>
          <w:rFonts w:asciiTheme="majorHAnsi" w:eastAsia="Calibri" w:hAnsiTheme="majorHAnsi" w:cs="Calibri"/>
          <w:sz w:val="24"/>
          <w:szCs w:val="24"/>
        </w:rPr>
        <w:t xml:space="preserve"> of telehealth service delivery by corporates with no intention to provide face to face services and ensure holistic care of patients and a reduced level of quality of health service due to increased non-face to face interaction. </w:t>
      </w:r>
    </w:p>
    <w:p w14:paraId="7D46AE02" w14:textId="2F16EABC" w:rsidR="00AF2B81" w:rsidRPr="00A24416" w:rsidRDefault="00AF2B81" w:rsidP="00A24416">
      <w:pPr>
        <w:spacing w:after="120" w:line="240" w:lineRule="auto"/>
        <w:rPr>
          <w:rFonts w:asciiTheme="majorHAnsi" w:eastAsia="Calibri" w:hAnsiTheme="majorHAnsi" w:cs="Calibri"/>
          <w:sz w:val="24"/>
          <w:szCs w:val="24"/>
        </w:rPr>
      </w:pPr>
      <w:r>
        <w:rPr>
          <w:rFonts w:asciiTheme="majorHAnsi" w:eastAsia="Calibri" w:hAnsiTheme="majorHAnsi" w:cs="Calibri"/>
          <w:sz w:val="24"/>
          <w:szCs w:val="24"/>
        </w:rPr>
        <w:t>It will be important for Australia</w:t>
      </w:r>
      <w:r w:rsidR="00280295">
        <w:rPr>
          <w:rFonts w:asciiTheme="majorHAnsi" w:eastAsia="Calibri" w:hAnsiTheme="majorHAnsi" w:cs="Calibri"/>
          <w:sz w:val="24"/>
          <w:szCs w:val="24"/>
        </w:rPr>
        <w:t xml:space="preserve">, to consider the benefits and risks associated with this approach to healthcare and ensure an effective, </w:t>
      </w:r>
      <w:r w:rsidR="002A1E24">
        <w:rPr>
          <w:rFonts w:asciiTheme="majorHAnsi" w:eastAsia="Calibri" w:hAnsiTheme="majorHAnsi" w:cs="Calibri"/>
          <w:sz w:val="24"/>
          <w:szCs w:val="24"/>
        </w:rPr>
        <w:t>efficient,</w:t>
      </w:r>
      <w:r w:rsidR="00280295">
        <w:rPr>
          <w:rFonts w:asciiTheme="majorHAnsi" w:eastAsia="Calibri" w:hAnsiTheme="majorHAnsi" w:cs="Calibri"/>
          <w:sz w:val="24"/>
          <w:szCs w:val="24"/>
        </w:rPr>
        <w:t xml:space="preserve"> and ethical approach to Telehealth and Telemedicine into the future. </w:t>
      </w:r>
    </w:p>
    <w:p w14:paraId="1230CB1C" w14:textId="336A43D0" w:rsidR="00280295" w:rsidRDefault="00280295" w:rsidP="00280295">
      <w:pPr>
        <w:rPr>
          <w:rFonts w:ascii="Calibri" w:eastAsia="Calibri" w:hAnsi="Calibri" w:cs="Calibri"/>
          <w:sz w:val="24"/>
          <w:szCs w:val="24"/>
        </w:rPr>
      </w:pPr>
      <w:r w:rsidRPr="00A24416">
        <w:rPr>
          <w:rFonts w:ascii="Calibri" w:eastAsia="Calibri" w:hAnsi="Calibri" w:cs="Calibri"/>
          <w:b/>
          <w:sz w:val="24"/>
          <w:szCs w:val="24"/>
        </w:rPr>
        <w:t>Telehealth / Telemedicine</w:t>
      </w:r>
      <w:r w:rsidR="004E55A8">
        <w:rPr>
          <w:rFonts w:ascii="Calibri" w:eastAsia="Calibri" w:hAnsi="Calibri" w:cs="Calibri"/>
          <w:b/>
          <w:sz w:val="24"/>
          <w:szCs w:val="24"/>
        </w:rPr>
        <w:t xml:space="preserve"> /</w:t>
      </w:r>
      <w:r w:rsidR="00637D50">
        <w:rPr>
          <w:rFonts w:ascii="Calibri" w:eastAsia="Calibri" w:hAnsi="Calibri" w:cs="Calibri"/>
          <w:b/>
          <w:sz w:val="24"/>
          <w:szCs w:val="24"/>
        </w:rPr>
        <w:t xml:space="preserve"> </w:t>
      </w:r>
      <w:r w:rsidR="004E55A8">
        <w:rPr>
          <w:rFonts w:ascii="Calibri" w:eastAsia="Calibri" w:hAnsi="Calibri" w:cs="Calibri"/>
          <w:b/>
          <w:sz w:val="24"/>
          <w:szCs w:val="24"/>
        </w:rPr>
        <w:t>Virtual health</w:t>
      </w:r>
      <w:r>
        <w:rPr>
          <w:rFonts w:ascii="Calibri" w:eastAsia="Calibri" w:hAnsi="Calibri" w:cs="Calibri"/>
          <w:sz w:val="24"/>
          <w:szCs w:val="24"/>
        </w:rPr>
        <w:t xml:space="preserve"> </w:t>
      </w:r>
    </w:p>
    <w:p w14:paraId="72A439FC" w14:textId="28D35BB9" w:rsidR="00D10AB0" w:rsidRPr="00A24416" w:rsidRDefault="00280295" w:rsidP="00A24416">
      <w:pPr>
        <w:rPr>
          <w:rFonts w:ascii="Calibri" w:eastAsia="Calibri" w:hAnsi="Calibri" w:cs="Calibri"/>
          <w:b/>
          <w:sz w:val="24"/>
          <w:szCs w:val="24"/>
        </w:rPr>
      </w:pPr>
      <w:r>
        <w:rPr>
          <w:rFonts w:ascii="Calibri" w:eastAsia="Calibri" w:hAnsi="Calibri" w:cs="Calibri"/>
          <w:sz w:val="24"/>
          <w:szCs w:val="24"/>
        </w:rPr>
        <w:t xml:space="preserve">It is </w:t>
      </w:r>
      <w:proofErr w:type="spellStart"/>
      <w:r>
        <w:rPr>
          <w:rFonts w:ascii="Calibri" w:eastAsia="Calibri" w:hAnsi="Calibri" w:cs="Calibri"/>
          <w:sz w:val="24"/>
          <w:szCs w:val="24"/>
        </w:rPr>
        <w:t>recognised</w:t>
      </w:r>
      <w:proofErr w:type="spellEnd"/>
      <w:r>
        <w:rPr>
          <w:rFonts w:ascii="Calibri" w:eastAsia="Calibri" w:hAnsi="Calibri" w:cs="Calibri"/>
          <w:sz w:val="24"/>
          <w:szCs w:val="24"/>
        </w:rPr>
        <w:t xml:space="preserve"> that there</w:t>
      </w:r>
      <w:r w:rsidR="004E55A8">
        <w:rPr>
          <w:rFonts w:ascii="Calibri" w:eastAsia="Calibri" w:hAnsi="Calibri" w:cs="Calibri"/>
          <w:sz w:val="24"/>
          <w:szCs w:val="24"/>
        </w:rPr>
        <w:t xml:space="preserve"> </w:t>
      </w:r>
      <w:r w:rsidR="00485DED">
        <w:rPr>
          <w:rFonts w:ascii="Calibri" w:eastAsia="Calibri" w:hAnsi="Calibri" w:cs="Calibri"/>
          <w:sz w:val="24"/>
          <w:szCs w:val="24"/>
        </w:rPr>
        <w:t xml:space="preserve">are </w:t>
      </w:r>
      <w:r w:rsidR="004E55A8">
        <w:rPr>
          <w:rFonts w:ascii="Calibri" w:eastAsia="Calibri" w:hAnsi="Calibri" w:cs="Calibri"/>
          <w:sz w:val="24"/>
          <w:szCs w:val="24"/>
        </w:rPr>
        <w:t xml:space="preserve">very successful international </w:t>
      </w:r>
      <w:r w:rsidR="00195AF9">
        <w:rPr>
          <w:rFonts w:ascii="Calibri" w:eastAsia="Calibri" w:hAnsi="Calibri" w:cs="Calibri"/>
          <w:sz w:val="24"/>
          <w:szCs w:val="24"/>
        </w:rPr>
        <w:t xml:space="preserve">models of health care often underpinned by different funding models.  </w:t>
      </w:r>
      <w:r w:rsidR="003871E4">
        <w:rPr>
          <w:rFonts w:ascii="Calibri" w:eastAsia="Calibri" w:hAnsi="Calibri" w:cs="Calibri"/>
          <w:sz w:val="24"/>
          <w:szCs w:val="24"/>
        </w:rPr>
        <w:t xml:space="preserve">Our challenge is to </w:t>
      </w:r>
      <w:r w:rsidR="005F75B6">
        <w:rPr>
          <w:rFonts w:ascii="Calibri" w:eastAsia="Calibri" w:hAnsi="Calibri" w:cs="Calibri"/>
          <w:sz w:val="24"/>
          <w:szCs w:val="24"/>
        </w:rPr>
        <w:t xml:space="preserve">understand which elements can be adopted in the Australian context and </w:t>
      </w:r>
      <w:r w:rsidR="00DF1704">
        <w:rPr>
          <w:rFonts w:ascii="Calibri" w:eastAsia="Calibri" w:hAnsi="Calibri" w:cs="Calibri"/>
          <w:sz w:val="24"/>
          <w:szCs w:val="24"/>
        </w:rPr>
        <w:t>the roll the MBS might play in their funding.</w:t>
      </w:r>
    </w:p>
    <w:p w14:paraId="7A8F86DB" w14:textId="77777777" w:rsidR="00DF1704" w:rsidRDefault="00DF1704" w:rsidP="00132469">
      <w:pPr>
        <w:rPr>
          <w:rFonts w:ascii="Calibri" w:eastAsia="Calibri" w:hAnsi="Calibri" w:cs="Calibri"/>
          <w:b/>
          <w:sz w:val="24"/>
          <w:szCs w:val="24"/>
        </w:rPr>
      </w:pPr>
    </w:p>
    <w:p w14:paraId="1E45A1F3" w14:textId="5701C92C" w:rsidR="00132469" w:rsidRPr="00A24416" w:rsidRDefault="6FD1A37E" w:rsidP="00132469">
      <w:pPr>
        <w:rPr>
          <w:rFonts w:ascii="Calibri" w:eastAsia="Calibri" w:hAnsi="Calibri" w:cs="Calibri"/>
          <w:b/>
          <w:sz w:val="24"/>
          <w:szCs w:val="24"/>
        </w:rPr>
      </w:pPr>
      <w:r w:rsidRPr="00A24416">
        <w:rPr>
          <w:rFonts w:ascii="Calibri" w:eastAsia="Calibri" w:hAnsi="Calibri" w:cs="Calibri"/>
          <w:b/>
          <w:sz w:val="24"/>
          <w:szCs w:val="24"/>
        </w:rPr>
        <w:t>MBS Telehealth</w:t>
      </w:r>
    </w:p>
    <w:p w14:paraId="1A6A72D1" w14:textId="1758089B" w:rsidR="00F9398F" w:rsidRPr="00A24416" w:rsidRDefault="00F9398F" w:rsidP="00A24416">
      <w:pPr>
        <w:spacing w:after="120" w:line="240" w:lineRule="auto"/>
        <w:rPr>
          <w:rFonts w:asciiTheme="majorHAnsi" w:eastAsia="Calibri" w:hAnsiTheme="majorHAnsi" w:cs="Calibri"/>
          <w:sz w:val="24"/>
          <w:szCs w:val="24"/>
        </w:rPr>
      </w:pPr>
      <w:r w:rsidRPr="00A24416">
        <w:rPr>
          <w:rFonts w:asciiTheme="majorHAnsi" w:eastAsia="Calibri" w:hAnsiTheme="majorHAnsi" w:cs="Calibri"/>
          <w:sz w:val="24"/>
          <w:szCs w:val="24"/>
        </w:rPr>
        <w:t xml:space="preserve">Where ‘telehealth’ is a general term that refers to all modalities, ‘MBS Telehealth’ </w:t>
      </w:r>
      <w:r w:rsidR="007B56A5">
        <w:rPr>
          <w:rFonts w:asciiTheme="majorHAnsi" w:eastAsia="Calibri" w:hAnsiTheme="majorHAnsi" w:cs="Calibri"/>
          <w:sz w:val="24"/>
          <w:szCs w:val="24"/>
        </w:rPr>
        <w:t xml:space="preserve">as defined in this report </w:t>
      </w:r>
      <w:r w:rsidRPr="00A24416">
        <w:rPr>
          <w:rFonts w:asciiTheme="majorHAnsi" w:eastAsia="Calibri" w:hAnsiTheme="majorHAnsi" w:cs="Calibri"/>
          <w:sz w:val="24"/>
          <w:szCs w:val="24"/>
        </w:rPr>
        <w:t xml:space="preserve">refers specifically to items that have been deemed appropriate to be funded via the MBS. </w:t>
      </w:r>
      <w:r w:rsidR="007B56A5">
        <w:rPr>
          <w:rFonts w:asciiTheme="majorHAnsi" w:eastAsia="Calibri" w:hAnsiTheme="majorHAnsi" w:cs="Calibri"/>
          <w:sz w:val="24"/>
          <w:szCs w:val="24"/>
        </w:rPr>
        <w:t>Up until the C</w:t>
      </w:r>
      <w:r w:rsidR="00096EAE">
        <w:rPr>
          <w:rFonts w:asciiTheme="majorHAnsi" w:eastAsia="Calibri" w:hAnsiTheme="majorHAnsi" w:cs="Calibri"/>
          <w:sz w:val="24"/>
          <w:szCs w:val="24"/>
        </w:rPr>
        <w:t xml:space="preserve">OVID-19 pandemic response </w:t>
      </w:r>
      <w:r w:rsidRPr="00A24416">
        <w:rPr>
          <w:rFonts w:asciiTheme="majorHAnsi" w:eastAsia="Calibri" w:hAnsiTheme="majorHAnsi" w:cs="Calibri"/>
          <w:sz w:val="24"/>
          <w:szCs w:val="24"/>
        </w:rPr>
        <w:t xml:space="preserve">MBS Telehealth has been designed to provide rural, remote and regional communities with </w:t>
      </w:r>
      <w:r w:rsidR="00364E41">
        <w:rPr>
          <w:rFonts w:asciiTheme="majorHAnsi" w:eastAsia="Calibri" w:hAnsiTheme="majorHAnsi" w:cs="Calibri"/>
          <w:sz w:val="24"/>
          <w:szCs w:val="24"/>
        </w:rPr>
        <w:t xml:space="preserve">improved </w:t>
      </w:r>
      <w:r w:rsidRPr="00A24416">
        <w:rPr>
          <w:rFonts w:asciiTheme="majorHAnsi" w:eastAsia="Calibri" w:hAnsiTheme="majorHAnsi" w:cs="Calibri"/>
          <w:sz w:val="24"/>
          <w:szCs w:val="24"/>
        </w:rPr>
        <w:t>access to health care.</w:t>
      </w:r>
    </w:p>
    <w:p w14:paraId="0E18ABF5" w14:textId="05034FE7" w:rsidR="007A65C6" w:rsidRPr="00A24416" w:rsidRDefault="00D10AB0" w:rsidP="00A24416">
      <w:pPr>
        <w:spacing w:after="120" w:line="240" w:lineRule="auto"/>
        <w:rPr>
          <w:rFonts w:asciiTheme="majorHAnsi" w:eastAsia="Calibri" w:hAnsiTheme="majorHAnsi" w:cs="Calibri"/>
          <w:sz w:val="24"/>
          <w:szCs w:val="24"/>
        </w:rPr>
      </w:pPr>
      <w:r w:rsidRPr="00A24416">
        <w:rPr>
          <w:rFonts w:asciiTheme="majorHAnsi" w:eastAsia="Calibri" w:hAnsiTheme="majorHAnsi" w:cs="Calibri"/>
          <w:sz w:val="24"/>
          <w:szCs w:val="24"/>
        </w:rPr>
        <w:t xml:space="preserve">The MBS Review and </w:t>
      </w:r>
      <w:r w:rsidR="00F9398F" w:rsidRPr="00A24416">
        <w:rPr>
          <w:rFonts w:asciiTheme="majorHAnsi" w:eastAsia="Calibri" w:hAnsiTheme="majorHAnsi" w:cs="Calibri"/>
          <w:sz w:val="24"/>
          <w:szCs w:val="24"/>
        </w:rPr>
        <w:t xml:space="preserve">Australia’s </w:t>
      </w:r>
      <w:r w:rsidRPr="00A24416">
        <w:rPr>
          <w:rFonts w:asciiTheme="majorHAnsi" w:eastAsia="Calibri" w:hAnsiTheme="majorHAnsi" w:cs="Calibri"/>
          <w:sz w:val="24"/>
          <w:szCs w:val="24"/>
        </w:rPr>
        <w:t xml:space="preserve">COVID-19 pandemic response has identified there is a definite need </w:t>
      </w:r>
      <w:r w:rsidR="00F9398F" w:rsidRPr="00A24416">
        <w:rPr>
          <w:rFonts w:asciiTheme="majorHAnsi" w:eastAsia="Calibri" w:hAnsiTheme="majorHAnsi" w:cs="Calibri"/>
          <w:sz w:val="24"/>
          <w:szCs w:val="24"/>
        </w:rPr>
        <w:t xml:space="preserve">for a National Strategy to develop a Framework and Guidelines for the use of </w:t>
      </w:r>
      <w:r w:rsidR="00782A83">
        <w:rPr>
          <w:rFonts w:asciiTheme="majorHAnsi" w:eastAsia="Calibri" w:hAnsiTheme="majorHAnsi" w:cs="Calibri"/>
          <w:sz w:val="24"/>
          <w:szCs w:val="24"/>
        </w:rPr>
        <w:t xml:space="preserve">Virtual Health / </w:t>
      </w:r>
      <w:r w:rsidR="00F9398F" w:rsidRPr="00A24416">
        <w:rPr>
          <w:rFonts w:asciiTheme="majorHAnsi" w:eastAsia="Calibri" w:hAnsiTheme="majorHAnsi" w:cs="Calibri"/>
          <w:sz w:val="24"/>
          <w:szCs w:val="24"/>
        </w:rPr>
        <w:t>Telemedicine</w:t>
      </w:r>
      <w:r w:rsidR="00782A83">
        <w:rPr>
          <w:rFonts w:asciiTheme="majorHAnsi" w:eastAsia="Calibri" w:hAnsiTheme="majorHAnsi" w:cs="Calibri"/>
          <w:sz w:val="24"/>
          <w:szCs w:val="24"/>
        </w:rPr>
        <w:t xml:space="preserve"> </w:t>
      </w:r>
      <w:r w:rsidR="00F9398F" w:rsidRPr="00A24416">
        <w:rPr>
          <w:rFonts w:asciiTheme="majorHAnsi" w:eastAsia="Calibri" w:hAnsiTheme="majorHAnsi" w:cs="Calibri"/>
          <w:sz w:val="24"/>
          <w:szCs w:val="24"/>
        </w:rPr>
        <w:t>with a specific focus on modality of care and funding models. This will ensure consistency and flexibility in the use of advances in technology.</w:t>
      </w:r>
    </w:p>
    <w:p w14:paraId="7378FA93" w14:textId="77777777" w:rsidR="007A65C6" w:rsidRDefault="007A65C6" w:rsidP="00132469">
      <w:pPr>
        <w:rPr>
          <w:rFonts w:ascii="Calibri" w:eastAsia="Calibri" w:hAnsi="Calibri" w:cs="Calibri"/>
          <w:sz w:val="24"/>
          <w:szCs w:val="24"/>
        </w:rPr>
      </w:pPr>
    </w:p>
    <w:p w14:paraId="765435B3" w14:textId="155786F8" w:rsidR="00132469" w:rsidRDefault="00132469" w:rsidP="00132469">
      <w:pPr>
        <w:rPr>
          <w:rFonts w:ascii="Calibri" w:eastAsia="Calibri" w:hAnsi="Calibri" w:cs="Calibri"/>
          <w:b/>
          <w:sz w:val="24"/>
          <w:szCs w:val="24"/>
        </w:rPr>
      </w:pPr>
      <w:r w:rsidRPr="00A24416">
        <w:rPr>
          <w:rFonts w:ascii="Calibri" w:eastAsia="Calibri" w:hAnsi="Calibri" w:cs="Calibri"/>
          <w:b/>
          <w:sz w:val="24"/>
          <w:szCs w:val="24"/>
        </w:rPr>
        <w:t>Alternate Funding Models – See Principle 8</w:t>
      </w:r>
    </w:p>
    <w:p w14:paraId="59E192D6" w14:textId="77777777" w:rsidR="00F9398F" w:rsidRPr="00A24416" w:rsidRDefault="00F9398F" w:rsidP="00A24416">
      <w:pPr>
        <w:spacing w:after="120" w:line="240" w:lineRule="auto"/>
        <w:rPr>
          <w:rFonts w:ascii="Calibri" w:eastAsia="Calibri" w:hAnsi="Calibri" w:cs="Calibri"/>
          <w:b/>
          <w:sz w:val="24"/>
          <w:szCs w:val="24"/>
        </w:rPr>
      </w:pPr>
    </w:p>
    <w:p w14:paraId="597771F3" w14:textId="5A5E2A6A" w:rsidR="00132469" w:rsidRPr="001B6D29" w:rsidRDefault="00F9398F" w:rsidP="00132469">
      <w:pPr>
        <w:pStyle w:val="Style2"/>
      </w:pPr>
      <w:bookmarkStart w:id="16" w:name="_Toc42764227"/>
      <w:r>
        <w:lastRenderedPageBreak/>
        <w:t xml:space="preserve">Key </w:t>
      </w:r>
      <w:r w:rsidR="00132469" w:rsidRPr="001B6D29">
        <w:t>Recommend</w:t>
      </w:r>
      <w:r w:rsidR="00132469">
        <w:t>a</w:t>
      </w:r>
      <w:r w:rsidR="00132469" w:rsidRPr="001B6D29">
        <w:t>tions</w:t>
      </w:r>
      <w:bookmarkEnd w:id="16"/>
      <w:r w:rsidR="00D94139">
        <w:t xml:space="preserve"> </w:t>
      </w:r>
    </w:p>
    <w:p w14:paraId="565B5E01" w14:textId="77777777" w:rsidR="00132469" w:rsidRPr="001B6D29" w:rsidRDefault="00132469" w:rsidP="00132469">
      <w:pPr>
        <w:rPr>
          <w:rFonts w:ascii="Calibri" w:eastAsia="Calibri" w:hAnsi="Calibri" w:cs="Calibri"/>
          <w:b/>
          <w:sz w:val="24"/>
          <w:szCs w:val="24"/>
        </w:rPr>
      </w:pPr>
      <w:r w:rsidRPr="001B6D29">
        <w:rPr>
          <w:rFonts w:ascii="Calibri" w:eastAsia="Calibri" w:hAnsi="Calibri" w:cs="Calibri"/>
          <w:b/>
          <w:sz w:val="24"/>
          <w:szCs w:val="24"/>
        </w:rPr>
        <w:t>Recommendation 1.</w:t>
      </w:r>
    </w:p>
    <w:p w14:paraId="435EE52A" w14:textId="409D088A" w:rsidR="008631BC" w:rsidRDefault="00132469" w:rsidP="008631BC">
      <w:pPr>
        <w:rPr>
          <w:rFonts w:ascii="Calibri" w:eastAsia="Calibri" w:hAnsi="Calibri" w:cs="Calibri"/>
          <w:sz w:val="24"/>
          <w:szCs w:val="24"/>
        </w:rPr>
      </w:pPr>
      <w:r>
        <w:rPr>
          <w:rFonts w:ascii="Calibri" w:eastAsia="Calibri" w:hAnsi="Calibri" w:cs="Calibri"/>
          <w:sz w:val="24"/>
          <w:szCs w:val="24"/>
        </w:rPr>
        <w:t xml:space="preserve">The Government </w:t>
      </w:r>
      <w:r w:rsidR="008631BC">
        <w:rPr>
          <w:rFonts w:ascii="Calibri" w:eastAsia="Calibri" w:hAnsi="Calibri" w:cs="Calibri"/>
          <w:sz w:val="24"/>
          <w:szCs w:val="24"/>
        </w:rPr>
        <w:t>d</w:t>
      </w:r>
      <w:r w:rsidR="008631BC" w:rsidRPr="001B6D29">
        <w:rPr>
          <w:rFonts w:ascii="Calibri" w:eastAsia="Calibri" w:hAnsi="Calibri" w:cs="Calibri"/>
          <w:sz w:val="24"/>
          <w:szCs w:val="24"/>
        </w:rPr>
        <w:t>e</w:t>
      </w:r>
      <w:r w:rsidR="008631BC">
        <w:rPr>
          <w:rFonts w:ascii="Calibri" w:eastAsia="Calibri" w:hAnsi="Calibri" w:cs="Calibri"/>
          <w:sz w:val="24"/>
          <w:szCs w:val="24"/>
        </w:rPr>
        <w:t xml:space="preserve">velop a National </w:t>
      </w:r>
      <w:r w:rsidR="00810315">
        <w:rPr>
          <w:rFonts w:ascii="Calibri" w:eastAsia="Calibri" w:hAnsi="Calibri" w:cs="Calibri"/>
          <w:sz w:val="24"/>
          <w:szCs w:val="24"/>
        </w:rPr>
        <w:t>Vi</w:t>
      </w:r>
      <w:r w:rsidR="00485DED">
        <w:rPr>
          <w:rFonts w:ascii="Calibri" w:eastAsia="Calibri" w:hAnsi="Calibri" w:cs="Calibri"/>
          <w:sz w:val="24"/>
          <w:szCs w:val="24"/>
        </w:rPr>
        <w:t>r</w:t>
      </w:r>
      <w:r w:rsidR="00810315">
        <w:rPr>
          <w:rFonts w:ascii="Calibri" w:eastAsia="Calibri" w:hAnsi="Calibri" w:cs="Calibri"/>
          <w:sz w:val="24"/>
          <w:szCs w:val="24"/>
        </w:rPr>
        <w:t xml:space="preserve">tual </w:t>
      </w:r>
      <w:r w:rsidR="00804384">
        <w:rPr>
          <w:rFonts w:ascii="Calibri" w:eastAsia="Calibri" w:hAnsi="Calibri" w:cs="Calibri"/>
          <w:sz w:val="24"/>
          <w:szCs w:val="24"/>
        </w:rPr>
        <w:t xml:space="preserve">Health </w:t>
      </w:r>
      <w:r w:rsidR="008631BC">
        <w:rPr>
          <w:rFonts w:ascii="Calibri" w:eastAsia="Calibri" w:hAnsi="Calibri" w:cs="Calibri"/>
          <w:sz w:val="24"/>
          <w:szCs w:val="24"/>
        </w:rPr>
        <w:t>Strategy and Framework for Australia</w:t>
      </w:r>
      <w:r w:rsidR="0031790C">
        <w:rPr>
          <w:rFonts w:ascii="Calibri" w:eastAsia="Calibri" w:hAnsi="Calibri" w:cs="Calibri"/>
          <w:sz w:val="24"/>
          <w:szCs w:val="24"/>
        </w:rPr>
        <w:t>,</w:t>
      </w:r>
      <w:r w:rsidR="008631BC">
        <w:rPr>
          <w:rFonts w:ascii="Calibri" w:eastAsia="Calibri" w:hAnsi="Calibri" w:cs="Calibri"/>
          <w:sz w:val="24"/>
          <w:szCs w:val="24"/>
        </w:rPr>
        <w:t xml:space="preserve"> with National Guidelines for MBS Telehealth.</w:t>
      </w:r>
    </w:p>
    <w:p w14:paraId="411B889F" w14:textId="764B7762" w:rsidR="00132469" w:rsidRDefault="00132469" w:rsidP="00132469">
      <w:pPr>
        <w:rPr>
          <w:rFonts w:ascii="Calibri" w:eastAsia="Calibri" w:hAnsi="Calibri" w:cs="Calibri"/>
          <w:sz w:val="24"/>
          <w:szCs w:val="24"/>
        </w:rPr>
      </w:pPr>
    </w:p>
    <w:p w14:paraId="58552410" w14:textId="77777777" w:rsidR="00132469" w:rsidRPr="001B6D29" w:rsidRDefault="00132469" w:rsidP="00132469">
      <w:pPr>
        <w:rPr>
          <w:rFonts w:ascii="Calibri" w:eastAsia="Calibri" w:hAnsi="Calibri" w:cs="Calibri"/>
          <w:b/>
          <w:sz w:val="24"/>
          <w:szCs w:val="24"/>
        </w:rPr>
      </w:pPr>
      <w:r w:rsidRPr="001B6D29">
        <w:rPr>
          <w:rFonts w:ascii="Calibri" w:eastAsia="Calibri" w:hAnsi="Calibri" w:cs="Calibri"/>
          <w:b/>
          <w:sz w:val="24"/>
          <w:szCs w:val="24"/>
        </w:rPr>
        <w:t xml:space="preserve">Rationale: </w:t>
      </w:r>
    </w:p>
    <w:p w14:paraId="0070D076" w14:textId="617EDED5" w:rsidR="003C4376" w:rsidRDefault="00092FA2" w:rsidP="0002737A">
      <w:pPr>
        <w:spacing w:line="240" w:lineRule="auto"/>
        <w:rPr>
          <w:rFonts w:ascii="Calibri" w:eastAsia="Calibri" w:hAnsi="Calibri" w:cs="Calibri"/>
          <w:sz w:val="24"/>
          <w:szCs w:val="24"/>
        </w:rPr>
      </w:pPr>
      <w:r>
        <w:rPr>
          <w:rFonts w:ascii="Calibri" w:eastAsia="Calibri" w:hAnsi="Calibri" w:cs="Calibri"/>
          <w:sz w:val="24"/>
          <w:szCs w:val="24"/>
        </w:rPr>
        <w:t>The Telehealth Working Group’s consideration of the broader concept of Telehealth, the referred recommendations</w:t>
      </w:r>
      <w:r w:rsidR="00D225DA">
        <w:rPr>
          <w:rFonts w:ascii="Calibri" w:eastAsia="Calibri" w:hAnsi="Calibri" w:cs="Calibri"/>
          <w:sz w:val="24"/>
          <w:szCs w:val="24"/>
        </w:rPr>
        <w:t>,</w:t>
      </w:r>
      <w:r>
        <w:rPr>
          <w:rFonts w:ascii="Calibri" w:eastAsia="Calibri" w:hAnsi="Calibri" w:cs="Calibri"/>
          <w:sz w:val="24"/>
          <w:szCs w:val="24"/>
        </w:rPr>
        <w:t xml:space="preserve"> and the </w:t>
      </w:r>
      <w:r w:rsidR="00132469">
        <w:rPr>
          <w:rFonts w:ascii="Calibri" w:eastAsia="Calibri" w:hAnsi="Calibri" w:cs="Calibri"/>
          <w:sz w:val="24"/>
          <w:szCs w:val="24"/>
        </w:rPr>
        <w:t>expansion of telehealth</w:t>
      </w:r>
      <w:r w:rsidR="003C4376">
        <w:rPr>
          <w:rFonts w:ascii="Calibri" w:eastAsia="Calibri" w:hAnsi="Calibri" w:cs="Calibri"/>
          <w:sz w:val="24"/>
          <w:szCs w:val="24"/>
        </w:rPr>
        <w:t>,</w:t>
      </w:r>
      <w:r w:rsidR="00132469">
        <w:rPr>
          <w:rFonts w:ascii="Calibri" w:eastAsia="Calibri" w:hAnsi="Calibri" w:cs="Calibri"/>
          <w:sz w:val="24"/>
          <w:szCs w:val="24"/>
        </w:rPr>
        <w:t xml:space="preserve"> </w:t>
      </w:r>
      <w:r>
        <w:rPr>
          <w:rFonts w:ascii="Calibri" w:eastAsia="Calibri" w:hAnsi="Calibri" w:cs="Calibri"/>
          <w:sz w:val="24"/>
          <w:szCs w:val="24"/>
        </w:rPr>
        <w:t xml:space="preserve">resulting from </w:t>
      </w:r>
      <w:r w:rsidR="00132469">
        <w:rPr>
          <w:rFonts w:ascii="Calibri" w:eastAsia="Calibri" w:hAnsi="Calibri" w:cs="Calibri"/>
          <w:sz w:val="24"/>
          <w:szCs w:val="24"/>
        </w:rPr>
        <w:t>bushfire and pandemic</w:t>
      </w:r>
      <w:r w:rsidR="00B12E49">
        <w:rPr>
          <w:rFonts w:ascii="Calibri" w:eastAsia="Calibri" w:hAnsi="Calibri" w:cs="Calibri"/>
          <w:sz w:val="24"/>
          <w:szCs w:val="24"/>
        </w:rPr>
        <w:t xml:space="preserve"> </w:t>
      </w:r>
      <w:r>
        <w:rPr>
          <w:rFonts w:ascii="Calibri" w:eastAsia="Calibri" w:hAnsi="Calibri" w:cs="Calibri"/>
          <w:sz w:val="24"/>
          <w:szCs w:val="24"/>
        </w:rPr>
        <w:t>response</w:t>
      </w:r>
      <w:r w:rsidR="003C4376">
        <w:rPr>
          <w:rFonts w:ascii="Calibri" w:eastAsia="Calibri" w:hAnsi="Calibri" w:cs="Calibri"/>
          <w:sz w:val="24"/>
          <w:szCs w:val="24"/>
        </w:rPr>
        <w:t>s,</w:t>
      </w:r>
      <w:r>
        <w:rPr>
          <w:rFonts w:ascii="Calibri" w:eastAsia="Calibri" w:hAnsi="Calibri" w:cs="Calibri"/>
          <w:sz w:val="24"/>
          <w:szCs w:val="24"/>
        </w:rPr>
        <w:t xml:space="preserve"> </w:t>
      </w:r>
      <w:r w:rsidR="00B12E49">
        <w:rPr>
          <w:rFonts w:ascii="Calibri" w:eastAsia="Calibri" w:hAnsi="Calibri" w:cs="Calibri"/>
          <w:sz w:val="24"/>
          <w:szCs w:val="24"/>
        </w:rPr>
        <w:t xml:space="preserve">has presented a range of opportunities and risks </w:t>
      </w:r>
      <w:r w:rsidR="003C4376">
        <w:rPr>
          <w:rFonts w:ascii="Calibri" w:eastAsia="Calibri" w:hAnsi="Calibri" w:cs="Calibri"/>
          <w:sz w:val="24"/>
          <w:szCs w:val="24"/>
        </w:rPr>
        <w:t xml:space="preserve">for policy makers </w:t>
      </w:r>
      <w:r w:rsidR="00B12E49">
        <w:rPr>
          <w:rFonts w:ascii="Calibri" w:eastAsia="Calibri" w:hAnsi="Calibri" w:cs="Calibri"/>
          <w:sz w:val="24"/>
          <w:szCs w:val="24"/>
        </w:rPr>
        <w:t xml:space="preserve">to consider. </w:t>
      </w:r>
    </w:p>
    <w:p w14:paraId="129B286B" w14:textId="77777777" w:rsidR="003C4376" w:rsidRDefault="003C4376" w:rsidP="0002737A">
      <w:pPr>
        <w:spacing w:line="240" w:lineRule="auto"/>
        <w:rPr>
          <w:rFonts w:ascii="Calibri" w:eastAsia="Calibri" w:hAnsi="Calibri" w:cs="Calibri"/>
          <w:sz w:val="24"/>
          <w:szCs w:val="24"/>
        </w:rPr>
      </w:pPr>
    </w:p>
    <w:p w14:paraId="49C6F17E" w14:textId="77DEC69A" w:rsidR="003C4376" w:rsidRDefault="003C4376" w:rsidP="0002737A">
      <w:pPr>
        <w:spacing w:line="240" w:lineRule="auto"/>
        <w:rPr>
          <w:rFonts w:ascii="Calibri" w:eastAsia="Calibri" w:hAnsi="Calibri" w:cs="Calibri"/>
          <w:sz w:val="24"/>
          <w:szCs w:val="24"/>
        </w:rPr>
      </w:pPr>
      <w:r>
        <w:rPr>
          <w:rFonts w:ascii="Calibri" w:eastAsia="Calibri" w:hAnsi="Calibri" w:cs="Calibri"/>
          <w:sz w:val="24"/>
          <w:szCs w:val="24"/>
        </w:rPr>
        <w:t>This along with t</w:t>
      </w:r>
      <w:r w:rsidRPr="00116AC3">
        <w:rPr>
          <w:rFonts w:asciiTheme="majorHAnsi" w:hAnsiTheme="majorHAnsi" w:cstheme="majorHAnsi"/>
          <w:sz w:val="24"/>
          <w:szCs w:val="24"/>
        </w:rPr>
        <w:t xml:space="preserve">he emergence of blended payment models and voluntary enrolment, the </w:t>
      </w:r>
      <w:r>
        <w:rPr>
          <w:rFonts w:asciiTheme="majorHAnsi" w:hAnsiTheme="majorHAnsi" w:cstheme="majorHAnsi"/>
          <w:sz w:val="24"/>
          <w:szCs w:val="24"/>
        </w:rPr>
        <w:t>Working Group agree there are opportunities for a</w:t>
      </w:r>
      <w:r w:rsidRPr="00116AC3">
        <w:rPr>
          <w:rFonts w:asciiTheme="majorHAnsi" w:hAnsiTheme="majorHAnsi" w:cstheme="majorHAnsi"/>
          <w:sz w:val="24"/>
          <w:szCs w:val="24"/>
        </w:rPr>
        <w:t xml:space="preserve"> more broadly defined </w:t>
      </w:r>
      <w:r w:rsidR="00BE1B67">
        <w:rPr>
          <w:rFonts w:asciiTheme="majorHAnsi" w:hAnsiTheme="majorHAnsi" w:cstheme="majorHAnsi"/>
          <w:sz w:val="24"/>
          <w:szCs w:val="24"/>
        </w:rPr>
        <w:t>Virtual Health</w:t>
      </w:r>
      <w:r w:rsidR="00BE1B67" w:rsidRPr="00116AC3">
        <w:rPr>
          <w:rFonts w:asciiTheme="majorHAnsi" w:hAnsiTheme="majorHAnsi" w:cstheme="majorHAnsi"/>
          <w:sz w:val="24"/>
          <w:szCs w:val="24"/>
        </w:rPr>
        <w:t xml:space="preserve"> </w:t>
      </w:r>
      <w:r w:rsidRPr="00116AC3">
        <w:rPr>
          <w:rFonts w:asciiTheme="majorHAnsi" w:hAnsiTheme="majorHAnsi" w:cstheme="majorHAnsi"/>
          <w:sz w:val="24"/>
          <w:szCs w:val="24"/>
        </w:rPr>
        <w:t>concept</w:t>
      </w:r>
      <w:r>
        <w:rPr>
          <w:rFonts w:asciiTheme="majorHAnsi" w:hAnsiTheme="majorHAnsi" w:cstheme="majorHAnsi"/>
          <w:sz w:val="24"/>
          <w:szCs w:val="24"/>
        </w:rPr>
        <w:t xml:space="preserve"> in the Australian health system.</w:t>
      </w:r>
    </w:p>
    <w:p w14:paraId="74308962" w14:textId="77777777" w:rsidR="00092FA2" w:rsidRDefault="00092FA2" w:rsidP="0002737A">
      <w:pPr>
        <w:spacing w:line="240" w:lineRule="auto"/>
        <w:rPr>
          <w:rFonts w:ascii="Calibri" w:eastAsia="Calibri" w:hAnsi="Calibri" w:cs="Calibri"/>
          <w:sz w:val="24"/>
          <w:szCs w:val="24"/>
        </w:rPr>
      </w:pPr>
    </w:p>
    <w:p w14:paraId="55554DA8" w14:textId="67C005D2" w:rsidR="00132469" w:rsidRDefault="0052221D" w:rsidP="0002737A">
      <w:pPr>
        <w:spacing w:line="240" w:lineRule="auto"/>
        <w:rPr>
          <w:rFonts w:ascii="Calibri" w:eastAsia="Calibri" w:hAnsi="Calibri" w:cs="Calibri"/>
          <w:sz w:val="24"/>
          <w:szCs w:val="24"/>
        </w:rPr>
      </w:pPr>
      <w:r>
        <w:rPr>
          <w:rFonts w:ascii="Calibri" w:eastAsia="Calibri" w:hAnsi="Calibri" w:cs="Calibri"/>
          <w:sz w:val="24"/>
          <w:szCs w:val="24"/>
        </w:rPr>
        <w:t>There</w:t>
      </w:r>
      <w:r w:rsidR="003C4376">
        <w:rPr>
          <w:rFonts w:ascii="Calibri" w:eastAsia="Calibri" w:hAnsi="Calibri" w:cs="Calibri"/>
          <w:sz w:val="24"/>
          <w:szCs w:val="24"/>
        </w:rPr>
        <w:t xml:space="preserve"> </w:t>
      </w:r>
      <w:r w:rsidR="007A47A5">
        <w:rPr>
          <w:rFonts w:ascii="Calibri" w:eastAsia="Calibri" w:hAnsi="Calibri" w:cs="Calibri"/>
          <w:sz w:val="24"/>
          <w:szCs w:val="24"/>
        </w:rPr>
        <w:t>is</w:t>
      </w:r>
      <w:r w:rsidR="003C4376">
        <w:rPr>
          <w:rFonts w:ascii="Calibri" w:eastAsia="Calibri" w:hAnsi="Calibri" w:cs="Calibri"/>
          <w:sz w:val="24"/>
          <w:szCs w:val="24"/>
        </w:rPr>
        <w:t xml:space="preserve"> </w:t>
      </w:r>
      <w:r>
        <w:rPr>
          <w:rFonts w:ascii="Calibri" w:eastAsia="Calibri" w:hAnsi="Calibri" w:cs="Calibri"/>
          <w:sz w:val="24"/>
          <w:szCs w:val="24"/>
        </w:rPr>
        <w:t xml:space="preserve">a need to </w:t>
      </w:r>
      <w:r w:rsidRPr="0002737A">
        <w:rPr>
          <w:rFonts w:ascii="Calibri" w:eastAsia="Calibri" w:hAnsi="Calibri" w:cs="Calibri"/>
          <w:sz w:val="24"/>
          <w:szCs w:val="24"/>
        </w:rPr>
        <w:t>detail the highest-value opportunities for telehealth integration into health care</w:t>
      </w:r>
      <w:r>
        <w:rPr>
          <w:rFonts w:ascii="Calibri" w:eastAsia="Calibri" w:hAnsi="Calibri" w:cs="Calibri"/>
          <w:sz w:val="24"/>
          <w:szCs w:val="24"/>
        </w:rPr>
        <w:t xml:space="preserve">. Gathering </w:t>
      </w:r>
      <w:r w:rsidRPr="0002737A">
        <w:rPr>
          <w:rFonts w:ascii="Calibri" w:eastAsia="Calibri" w:hAnsi="Calibri" w:cs="Calibri"/>
          <w:sz w:val="24"/>
          <w:szCs w:val="24"/>
        </w:rPr>
        <w:t xml:space="preserve">national evidence, building on existing research on telehealth interventions conducted at the state and territory level and in federally funded trials </w:t>
      </w:r>
      <w:r>
        <w:rPr>
          <w:rFonts w:ascii="Calibri" w:eastAsia="Calibri" w:hAnsi="Calibri" w:cs="Calibri"/>
          <w:sz w:val="24"/>
          <w:szCs w:val="24"/>
        </w:rPr>
        <w:t xml:space="preserve">will help </w:t>
      </w:r>
      <w:r w:rsidRPr="0002737A">
        <w:rPr>
          <w:rFonts w:ascii="Calibri" w:eastAsia="Calibri" w:hAnsi="Calibri" w:cs="Calibri"/>
          <w:sz w:val="24"/>
          <w:szCs w:val="24"/>
        </w:rPr>
        <w:t>identify</w:t>
      </w:r>
      <w:r>
        <w:rPr>
          <w:rFonts w:ascii="Calibri" w:eastAsia="Calibri" w:hAnsi="Calibri" w:cs="Calibri"/>
          <w:sz w:val="24"/>
          <w:szCs w:val="24"/>
        </w:rPr>
        <w:t xml:space="preserve"> a nationally consistent </w:t>
      </w:r>
      <w:proofErr w:type="gramStart"/>
      <w:r>
        <w:rPr>
          <w:rFonts w:ascii="Calibri" w:eastAsia="Calibri" w:hAnsi="Calibri" w:cs="Calibri"/>
          <w:sz w:val="24"/>
          <w:szCs w:val="24"/>
        </w:rPr>
        <w:t>evidence based</w:t>
      </w:r>
      <w:proofErr w:type="gramEnd"/>
      <w:r>
        <w:rPr>
          <w:rFonts w:ascii="Calibri" w:eastAsia="Calibri" w:hAnsi="Calibri" w:cs="Calibri"/>
          <w:sz w:val="24"/>
          <w:szCs w:val="24"/>
        </w:rPr>
        <w:t xml:space="preserve"> approach to the inclusion of </w:t>
      </w:r>
      <w:r w:rsidR="00092FA2">
        <w:rPr>
          <w:rFonts w:ascii="Calibri" w:eastAsia="Calibri" w:hAnsi="Calibri" w:cs="Calibri"/>
          <w:sz w:val="24"/>
          <w:szCs w:val="24"/>
        </w:rPr>
        <w:t xml:space="preserve">the range of </w:t>
      </w:r>
      <w:r w:rsidR="008B6A8C">
        <w:rPr>
          <w:rFonts w:ascii="Calibri" w:eastAsia="Calibri" w:hAnsi="Calibri" w:cs="Calibri"/>
          <w:sz w:val="24"/>
          <w:szCs w:val="24"/>
        </w:rPr>
        <w:t xml:space="preserve">Virtual Health </w:t>
      </w:r>
      <w:r>
        <w:rPr>
          <w:rFonts w:ascii="Calibri" w:eastAsia="Calibri" w:hAnsi="Calibri" w:cs="Calibri"/>
          <w:sz w:val="24"/>
          <w:szCs w:val="24"/>
        </w:rPr>
        <w:t>services available</w:t>
      </w:r>
      <w:r w:rsidR="00092FA2">
        <w:rPr>
          <w:rFonts w:ascii="Calibri" w:eastAsia="Calibri" w:hAnsi="Calibri" w:cs="Calibri"/>
          <w:sz w:val="24"/>
          <w:szCs w:val="24"/>
        </w:rPr>
        <w:t>.</w:t>
      </w:r>
      <w:r>
        <w:rPr>
          <w:rFonts w:ascii="Calibri" w:eastAsia="Calibri" w:hAnsi="Calibri" w:cs="Calibri"/>
          <w:sz w:val="24"/>
          <w:szCs w:val="24"/>
        </w:rPr>
        <w:t xml:space="preserve"> However, without a strategic approach </w:t>
      </w:r>
      <w:r w:rsidR="007A47A5">
        <w:rPr>
          <w:rFonts w:ascii="Calibri" w:eastAsia="Calibri" w:hAnsi="Calibri" w:cs="Calibri"/>
          <w:sz w:val="24"/>
          <w:szCs w:val="24"/>
        </w:rPr>
        <w:t xml:space="preserve">and acceptable transition </w:t>
      </w:r>
      <w:r>
        <w:rPr>
          <w:rFonts w:ascii="Calibri" w:eastAsia="Calibri" w:hAnsi="Calibri" w:cs="Calibri"/>
          <w:sz w:val="24"/>
          <w:szCs w:val="24"/>
        </w:rPr>
        <w:t>there is a risk to patient outcomes and safety.</w:t>
      </w:r>
    </w:p>
    <w:p w14:paraId="624834A5" w14:textId="399AD5A9" w:rsidR="6873A071" w:rsidRDefault="6873A071" w:rsidP="6873A071">
      <w:pPr>
        <w:rPr>
          <w:rFonts w:ascii="Calibri" w:eastAsia="Calibri" w:hAnsi="Calibri" w:cs="Calibri"/>
          <w:sz w:val="24"/>
          <w:szCs w:val="24"/>
        </w:rPr>
      </w:pPr>
    </w:p>
    <w:p w14:paraId="68FE45A3" w14:textId="140F4D2A" w:rsidR="00132469" w:rsidRPr="001B6D29" w:rsidRDefault="00132469" w:rsidP="00132469">
      <w:pPr>
        <w:rPr>
          <w:rFonts w:ascii="Calibri" w:eastAsia="Calibri" w:hAnsi="Calibri" w:cs="Calibri"/>
          <w:b/>
          <w:sz w:val="24"/>
          <w:szCs w:val="24"/>
        </w:rPr>
      </w:pPr>
      <w:r w:rsidRPr="001B6D29">
        <w:rPr>
          <w:rFonts w:ascii="Calibri" w:eastAsia="Calibri" w:hAnsi="Calibri" w:cs="Calibri"/>
          <w:b/>
          <w:sz w:val="24"/>
          <w:szCs w:val="24"/>
        </w:rPr>
        <w:t>Recommendation 2.</w:t>
      </w:r>
    </w:p>
    <w:p w14:paraId="7DC27D84" w14:textId="1828AE8D" w:rsidR="00132469" w:rsidRDefault="0031790C" w:rsidP="0002737A">
      <w:pPr>
        <w:spacing w:after="120" w:line="240" w:lineRule="auto"/>
        <w:rPr>
          <w:rFonts w:ascii="Calibri" w:eastAsia="Calibri" w:hAnsi="Calibri" w:cs="Calibri"/>
          <w:sz w:val="24"/>
          <w:szCs w:val="24"/>
        </w:rPr>
      </w:pPr>
      <w:r>
        <w:rPr>
          <w:rFonts w:ascii="Calibri" w:eastAsia="Calibri" w:hAnsi="Calibri" w:cs="Calibri"/>
          <w:sz w:val="24"/>
          <w:szCs w:val="24"/>
        </w:rPr>
        <w:t xml:space="preserve">Design MBS Telehealth policy and guidelines using </w:t>
      </w:r>
      <w:r w:rsidR="002718B6">
        <w:rPr>
          <w:rFonts w:ascii="Calibri" w:eastAsia="Calibri" w:hAnsi="Calibri" w:cs="Calibri"/>
          <w:sz w:val="24"/>
          <w:szCs w:val="24"/>
        </w:rPr>
        <w:t xml:space="preserve">the Principles in this document </w:t>
      </w:r>
      <w:r w:rsidR="000172D5">
        <w:rPr>
          <w:rFonts w:ascii="Calibri" w:eastAsia="Calibri" w:hAnsi="Calibri" w:cs="Calibri"/>
          <w:sz w:val="24"/>
          <w:szCs w:val="24"/>
        </w:rPr>
        <w:t xml:space="preserve">as a framework for </w:t>
      </w:r>
      <w:r w:rsidR="002718B6">
        <w:rPr>
          <w:rFonts w:ascii="Calibri" w:eastAsia="Calibri" w:hAnsi="Calibri" w:cs="Calibri"/>
          <w:sz w:val="24"/>
          <w:szCs w:val="24"/>
        </w:rPr>
        <w:t>provid</w:t>
      </w:r>
      <w:r w:rsidR="000172D5">
        <w:rPr>
          <w:rFonts w:ascii="Calibri" w:eastAsia="Calibri" w:hAnsi="Calibri" w:cs="Calibri"/>
          <w:sz w:val="24"/>
          <w:szCs w:val="24"/>
        </w:rPr>
        <w:t>ing a</w:t>
      </w:r>
      <w:r w:rsidR="002718B6">
        <w:rPr>
          <w:rFonts w:ascii="Calibri" w:eastAsia="Calibri" w:hAnsi="Calibri" w:cs="Calibri"/>
          <w:sz w:val="24"/>
          <w:szCs w:val="24"/>
        </w:rPr>
        <w:t xml:space="preserve"> consistent service model for</w:t>
      </w:r>
      <w:r w:rsidR="002D61C0">
        <w:rPr>
          <w:rFonts w:ascii="Calibri" w:eastAsia="Calibri" w:hAnsi="Calibri" w:cs="Calibri"/>
          <w:sz w:val="24"/>
          <w:szCs w:val="24"/>
        </w:rPr>
        <w:t xml:space="preserve"> Medicare services. This </w:t>
      </w:r>
      <w:r w:rsidR="000172D5">
        <w:rPr>
          <w:rFonts w:ascii="Calibri" w:eastAsia="Calibri" w:hAnsi="Calibri" w:cs="Calibri"/>
          <w:sz w:val="24"/>
          <w:szCs w:val="24"/>
        </w:rPr>
        <w:t xml:space="preserve">design </w:t>
      </w:r>
      <w:r w:rsidR="002D61C0">
        <w:rPr>
          <w:rFonts w:ascii="Calibri" w:eastAsia="Calibri" w:hAnsi="Calibri" w:cs="Calibri"/>
          <w:sz w:val="24"/>
          <w:szCs w:val="24"/>
        </w:rPr>
        <w:t>process</w:t>
      </w:r>
      <w:r w:rsidR="002718B6">
        <w:rPr>
          <w:rFonts w:ascii="Calibri" w:eastAsia="Calibri" w:hAnsi="Calibri" w:cs="Calibri"/>
          <w:sz w:val="24"/>
          <w:szCs w:val="24"/>
        </w:rPr>
        <w:t xml:space="preserve"> should </w:t>
      </w:r>
      <w:r w:rsidR="000172D5">
        <w:rPr>
          <w:rFonts w:ascii="Calibri" w:eastAsia="Calibri" w:hAnsi="Calibri" w:cs="Calibri"/>
          <w:sz w:val="24"/>
          <w:szCs w:val="24"/>
        </w:rPr>
        <w:t>equally consider and</w:t>
      </w:r>
      <w:r w:rsidR="002718B6">
        <w:rPr>
          <w:rFonts w:ascii="Calibri" w:eastAsia="Calibri" w:hAnsi="Calibri" w:cs="Calibri"/>
          <w:sz w:val="24"/>
          <w:szCs w:val="24"/>
        </w:rPr>
        <w:t xml:space="preserve"> address the </w:t>
      </w:r>
      <w:r w:rsidR="00132469">
        <w:rPr>
          <w:rFonts w:ascii="Calibri" w:eastAsia="Calibri" w:hAnsi="Calibri" w:cs="Calibri"/>
          <w:sz w:val="24"/>
          <w:szCs w:val="24"/>
        </w:rPr>
        <w:t xml:space="preserve">intent </w:t>
      </w:r>
      <w:r w:rsidR="000172D5">
        <w:rPr>
          <w:rFonts w:ascii="Calibri" w:eastAsia="Calibri" w:hAnsi="Calibri" w:cs="Calibri"/>
          <w:sz w:val="24"/>
          <w:szCs w:val="24"/>
        </w:rPr>
        <w:t>from the</w:t>
      </w:r>
      <w:r w:rsidR="00132469">
        <w:rPr>
          <w:rFonts w:ascii="Calibri" w:eastAsia="Calibri" w:hAnsi="Calibri" w:cs="Calibri"/>
          <w:sz w:val="24"/>
          <w:szCs w:val="24"/>
        </w:rPr>
        <w:t xml:space="preserve"> referred recommendations </w:t>
      </w:r>
      <w:r w:rsidR="000172D5">
        <w:rPr>
          <w:rFonts w:ascii="Calibri" w:eastAsia="Calibri" w:hAnsi="Calibri" w:cs="Calibri"/>
          <w:sz w:val="24"/>
          <w:szCs w:val="24"/>
        </w:rPr>
        <w:t>including</w:t>
      </w:r>
      <w:r w:rsidR="00132469">
        <w:rPr>
          <w:rFonts w:ascii="Calibri" w:eastAsia="Calibri" w:hAnsi="Calibri" w:cs="Calibri"/>
          <w:sz w:val="24"/>
          <w:szCs w:val="24"/>
        </w:rPr>
        <w:t>:</w:t>
      </w:r>
    </w:p>
    <w:p w14:paraId="5CD62C1C" w14:textId="6539E96E" w:rsidR="002718B6" w:rsidRDefault="007A47A5" w:rsidP="0002737A">
      <w:pPr>
        <w:pStyle w:val="ListParagraph"/>
        <w:numPr>
          <w:ilvl w:val="0"/>
          <w:numId w:val="68"/>
        </w:numPr>
        <w:spacing w:line="240" w:lineRule="auto"/>
        <w:ind w:left="714" w:hanging="357"/>
        <w:contextualSpacing w:val="0"/>
        <w:rPr>
          <w:rFonts w:ascii="Calibri" w:eastAsia="Calibri" w:hAnsi="Calibri" w:cs="Calibri"/>
          <w:sz w:val="24"/>
          <w:szCs w:val="24"/>
        </w:rPr>
      </w:pPr>
      <w:r>
        <w:rPr>
          <w:rFonts w:ascii="Calibri" w:eastAsia="Calibri" w:hAnsi="Calibri" w:cs="Calibri"/>
          <w:sz w:val="24"/>
          <w:szCs w:val="24"/>
        </w:rPr>
        <w:t>Proper</w:t>
      </w:r>
      <w:r w:rsidRPr="002718B6">
        <w:rPr>
          <w:rFonts w:ascii="Calibri" w:eastAsia="Calibri" w:hAnsi="Calibri" w:cs="Calibri"/>
          <w:sz w:val="24"/>
          <w:szCs w:val="24"/>
        </w:rPr>
        <w:t xml:space="preserve"> </w:t>
      </w:r>
      <w:r w:rsidR="002718B6" w:rsidRPr="002718B6">
        <w:rPr>
          <w:rFonts w:ascii="Calibri" w:eastAsia="Calibri" w:hAnsi="Calibri" w:cs="Calibri"/>
          <w:sz w:val="24"/>
          <w:szCs w:val="24"/>
        </w:rPr>
        <w:t xml:space="preserve">expansion </w:t>
      </w:r>
      <w:r w:rsidR="002718B6">
        <w:rPr>
          <w:rFonts w:ascii="Calibri" w:eastAsia="Calibri" w:hAnsi="Calibri" w:cs="Calibri"/>
          <w:sz w:val="24"/>
          <w:szCs w:val="24"/>
        </w:rPr>
        <w:t>and improved access to</w:t>
      </w:r>
      <w:r w:rsidR="002718B6" w:rsidRPr="002718B6">
        <w:rPr>
          <w:rFonts w:ascii="Calibri" w:eastAsia="Calibri" w:hAnsi="Calibri" w:cs="Calibri"/>
          <w:sz w:val="24"/>
          <w:szCs w:val="24"/>
        </w:rPr>
        <w:t xml:space="preserve"> services for patients and health providers</w:t>
      </w:r>
    </w:p>
    <w:p w14:paraId="6EC5E48D" w14:textId="7E9A607B" w:rsidR="002718B6" w:rsidRDefault="002718B6" w:rsidP="0002737A">
      <w:pPr>
        <w:pStyle w:val="ListParagraph"/>
        <w:numPr>
          <w:ilvl w:val="0"/>
          <w:numId w:val="68"/>
        </w:numPr>
        <w:spacing w:line="240" w:lineRule="auto"/>
        <w:ind w:left="714" w:hanging="357"/>
        <w:contextualSpacing w:val="0"/>
        <w:rPr>
          <w:rFonts w:ascii="Calibri" w:eastAsia="Calibri" w:hAnsi="Calibri" w:cs="Calibri"/>
          <w:sz w:val="24"/>
          <w:szCs w:val="24"/>
        </w:rPr>
      </w:pPr>
      <w:r>
        <w:rPr>
          <w:rFonts w:ascii="Calibri" w:eastAsia="Calibri" w:hAnsi="Calibri" w:cs="Calibri"/>
          <w:sz w:val="24"/>
          <w:szCs w:val="24"/>
        </w:rPr>
        <w:t>Consideration of appropriate funding models</w:t>
      </w:r>
    </w:p>
    <w:p w14:paraId="1ABBCFB0" w14:textId="6BA46F2A" w:rsidR="002718B6" w:rsidRDefault="002718B6" w:rsidP="0002737A">
      <w:pPr>
        <w:pStyle w:val="ListParagraph"/>
        <w:numPr>
          <w:ilvl w:val="0"/>
          <w:numId w:val="68"/>
        </w:numPr>
        <w:spacing w:line="240" w:lineRule="auto"/>
        <w:ind w:left="714" w:hanging="357"/>
        <w:contextualSpacing w:val="0"/>
        <w:rPr>
          <w:rFonts w:ascii="Calibri" w:eastAsia="Calibri" w:hAnsi="Calibri" w:cs="Calibri"/>
          <w:sz w:val="24"/>
          <w:szCs w:val="24"/>
        </w:rPr>
      </w:pPr>
      <w:r>
        <w:rPr>
          <w:rFonts w:ascii="Calibri" w:eastAsia="Calibri" w:hAnsi="Calibri" w:cs="Calibri"/>
          <w:sz w:val="24"/>
          <w:szCs w:val="24"/>
        </w:rPr>
        <w:t xml:space="preserve">MBS Telehealth fee structures </w:t>
      </w:r>
      <w:r w:rsidR="00D94139">
        <w:rPr>
          <w:rFonts w:ascii="Calibri" w:eastAsia="Calibri" w:hAnsi="Calibri" w:cs="Calibri"/>
          <w:sz w:val="24"/>
          <w:szCs w:val="24"/>
        </w:rPr>
        <w:t xml:space="preserve">and </w:t>
      </w:r>
      <w:r>
        <w:rPr>
          <w:rFonts w:ascii="Calibri" w:eastAsia="Calibri" w:hAnsi="Calibri" w:cs="Calibri"/>
          <w:sz w:val="24"/>
          <w:szCs w:val="24"/>
        </w:rPr>
        <w:t>service</w:t>
      </w:r>
      <w:r w:rsidR="00D94139">
        <w:rPr>
          <w:rFonts w:ascii="Calibri" w:eastAsia="Calibri" w:hAnsi="Calibri" w:cs="Calibri"/>
          <w:sz w:val="24"/>
          <w:szCs w:val="24"/>
        </w:rPr>
        <w:t xml:space="preserve"> models</w:t>
      </w:r>
    </w:p>
    <w:p w14:paraId="444331C6" w14:textId="4FC24D86" w:rsidR="00F33680" w:rsidRPr="0002737A" w:rsidRDefault="00003AE5" w:rsidP="0002737A">
      <w:pPr>
        <w:pStyle w:val="ListParagraph"/>
        <w:numPr>
          <w:ilvl w:val="0"/>
          <w:numId w:val="68"/>
        </w:numPr>
        <w:spacing w:after="120" w:line="240" w:lineRule="auto"/>
        <w:ind w:left="714" w:hanging="357"/>
        <w:contextualSpacing w:val="0"/>
        <w:rPr>
          <w:rFonts w:ascii="Calibri" w:eastAsia="Calibri" w:hAnsi="Calibri" w:cs="Calibri"/>
          <w:sz w:val="24"/>
          <w:szCs w:val="24"/>
        </w:rPr>
      </w:pPr>
      <w:r>
        <w:rPr>
          <w:rFonts w:ascii="Calibri" w:eastAsia="Calibri" w:hAnsi="Calibri" w:cs="Calibri"/>
          <w:sz w:val="24"/>
          <w:szCs w:val="24"/>
        </w:rPr>
        <w:t xml:space="preserve">Service access and </w:t>
      </w:r>
      <w:r w:rsidR="002718B6">
        <w:rPr>
          <w:rFonts w:ascii="Calibri" w:eastAsia="Calibri" w:hAnsi="Calibri" w:cs="Calibri"/>
          <w:sz w:val="24"/>
          <w:szCs w:val="24"/>
        </w:rPr>
        <w:t xml:space="preserve">flexibility </w:t>
      </w:r>
    </w:p>
    <w:p w14:paraId="51E01054" w14:textId="64CE4C5C" w:rsidR="0073221C" w:rsidRDefault="000172D5" w:rsidP="0002737A">
      <w:pPr>
        <w:spacing w:after="120" w:line="240" w:lineRule="auto"/>
        <w:rPr>
          <w:rFonts w:ascii="Calibri" w:eastAsia="Calibri" w:hAnsi="Calibri" w:cs="Calibri"/>
          <w:sz w:val="24"/>
          <w:szCs w:val="24"/>
        </w:rPr>
      </w:pPr>
      <w:r w:rsidRPr="0002737A">
        <w:rPr>
          <w:rFonts w:ascii="Calibri" w:eastAsia="Calibri" w:hAnsi="Calibri" w:cs="Calibri"/>
          <w:sz w:val="24"/>
          <w:szCs w:val="24"/>
        </w:rPr>
        <w:t xml:space="preserve">Transitional arrangements </w:t>
      </w:r>
      <w:r w:rsidR="00F33680">
        <w:rPr>
          <w:rFonts w:ascii="Calibri" w:eastAsia="Calibri" w:hAnsi="Calibri" w:cs="Calibri"/>
          <w:sz w:val="24"/>
          <w:szCs w:val="24"/>
        </w:rPr>
        <w:t xml:space="preserve">that allow application </w:t>
      </w:r>
      <w:r w:rsidR="00F33680" w:rsidRPr="0002737A">
        <w:rPr>
          <w:rFonts w:ascii="Calibri" w:eastAsia="Calibri" w:hAnsi="Calibri" w:cs="Calibri"/>
          <w:sz w:val="24"/>
          <w:szCs w:val="24"/>
        </w:rPr>
        <w:t xml:space="preserve">to </w:t>
      </w:r>
      <w:r w:rsidR="00F33680">
        <w:rPr>
          <w:rFonts w:ascii="Calibri" w:eastAsia="Calibri" w:hAnsi="Calibri" w:cs="Calibri"/>
          <w:sz w:val="24"/>
          <w:szCs w:val="24"/>
        </w:rPr>
        <w:t xml:space="preserve">new telehealth services and </w:t>
      </w:r>
      <w:r w:rsidR="00F33680" w:rsidRPr="0002737A">
        <w:rPr>
          <w:rFonts w:ascii="Calibri" w:eastAsia="Calibri" w:hAnsi="Calibri" w:cs="Calibri"/>
          <w:sz w:val="24"/>
          <w:szCs w:val="24"/>
        </w:rPr>
        <w:t>align</w:t>
      </w:r>
      <w:r w:rsidR="00F33680">
        <w:rPr>
          <w:rFonts w:ascii="Calibri" w:eastAsia="Calibri" w:hAnsi="Calibri" w:cs="Calibri"/>
          <w:sz w:val="24"/>
          <w:szCs w:val="24"/>
        </w:rPr>
        <w:t>ment over time</w:t>
      </w:r>
      <w:r w:rsidR="00F33680" w:rsidRPr="0002737A">
        <w:rPr>
          <w:rFonts w:ascii="Calibri" w:eastAsia="Calibri" w:hAnsi="Calibri" w:cs="Calibri"/>
          <w:sz w:val="24"/>
          <w:szCs w:val="24"/>
        </w:rPr>
        <w:t xml:space="preserve"> </w:t>
      </w:r>
      <w:r w:rsidRPr="0002737A">
        <w:rPr>
          <w:rFonts w:ascii="Calibri" w:eastAsia="Calibri" w:hAnsi="Calibri" w:cs="Calibri"/>
          <w:sz w:val="24"/>
          <w:szCs w:val="24"/>
        </w:rPr>
        <w:t xml:space="preserve">for </w:t>
      </w:r>
      <w:r w:rsidR="00F33680" w:rsidRPr="0002737A">
        <w:rPr>
          <w:rFonts w:ascii="Calibri" w:eastAsia="Calibri" w:hAnsi="Calibri" w:cs="Calibri"/>
          <w:sz w:val="24"/>
          <w:szCs w:val="24"/>
        </w:rPr>
        <w:t>existing</w:t>
      </w:r>
      <w:r w:rsidRPr="0002737A">
        <w:rPr>
          <w:rFonts w:ascii="Calibri" w:eastAsia="Calibri" w:hAnsi="Calibri" w:cs="Calibri"/>
          <w:sz w:val="24"/>
          <w:szCs w:val="24"/>
        </w:rPr>
        <w:t xml:space="preserve"> items </w:t>
      </w:r>
      <w:proofErr w:type="gramStart"/>
      <w:r w:rsidR="00F33680" w:rsidRPr="0002737A">
        <w:rPr>
          <w:rFonts w:ascii="Calibri" w:eastAsia="Calibri" w:hAnsi="Calibri" w:cs="Calibri"/>
          <w:sz w:val="24"/>
          <w:szCs w:val="24"/>
        </w:rPr>
        <w:t>as a means to</w:t>
      </w:r>
      <w:proofErr w:type="gramEnd"/>
      <w:r w:rsidR="00F33680" w:rsidRPr="0002737A">
        <w:rPr>
          <w:rFonts w:ascii="Calibri" w:eastAsia="Calibri" w:hAnsi="Calibri" w:cs="Calibri"/>
          <w:sz w:val="24"/>
          <w:szCs w:val="24"/>
        </w:rPr>
        <w:t xml:space="preserve"> avoid</w:t>
      </w:r>
      <w:r w:rsidR="00F33680" w:rsidRPr="00A24416">
        <w:rPr>
          <w:rFonts w:ascii="Calibri" w:eastAsia="Calibri" w:hAnsi="Calibri" w:cs="Calibri"/>
          <w:sz w:val="24"/>
          <w:szCs w:val="24"/>
        </w:rPr>
        <w:t xml:space="preserve"> un</w:t>
      </w:r>
      <w:r w:rsidR="00F33680" w:rsidRPr="0002737A">
        <w:rPr>
          <w:rFonts w:ascii="Calibri" w:eastAsia="Calibri" w:hAnsi="Calibri" w:cs="Calibri"/>
          <w:sz w:val="24"/>
          <w:szCs w:val="24"/>
        </w:rPr>
        <w:t>intended consequences, sudden retreat from service provision and to allow the system time to adjust.</w:t>
      </w:r>
    </w:p>
    <w:p w14:paraId="4C6048FF" w14:textId="77777777" w:rsidR="00132469" w:rsidRDefault="00132469" w:rsidP="00132469">
      <w:pPr>
        <w:rPr>
          <w:rFonts w:ascii="Calibri" w:eastAsia="Calibri" w:hAnsi="Calibri" w:cs="Calibri"/>
          <w:b/>
          <w:sz w:val="24"/>
          <w:szCs w:val="24"/>
        </w:rPr>
      </w:pPr>
      <w:r w:rsidRPr="001B6D29">
        <w:rPr>
          <w:rFonts w:ascii="Calibri" w:eastAsia="Calibri" w:hAnsi="Calibri" w:cs="Calibri"/>
          <w:b/>
          <w:sz w:val="24"/>
          <w:szCs w:val="24"/>
        </w:rPr>
        <w:t>Rationale</w:t>
      </w:r>
      <w:r>
        <w:rPr>
          <w:rFonts w:ascii="Calibri" w:eastAsia="Calibri" w:hAnsi="Calibri" w:cs="Calibri"/>
          <w:b/>
          <w:sz w:val="24"/>
          <w:szCs w:val="24"/>
        </w:rPr>
        <w:t>:</w:t>
      </w:r>
    </w:p>
    <w:p w14:paraId="3339030E" w14:textId="684E7363" w:rsidR="00DD70E5" w:rsidRDefault="00132469" w:rsidP="0002737A">
      <w:pPr>
        <w:spacing w:after="120" w:line="240" w:lineRule="auto"/>
        <w:rPr>
          <w:rFonts w:ascii="Calibri" w:eastAsia="Calibri" w:hAnsi="Calibri" w:cs="Calibri"/>
          <w:sz w:val="24"/>
          <w:szCs w:val="24"/>
        </w:rPr>
      </w:pPr>
      <w:r w:rsidRPr="001B6D29">
        <w:rPr>
          <w:rFonts w:ascii="Calibri" w:eastAsia="Calibri" w:hAnsi="Calibri" w:cs="Calibri"/>
          <w:sz w:val="24"/>
          <w:szCs w:val="24"/>
        </w:rPr>
        <w:t xml:space="preserve">The </w:t>
      </w:r>
      <w:r w:rsidR="00B8745A">
        <w:rPr>
          <w:rFonts w:ascii="Calibri" w:eastAsia="Calibri" w:hAnsi="Calibri" w:cs="Calibri"/>
          <w:sz w:val="24"/>
          <w:szCs w:val="24"/>
        </w:rPr>
        <w:t>Taskforce</w:t>
      </w:r>
      <w:r w:rsidR="00381CBB">
        <w:rPr>
          <w:rFonts w:ascii="Calibri" w:eastAsia="Calibri" w:hAnsi="Calibri" w:cs="Calibri"/>
          <w:sz w:val="24"/>
          <w:szCs w:val="24"/>
        </w:rPr>
        <w:t>,</w:t>
      </w:r>
      <w:r w:rsidR="00B8745A">
        <w:rPr>
          <w:rFonts w:ascii="Calibri" w:eastAsia="Calibri" w:hAnsi="Calibri" w:cs="Calibri"/>
          <w:sz w:val="24"/>
          <w:szCs w:val="24"/>
        </w:rPr>
        <w:t xml:space="preserve"> through </w:t>
      </w:r>
      <w:r w:rsidR="00381CBB">
        <w:rPr>
          <w:rFonts w:ascii="Calibri" w:eastAsia="Calibri" w:hAnsi="Calibri" w:cs="Calibri"/>
          <w:sz w:val="24"/>
          <w:szCs w:val="24"/>
        </w:rPr>
        <w:t xml:space="preserve">the </w:t>
      </w:r>
      <w:r w:rsidR="00381CBB" w:rsidRPr="00381CBB">
        <w:rPr>
          <w:rFonts w:ascii="Calibri" w:eastAsia="Calibri" w:hAnsi="Calibri" w:cs="Calibri"/>
          <w:sz w:val="24"/>
          <w:szCs w:val="24"/>
        </w:rPr>
        <w:t xml:space="preserve">cross-cutting nature of MBS telehealth and </w:t>
      </w:r>
      <w:r w:rsidR="00003AE5">
        <w:rPr>
          <w:rFonts w:ascii="Calibri" w:eastAsia="Calibri" w:hAnsi="Calibri" w:cs="Calibri"/>
          <w:sz w:val="24"/>
          <w:szCs w:val="24"/>
        </w:rPr>
        <w:t>the Clinical Committees</w:t>
      </w:r>
      <w:r w:rsidR="00381CBB" w:rsidRPr="00381CBB">
        <w:rPr>
          <w:rFonts w:ascii="Calibri" w:eastAsia="Calibri" w:hAnsi="Calibri" w:cs="Calibri"/>
          <w:sz w:val="24"/>
          <w:szCs w:val="24"/>
        </w:rPr>
        <w:t xml:space="preserve"> </w:t>
      </w:r>
      <w:r w:rsidR="00DD1ECA">
        <w:rPr>
          <w:rFonts w:ascii="Calibri" w:eastAsia="Calibri" w:hAnsi="Calibri" w:cs="Calibri"/>
          <w:sz w:val="24"/>
          <w:szCs w:val="24"/>
        </w:rPr>
        <w:t xml:space="preserve">referred </w:t>
      </w:r>
      <w:r w:rsidR="00381CBB" w:rsidRPr="00381CBB">
        <w:rPr>
          <w:rFonts w:ascii="Calibri" w:eastAsia="Calibri" w:hAnsi="Calibri" w:cs="Calibri"/>
          <w:sz w:val="24"/>
          <w:szCs w:val="24"/>
        </w:rPr>
        <w:t>recommendations</w:t>
      </w:r>
      <w:r w:rsidR="00381CBB">
        <w:rPr>
          <w:rFonts w:ascii="Calibri" w:eastAsia="Calibri" w:hAnsi="Calibri" w:cs="Calibri"/>
          <w:sz w:val="24"/>
          <w:szCs w:val="24"/>
        </w:rPr>
        <w:t>,</w:t>
      </w:r>
      <w:r w:rsidR="00B8745A">
        <w:rPr>
          <w:rFonts w:ascii="Calibri" w:eastAsia="Calibri" w:hAnsi="Calibri" w:cs="Calibri"/>
          <w:sz w:val="24"/>
          <w:szCs w:val="24"/>
        </w:rPr>
        <w:t xml:space="preserve"> identified a </w:t>
      </w:r>
      <w:r w:rsidR="00D94139">
        <w:rPr>
          <w:rFonts w:ascii="Calibri" w:eastAsia="Calibri" w:hAnsi="Calibri" w:cs="Calibri"/>
          <w:sz w:val="24"/>
          <w:szCs w:val="24"/>
        </w:rPr>
        <w:t xml:space="preserve">need </w:t>
      </w:r>
      <w:r w:rsidR="00381CBB">
        <w:rPr>
          <w:rFonts w:ascii="Calibri" w:eastAsia="Calibri" w:hAnsi="Calibri" w:cs="Calibri"/>
          <w:sz w:val="24"/>
          <w:szCs w:val="24"/>
        </w:rPr>
        <w:t xml:space="preserve">to </w:t>
      </w:r>
      <w:r w:rsidR="00003AE5">
        <w:rPr>
          <w:rFonts w:ascii="Calibri" w:eastAsia="Calibri" w:hAnsi="Calibri" w:cs="Calibri"/>
          <w:sz w:val="24"/>
          <w:szCs w:val="24"/>
        </w:rPr>
        <w:t>make recommendations for</w:t>
      </w:r>
      <w:r w:rsidR="00381CBB">
        <w:rPr>
          <w:rFonts w:ascii="Calibri" w:eastAsia="Calibri" w:hAnsi="Calibri" w:cs="Calibri"/>
          <w:sz w:val="24"/>
          <w:szCs w:val="24"/>
        </w:rPr>
        <w:t xml:space="preserve"> MBS Telehealth.</w:t>
      </w:r>
      <w:r w:rsidR="00DD70E5">
        <w:rPr>
          <w:rFonts w:ascii="Calibri" w:eastAsia="Calibri" w:hAnsi="Calibri" w:cs="Calibri"/>
          <w:sz w:val="24"/>
          <w:szCs w:val="24"/>
        </w:rPr>
        <w:t xml:space="preserve"> Forming the </w:t>
      </w:r>
      <w:r w:rsidR="00003AE5">
        <w:rPr>
          <w:rFonts w:ascii="Calibri" w:eastAsia="Calibri" w:hAnsi="Calibri" w:cs="Calibri"/>
          <w:sz w:val="24"/>
          <w:szCs w:val="24"/>
        </w:rPr>
        <w:t>W</w:t>
      </w:r>
      <w:r w:rsidR="00DD70E5">
        <w:rPr>
          <w:rFonts w:ascii="Calibri" w:eastAsia="Calibri" w:hAnsi="Calibri" w:cs="Calibri"/>
          <w:sz w:val="24"/>
          <w:szCs w:val="24"/>
        </w:rPr>
        <w:t xml:space="preserve">orking </w:t>
      </w:r>
      <w:r w:rsidR="00003AE5">
        <w:rPr>
          <w:rFonts w:ascii="Calibri" w:eastAsia="Calibri" w:hAnsi="Calibri" w:cs="Calibri"/>
          <w:sz w:val="24"/>
          <w:szCs w:val="24"/>
        </w:rPr>
        <w:t>G</w:t>
      </w:r>
      <w:r w:rsidR="00DD70E5">
        <w:rPr>
          <w:rFonts w:ascii="Calibri" w:eastAsia="Calibri" w:hAnsi="Calibri" w:cs="Calibri"/>
          <w:sz w:val="24"/>
          <w:szCs w:val="24"/>
        </w:rPr>
        <w:t>roup</w:t>
      </w:r>
      <w:r w:rsidR="00381CBB">
        <w:rPr>
          <w:rFonts w:ascii="Calibri" w:eastAsia="Calibri" w:hAnsi="Calibri" w:cs="Calibri"/>
          <w:sz w:val="24"/>
          <w:szCs w:val="24"/>
        </w:rPr>
        <w:t xml:space="preserve"> to provide </w:t>
      </w:r>
      <w:r w:rsidR="00003AE5">
        <w:rPr>
          <w:rFonts w:ascii="Calibri" w:eastAsia="Calibri" w:hAnsi="Calibri" w:cs="Calibri"/>
          <w:sz w:val="24"/>
          <w:szCs w:val="24"/>
        </w:rPr>
        <w:t xml:space="preserve">recommendations and principles to ensure </w:t>
      </w:r>
      <w:r w:rsidR="00D94139">
        <w:rPr>
          <w:rFonts w:ascii="Calibri" w:eastAsia="Calibri" w:hAnsi="Calibri" w:cs="Calibri"/>
          <w:sz w:val="24"/>
          <w:szCs w:val="24"/>
        </w:rPr>
        <w:t>consistency</w:t>
      </w:r>
      <w:r w:rsidR="00003AE5">
        <w:rPr>
          <w:rFonts w:ascii="Calibri" w:eastAsia="Calibri" w:hAnsi="Calibri" w:cs="Calibri"/>
          <w:sz w:val="24"/>
          <w:szCs w:val="24"/>
        </w:rPr>
        <w:t xml:space="preserve"> </w:t>
      </w:r>
      <w:r w:rsidR="00DD70E5">
        <w:rPr>
          <w:rFonts w:ascii="Calibri" w:eastAsia="Calibri" w:hAnsi="Calibri" w:cs="Calibri"/>
          <w:sz w:val="24"/>
          <w:szCs w:val="24"/>
        </w:rPr>
        <w:t xml:space="preserve">and </w:t>
      </w:r>
      <w:r w:rsidR="00DD1ECA">
        <w:rPr>
          <w:rFonts w:ascii="Calibri" w:eastAsia="Calibri" w:hAnsi="Calibri" w:cs="Calibri"/>
          <w:sz w:val="24"/>
          <w:szCs w:val="24"/>
        </w:rPr>
        <w:t xml:space="preserve">to </w:t>
      </w:r>
      <w:r w:rsidR="00DD70E5">
        <w:rPr>
          <w:rFonts w:ascii="Calibri" w:eastAsia="Calibri" w:hAnsi="Calibri" w:cs="Calibri"/>
          <w:sz w:val="24"/>
          <w:szCs w:val="24"/>
        </w:rPr>
        <w:t>assess telehealth on the MBS</w:t>
      </w:r>
      <w:r w:rsidR="00DD1ECA">
        <w:rPr>
          <w:rFonts w:ascii="Calibri" w:eastAsia="Calibri" w:hAnsi="Calibri" w:cs="Calibri"/>
          <w:sz w:val="24"/>
          <w:szCs w:val="24"/>
        </w:rPr>
        <w:t xml:space="preserve"> and more broadly</w:t>
      </w:r>
      <w:r w:rsidR="00DD70E5">
        <w:rPr>
          <w:rFonts w:ascii="Calibri" w:eastAsia="Calibri" w:hAnsi="Calibri" w:cs="Calibri"/>
          <w:sz w:val="24"/>
          <w:szCs w:val="24"/>
        </w:rPr>
        <w:t xml:space="preserve">. </w:t>
      </w:r>
      <w:r w:rsidR="00003AE5">
        <w:rPr>
          <w:rFonts w:ascii="Calibri" w:eastAsia="Calibri" w:hAnsi="Calibri" w:cs="Calibri"/>
          <w:sz w:val="24"/>
          <w:szCs w:val="24"/>
        </w:rPr>
        <w:t xml:space="preserve">This work has identified a need to </w:t>
      </w:r>
      <w:proofErr w:type="spellStart"/>
      <w:r w:rsidR="00003AE5">
        <w:rPr>
          <w:rFonts w:ascii="Calibri" w:eastAsia="Calibri" w:hAnsi="Calibri" w:cs="Calibri"/>
          <w:sz w:val="24"/>
          <w:szCs w:val="24"/>
        </w:rPr>
        <w:t>modernise</w:t>
      </w:r>
      <w:proofErr w:type="spellEnd"/>
      <w:r w:rsidR="00003AE5">
        <w:rPr>
          <w:rFonts w:ascii="Calibri" w:eastAsia="Calibri" w:hAnsi="Calibri" w:cs="Calibri"/>
          <w:sz w:val="24"/>
          <w:szCs w:val="24"/>
        </w:rPr>
        <w:t xml:space="preserve"> MBS Telehealth in a way </w:t>
      </w:r>
      <w:r w:rsidR="00681BB0">
        <w:rPr>
          <w:rFonts w:ascii="Calibri" w:eastAsia="Calibri" w:hAnsi="Calibri" w:cs="Calibri"/>
          <w:sz w:val="24"/>
          <w:szCs w:val="24"/>
        </w:rPr>
        <w:t>that gives clear guidance and is adaptable to changes in service, health technology, patient need and clinical efficacy. This can be achieved with the development of consistent policy and guidelines.</w:t>
      </w:r>
    </w:p>
    <w:p w14:paraId="58C90F97" w14:textId="3BC73E35" w:rsidR="00132469" w:rsidRDefault="00DD70E5" w:rsidP="0002737A">
      <w:pPr>
        <w:spacing w:after="120" w:line="240" w:lineRule="auto"/>
        <w:rPr>
          <w:rFonts w:ascii="Calibri" w:eastAsia="Calibri" w:hAnsi="Calibri" w:cs="Calibri"/>
          <w:sz w:val="24"/>
          <w:szCs w:val="24"/>
        </w:rPr>
      </w:pPr>
      <w:r>
        <w:rPr>
          <w:rFonts w:ascii="Calibri" w:eastAsia="Calibri" w:hAnsi="Calibri" w:cs="Calibri"/>
          <w:sz w:val="24"/>
          <w:szCs w:val="24"/>
        </w:rPr>
        <w:t>M</w:t>
      </w:r>
      <w:r w:rsidR="007A4E2F" w:rsidRPr="007A4E2F">
        <w:rPr>
          <w:rFonts w:ascii="Calibri" w:eastAsia="Calibri" w:hAnsi="Calibri" w:cs="Calibri"/>
          <w:sz w:val="24"/>
          <w:szCs w:val="24"/>
        </w:rPr>
        <w:t>edical best practice</w:t>
      </w:r>
      <w:r w:rsidR="007A4E2F">
        <w:rPr>
          <w:rFonts w:ascii="Calibri" w:eastAsia="Calibri" w:hAnsi="Calibri" w:cs="Calibri"/>
          <w:sz w:val="24"/>
          <w:szCs w:val="24"/>
        </w:rPr>
        <w:t xml:space="preserve"> and advances in </w:t>
      </w:r>
      <w:r w:rsidR="00681BB0">
        <w:rPr>
          <w:rFonts w:ascii="Calibri" w:eastAsia="Calibri" w:hAnsi="Calibri" w:cs="Calibri"/>
          <w:sz w:val="24"/>
          <w:szCs w:val="24"/>
        </w:rPr>
        <w:t xml:space="preserve">health </w:t>
      </w:r>
      <w:r w:rsidR="007A4E2F">
        <w:rPr>
          <w:rFonts w:ascii="Calibri" w:eastAsia="Calibri" w:hAnsi="Calibri" w:cs="Calibri"/>
          <w:sz w:val="24"/>
          <w:szCs w:val="24"/>
        </w:rPr>
        <w:t xml:space="preserve">technology </w:t>
      </w:r>
      <w:r>
        <w:rPr>
          <w:rFonts w:ascii="Calibri" w:eastAsia="Calibri" w:hAnsi="Calibri" w:cs="Calibri"/>
          <w:sz w:val="24"/>
          <w:szCs w:val="24"/>
        </w:rPr>
        <w:t>rapidly change</w:t>
      </w:r>
      <w:r w:rsidR="00D94139">
        <w:rPr>
          <w:rFonts w:ascii="Calibri" w:eastAsia="Calibri" w:hAnsi="Calibri" w:cs="Calibri"/>
          <w:sz w:val="24"/>
          <w:szCs w:val="24"/>
        </w:rPr>
        <w:t xml:space="preserve">. </w:t>
      </w:r>
      <w:r w:rsidR="00DD1ECA" w:rsidRPr="009E40F4">
        <w:rPr>
          <w:rFonts w:asciiTheme="majorHAnsi" w:eastAsia="Calibri" w:hAnsiTheme="majorHAnsi" w:cs="Calibri"/>
          <w:sz w:val="24"/>
          <w:szCs w:val="24"/>
        </w:rPr>
        <w:t xml:space="preserve">MBS Telehealth </w:t>
      </w:r>
      <w:r w:rsidR="00DD1ECA">
        <w:rPr>
          <w:rFonts w:asciiTheme="majorHAnsi" w:eastAsia="Calibri" w:hAnsiTheme="majorHAnsi" w:cs="Calibri"/>
          <w:sz w:val="24"/>
          <w:szCs w:val="24"/>
        </w:rPr>
        <w:t xml:space="preserve">items have </w:t>
      </w:r>
      <w:r w:rsidR="00DD1ECA" w:rsidRPr="009E40F4">
        <w:rPr>
          <w:rFonts w:asciiTheme="majorHAnsi" w:eastAsia="Calibri" w:hAnsiTheme="majorHAnsi" w:cs="Calibri"/>
          <w:sz w:val="24"/>
          <w:szCs w:val="24"/>
        </w:rPr>
        <w:t>traditionally been designed to provide rural, remote and regional communit</w:t>
      </w:r>
      <w:r w:rsidR="00DD1ECA">
        <w:rPr>
          <w:rFonts w:asciiTheme="majorHAnsi" w:eastAsia="Calibri" w:hAnsiTheme="majorHAnsi" w:cs="Calibri"/>
          <w:sz w:val="24"/>
          <w:szCs w:val="24"/>
        </w:rPr>
        <w:t xml:space="preserve">ies with access </w:t>
      </w:r>
      <w:r w:rsidR="00DD1ECA">
        <w:rPr>
          <w:rFonts w:asciiTheme="majorHAnsi" w:eastAsia="Calibri" w:hAnsiTheme="majorHAnsi" w:cs="Calibri"/>
          <w:sz w:val="24"/>
          <w:szCs w:val="24"/>
        </w:rPr>
        <w:lastRenderedPageBreak/>
        <w:t>to health care</w:t>
      </w:r>
      <w:r w:rsidR="00681BB0">
        <w:rPr>
          <w:rFonts w:asciiTheme="majorHAnsi" w:eastAsia="Calibri" w:hAnsiTheme="majorHAnsi" w:cs="Calibri"/>
          <w:sz w:val="24"/>
          <w:szCs w:val="24"/>
        </w:rPr>
        <w:t xml:space="preserve"> and have not always considered efficacy or patient need</w:t>
      </w:r>
      <w:r w:rsidR="00E174B5">
        <w:rPr>
          <w:rFonts w:asciiTheme="majorHAnsi" w:eastAsia="Calibri" w:hAnsiTheme="majorHAnsi" w:cs="Calibri"/>
          <w:sz w:val="24"/>
          <w:szCs w:val="24"/>
        </w:rPr>
        <w:t xml:space="preserve"> or patient convenience</w:t>
      </w:r>
      <w:r w:rsidR="00DD1ECA">
        <w:rPr>
          <w:rFonts w:asciiTheme="majorHAnsi" w:eastAsia="Calibri" w:hAnsiTheme="majorHAnsi" w:cs="Calibri"/>
          <w:sz w:val="24"/>
          <w:szCs w:val="24"/>
        </w:rPr>
        <w:t>. T</w:t>
      </w:r>
      <w:r w:rsidR="00132469" w:rsidRPr="001B6D29">
        <w:rPr>
          <w:rFonts w:ascii="Calibri" w:eastAsia="Calibri" w:hAnsi="Calibri" w:cs="Calibri"/>
          <w:sz w:val="24"/>
          <w:szCs w:val="24"/>
        </w:rPr>
        <w:t>h</w:t>
      </w:r>
      <w:r w:rsidR="00681BB0">
        <w:rPr>
          <w:rFonts w:ascii="Calibri" w:eastAsia="Calibri" w:hAnsi="Calibri" w:cs="Calibri"/>
          <w:sz w:val="24"/>
          <w:szCs w:val="24"/>
        </w:rPr>
        <w:t>is</w:t>
      </w:r>
      <w:r w:rsidR="00622B09">
        <w:rPr>
          <w:rFonts w:ascii="Calibri" w:eastAsia="Calibri" w:hAnsi="Calibri" w:cs="Calibri"/>
          <w:sz w:val="24"/>
          <w:szCs w:val="24"/>
        </w:rPr>
        <w:t>,</w:t>
      </w:r>
      <w:r w:rsidR="00681BB0">
        <w:rPr>
          <w:rFonts w:ascii="Calibri" w:eastAsia="Calibri" w:hAnsi="Calibri" w:cs="Calibri"/>
          <w:sz w:val="24"/>
          <w:szCs w:val="24"/>
        </w:rPr>
        <w:t xml:space="preserve"> </w:t>
      </w:r>
      <w:r w:rsidR="00622B09">
        <w:rPr>
          <w:rFonts w:ascii="Calibri" w:eastAsia="Calibri" w:hAnsi="Calibri" w:cs="Calibri"/>
          <w:sz w:val="24"/>
          <w:szCs w:val="24"/>
        </w:rPr>
        <w:t xml:space="preserve">along </w:t>
      </w:r>
      <w:r w:rsidR="00681BB0">
        <w:rPr>
          <w:rFonts w:ascii="Calibri" w:eastAsia="Calibri" w:hAnsi="Calibri" w:cs="Calibri"/>
          <w:sz w:val="24"/>
          <w:szCs w:val="24"/>
        </w:rPr>
        <w:t>with the</w:t>
      </w:r>
      <w:r w:rsidR="00132469" w:rsidRPr="001B6D29">
        <w:rPr>
          <w:rFonts w:ascii="Calibri" w:eastAsia="Calibri" w:hAnsi="Calibri" w:cs="Calibri"/>
          <w:sz w:val="24"/>
          <w:szCs w:val="24"/>
        </w:rPr>
        <w:t xml:space="preserve"> </w:t>
      </w:r>
      <w:r w:rsidR="00622B09">
        <w:rPr>
          <w:rFonts w:ascii="Calibri" w:eastAsia="Calibri" w:hAnsi="Calibri" w:cs="Calibri"/>
          <w:sz w:val="24"/>
          <w:szCs w:val="24"/>
        </w:rPr>
        <w:t>COVID-19 response</w:t>
      </w:r>
      <w:r w:rsidR="00A24416">
        <w:rPr>
          <w:rFonts w:ascii="Calibri" w:eastAsia="Calibri" w:hAnsi="Calibri" w:cs="Calibri"/>
          <w:sz w:val="24"/>
          <w:szCs w:val="24"/>
        </w:rPr>
        <w:t>s</w:t>
      </w:r>
      <w:r w:rsidR="00622B09">
        <w:rPr>
          <w:rFonts w:ascii="Calibri" w:eastAsia="Calibri" w:hAnsi="Calibri" w:cs="Calibri"/>
          <w:sz w:val="24"/>
          <w:szCs w:val="24"/>
        </w:rPr>
        <w:t xml:space="preserve">, </w:t>
      </w:r>
      <w:r w:rsidR="00132469" w:rsidRPr="001B6D29">
        <w:rPr>
          <w:rFonts w:ascii="Calibri" w:eastAsia="Calibri" w:hAnsi="Calibri" w:cs="Calibri"/>
          <w:sz w:val="24"/>
          <w:szCs w:val="24"/>
        </w:rPr>
        <w:t>expansion of telehealth</w:t>
      </w:r>
      <w:r w:rsidR="00D94139">
        <w:rPr>
          <w:rFonts w:ascii="Calibri" w:eastAsia="Calibri" w:hAnsi="Calibri" w:cs="Calibri"/>
          <w:sz w:val="24"/>
          <w:szCs w:val="24"/>
        </w:rPr>
        <w:t xml:space="preserve"> </w:t>
      </w:r>
      <w:r w:rsidR="00DD1ECA">
        <w:rPr>
          <w:rFonts w:ascii="Calibri" w:eastAsia="Calibri" w:hAnsi="Calibri" w:cs="Calibri"/>
          <w:sz w:val="24"/>
          <w:szCs w:val="24"/>
        </w:rPr>
        <w:t xml:space="preserve">and </w:t>
      </w:r>
      <w:r w:rsidR="00132469">
        <w:rPr>
          <w:rFonts w:ascii="Calibri" w:eastAsia="Calibri" w:hAnsi="Calibri" w:cs="Calibri"/>
          <w:sz w:val="24"/>
          <w:szCs w:val="24"/>
        </w:rPr>
        <w:t xml:space="preserve">the </w:t>
      </w:r>
      <w:r w:rsidR="00DD1ECA">
        <w:rPr>
          <w:rFonts w:ascii="Calibri" w:eastAsia="Calibri" w:hAnsi="Calibri" w:cs="Calibri"/>
          <w:sz w:val="24"/>
          <w:szCs w:val="24"/>
        </w:rPr>
        <w:t xml:space="preserve">referred </w:t>
      </w:r>
      <w:r w:rsidR="00132469">
        <w:rPr>
          <w:rFonts w:ascii="Calibri" w:eastAsia="Calibri" w:hAnsi="Calibri" w:cs="Calibri"/>
          <w:sz w:val="24"/>
          <w:szCs w:val="24"/>
        </w:rPr>
        <w:t xml:space="preserve">recommendations </w:t>
      </w:r>
      <w:r w:rsidR="00DD1ECA">
        <w:rPr>
          <w:rFonts w:ascii="Calibri" w:eastAsia="Calibri" w:hAnsi="Calibri" w:cs="Calibri"/>
          <w:sz w:val="24"/>
          <w:szCs w:val="24"/>
        </w:rPr>
        <w:t>point to the need for a</w:t>
      </w:r>
      <w:r w:rsidR="00132469">
        <w:rPr>
          <w:rFonts w:ascii="Calibri" w:eastAsia="Calibri" w:hAnsi="Calibri" w:cs="Calibri"/>
          <w:sz w:val="24"/>
          <w:szCs w:val="24"/>
        </w:rPr>
        <w:t xml:space="preserve"> more robust consideration of MBS </w:t>
      </w:r>
      <w:proofErr w:type="gramStart"/>
      <w:r w:rsidR="00132469">
        <w:rPr>
          <w:rFonts w:ascii="Calibri" w:eastAsia="Calibri" w:hAnsi="Calibri" w:cs="Calibri"/>
          <w:sz w:val="24"/>
          <w:szCs w:val="24"/>
        </w:rPr>
        <w:t>Telehealth</w:t>
      </w:r>
      <w:r w:rsidR="005228C4">
        <w:rPr>
          <w:rFonts w:ascii="Calibri" w:eastAsia="Calibri" w:hAnsi="Calibri" w:cs="Calibri"/>
          <w:sz w:val="24"/>
          <w:szCs w:val="24"/>
        </w:rPr>
        <w:t xml:space="preserve"> </w:t>
      </w:r>
      <w:r w:rsidR="00622B09">
        <w:rPr>
          <w:rFonts w:ascii="Calibri" w:eastAsia="Calibri" w:hAnsi="Calibri" w:cs="Calibri"/>
          <w:sz w:val="24"/>
          <w:szCs w:val="24"/>
        </w:rPr>
        <w:t xml:space="preserve"> </w:t>
      </w:r>
      <w:proofErr w:type="spellStart"/>
      <w:r w:rsidR="005228C4">
        <w:rPr>
          <w:rFonts w:ascii="Calibri" w:eastAsia="Calibri" w:hAnsi="Calibri" w:cs="Calibri"/>
          <w:sz w:val="24"/>
          <w:szCs w:val="24"/>
        </w:rPr>
        <w:t>e</w:t>
      </w:r>
      <w:r w:rsidR="00622B09">
        <w:rPr>
          <w:rFonts w:ascii="Calibri" w:eastAsia="Calibri" w:hAnsi="Calibri" w:cs="Calibri"/>
          <w:sz w:val="24"/>
          <w:szCs w:val="24"/>
        </w:rPr>
        <w:t>mphasising</w:t>
      </w:r>
      <w:proofErr w:type="spellEnd"/>
      <w:proofErr w:type="gramEnd"/>
      <w:r w:rsidR="00622B09">
        <w:rPr>
          <w:rFonts w:ascii="Calibri" w:eastAsia="Calibri" w:hAnsi="Calibri" w:cs="Calibri"/>
          <w:sz w:val="24"/>
          <w:szCs w:val="24"/>
        </w:rPr>
        <w:t xml:space="preserve"> </w:t>
      </w:r>
      <w:r w:rsidR="00681BB0">
        <w:rPr>
          <w:rFonts w:ascii="Calibri" w:eastAsia="Calibri" w:hAnsi="Calibri" w:cs="Calibri"/>
          <w:sz w:val="24"/>
          <w:szCs w:val="24"/>
        </w:rPr>
        <w:t>the impor</w:t>
      </w:r>
      <w:r w:rsidR="00622B09">
        <w:rPr>
          <w:rFonts w:ascii="Calibri" w:eastAsia="Calibri" w:hAnsi="Calibri" w:cs="Calibri"/>
          <w:sz w:val="24"/>
          <w:szCs w:val="24"/>
        </w:rPr>
        <w:t>tance of</w:t>
      </w:r>
      <w:r w:rsidR="00681BB0">
        <w:rPr>
          <w:rFonts w:ascii="Calibri" w:eastAsia="Calibri" w:hAnsi="Calibri" w:cs="Calibri"/>
          <w:sz w:val="24"/>
          <w:szCs w:val="24"/>
        </w:rPr>
        <w:t xml:space="preserve"> </w:t>
      </w:r>
      <w:r w:rsidR="00DD1ECA">
        <w:rPr>
          <w:rFonts w:ascii="Calibri" w:eastAsia="Calibri" w:hAnsi="Calibri" w:cs="Calibri"/>
          <w:sz w:val="24"/>
          <w:szCs w:val="24"/>
        </w:rPr>
        <w:t xml:space="preserve">policy and guidelines to inform flexible adaptation </w:t>
      </w:r>
      <w:r w:rsidR="00003AE5">
        <w:rPr>
          <w:rFonts w:ascii="Calibri" w:eastAsia="Calibri" w:hAnsi="Calibri" w:cs="Calibri"/>
          <w:sz w:val="24"/>
          <w:szCs w:val="24"/>
        </w:rPr>
        <w:t xml:space="preserve">of </w:t>
      </w:r>
      <w:r w:rsidR="00622B09">
        <w:rPr>
          <w:rFonts w:ascii="Calibri" w:eastAsia="Calibri" w:hAnsi="Calibri" w:cs="Calibri"/>
          <w:sz w:val="24"/>
          <w:szCs w:val="24"/>
        </w:rPr>
        <w:t>suitable</w:t>
      </w:r>
      <w:r w:rsidR="00003AE5">
        <w:rPr>
          <w:rFonts w:ascii="Calibri" w:eastAsia="Calibri" w:hAnsi="Calibri" w:cs="Calibri"/>
          <w:sz w:val="24"/>
          <w:szCs w:val="24"/>
        </w:rPr>
        <w:t xml:space="preserve"> </w:t>
      </w:r>
      <w:r w:rsidR="00622B09">
        <w:rPr>
          <w:rFonts w:ascii="Calibri" w:eastAsia="Calibri" w:hAnsi="Calibri" w:cs="Calibri"/>
          <w:sz w:val="24"/>
          <w:szCs w:val="24"/>
        </w:rPr>
        <w:t xml:space="preserve">and safe </w:t>
      </w:r>
      <w:r w:rsidR="00003AE5">
        <w:rPr>
          <w:rFonts w:ascii="Calibri" w:eastAsia="Calibri" w:hAnsi="Calibri" w:cs="Calibri"/>
          <w:sz w:val="24"/>
          <w:szCs w:val="24"/>
        </w:rPr>
        <w:t>service models for the MBS</w:t>
      </w:r>
      <w:r w:rsidR="00132469">
        <w:rPr>
          <w:rFonts w:ascii="Calibri" w:eastAsia="Calibri" w:hAnsi="Calibri" w:cs="Calibri"/>
          <w:sz w:val="24"/>
          <w:szCs w:val="24"/>
        </w:rPr>
        <w:t>.</w:t>
      </w:r>
    </w:p>
    <w:p w14:paraId="444C251D" w14:textId="763341F9" w:rsidR="005228C4" w:rsidRDefault="005228C4" w:rsidP="0002737A">
      <w:pPr>
        <w:spacing w:after="120" w:line="240" w:lineRule="auto"/>
        <w:rPr>
          <w:rFonts w:ascii="Calibri" w:eastAsia="Calibri" w:hAnsi="Calibri" w:cs="Calibri"/>
          <w:sz w:val="24"/>
          <w:szCs w:val="24"/>
        </w:rPr>
      </w:pPr>
      <w:r>
        <w:rPr>
          <w:rFonts w:ascii="Calibri" w:eastAsia="Calibri" w:hAnsi="Calibri" w:cs="Calibri"/>
          <w:sz w:val="24"/>
          <w:szCs w:val="24"/>
        </w:rPr>
        <w:t>Th</w:t>
      </w:r>
      <w:r w:rsidR="00BF5931">
        <w:rPr>
          <w:rFonts w:ascii="Calibri" w:eastAsia="Calibri" w:hAnsi="Calibri" w:cs="Calibri"/>
          <w:sz w:val="24"/>
          <w:szCs w:val="24"/>
        </w:rPr>
        <w:t xml:space="preserve">e </w:t>
      </w:r>
      <w:r w:rsidR="009F3758">
        <w:rPr>
          <w:rFonts w:ascii="Calibri" w:eastAsia="Calibri" w:hAnsi="Calibri" w:cs="Calibri"/>
          <w:sz w:val="24"/>
          <w:szCs w:val="24"/>
        </w:rPr>
        <w:t>Working Group h</w:t>
      </w:r>
      <w:r>
        <w:rPr>
          <w:rFonts w:ascii="Calibri" w:eastAsia="Calibri" w:hAnsi="Calibri" w:cs="Calibri"/>
          <w:sz w:val="24"/>
          <w:szCs w:val="24"/>
        </w:rPr>
        <w:t xml:space="preserve">as </w:t>
      </w:r>
      <w:r w:rsidR="009F3758">
        <w:rPr>
          <w:rFonts w:ascii="Calibri" w:eastAsia="Calibri" w:hAnsi="Calibri" w:cs="Calibri"/>
          <w:sz w:val="24"/>
          <w:szCs w:val="24"/>
        </w:rPr>
        <w:t xml:space="preserve">endorsed the </w:t>
      </w:r>
      <w:r>
        <w:rPr>
          <w:rFonts w:ascii="Calibri" w:eastAsia="Calibri" w:hAnsi="Calibri" w:cs="Calibri"/>
          <w:sz w:val="24"/>
          <w:szCs w:val="24"/>
        </w:rPr>
        <w:t xml:space="preserve">principles detailed below and </w:t>
      </w:r>
      <w:r w:rsidR="00BF5931">
        <w:rPr>
          <w:rFonts w:ascii="Calibri" w:eastAsia="Calibri" w:hAnsi="Calibri" w:cs="Calibri"/>
          <w:sz w:val="24"/>
          <w:szCs w:val="24"/>
        </w:rPr>
        <w:t>appl</w:t>
      </w:r>
      <w:r w:rsidR="009F3758">
        <w:rPr>
          <w:rFonts w:ascii="Calibri" w:eastAsia="Calibri" w:hAnsi="Calibri" w:cs="Calibri"/>
          <w:sz w:val="24"/>
          <w:szCs w:val="24"/>
        </w:rPr>
        <w:t>ied</w:t>
      </w:r>
      <w:r w:rsidR="00BF5931">
        <w:rPr>
          <w:rFonts w:ascii="Calibri" w:eastAsia="Calibri" w:hAnsi="Calibri" w:cs="Calibri"/>
          <w:sz w:val="24"/>
          <w:szCs w:val="24"/>
        </w:rPr>
        <w:t xml:space="preserve"> those principles in a consistent way to the recommendations detailed below that came from </w:t>
      </w:r>
      <w:proofErr w:type="gramStart"/>
      <w:r w:rsidR="00BF5931">
        <w:rPr>
          <w:rFonts w:ascii="Calibri" w:eastAsia="Calibri" w:hAnsi="Calibri" w:cs="Calibri"/>
          <w:sz w:val="24"/>
          <w:szCs w:val="24"/>
        </w:rPr>
        <w:t>a number of</w:t>
      </w:r>
      <w:proofErr w:type="gramEnd"/>
      <w:r w:rsidR="00BF5931">
        <w:rPr>
          <w:rFonts w:ascii="Calibri" w:eastAsia="Calibri" w:hAnsi="Calibri" w:cs="Calibri"/>
          <w:sz w:val="24"/>
          <w:szCs w:val="24"/>
        </w:rPr>
        <w:t xml:space="preserve"> different working groups</w:t>
      </w:r>
      <w:r w:rsidR="007D4C53">
        <w:rPr>
          <w:rFonts w:ascii="Calibri" w:eastAsia="Calibri" w:hAnsi="Calibri" w:cs="Calibri"/>
          <w:sz w:val="24"/>
          <w:szCs w:val="24"/>
        </w:rPr>
        <w:t xml:space="preserve"> and recommends them to the Taskforce.  In addition to the principles the working group has taken into consideration the recommendations made by the Taskforce in relation to the remained of the report of origin.</w:t>
      </w:r>
    </w:p>
    <w:p w14:paraId="4D435DB6" w14:textId="260ED4DE" w:rsidR="007A65C6" w:rsidRDefault="00132469" w:rsidP="00132469">
      <w:pPr>
        <w:pStyle w:val="Style2"/>
      </w:pPr>
      <w:bookmarkStart w:id="17" w:name="_Toc42764228"/>
      <w:r w:rsidRPr="00132469">
        <w:t>Referred Recommendations</w:t>
      </w:r>
      <w:r w:rsidR="00D94139">
        <w:t xml:space="preserve"> – Working Group response</w:t>
      </w:r>
      <w:bookmarkEnd w:id="17"/>
    </w:p>
    <w:p w14:paraId="64798E4D"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1:</w:t>
      </w:r>
      <w:r w:rsidRPr="00276AAC">
        <w:rPr>
          <w:rFonts w:asciiTheme="majorHAnsi" w:hAnsiTheme="majorHAnsi"/>
          <w:sz w:val="23"/>
          <w:lang w:val="en-AU"/>
        </w:rPr>
        <w:t xml:space="preserve"> Improve access to allied health services via telehealth (Allied Health Reference Group Recommendation 13)</w:t>
      </w:r>
    </w:p>
    <w:p w14:paraId="265510F7" w14:textId="77777777" w:rsidR="000152B3" w:rsidRPr="00276AAC" w:rsidRDefault="000152B3" w:rsidP="00482D43">
      <w:pPr>
        <w:numPr>
          <w:ilvl w:val="1"/>
          <w:numId w:val="66"/>
        </w:numPr>
        <w:tabs>
          <w:tab w:val="left" w:pos="1134"/>
        </w:tabs>
        <w:spacing w:after="60" w:line="240" w:lineRule="auto"/>
        <w:ind w:left="851" w:hanging="357"/>
        <w:rPr>
          <w:rFonts w:asciiTheme="majorHAnsi" w:hAnsiTheme="majorHAnsi"/>
          <w:sz w:val="23"/>
          <w:lang w:val="en-AU"/>
        </w:rPr>
      </w:pPr>
      <w:r w:rsidRPr="00276AAC">
        <w:rPr>
          <w:rFonts w:asciiTheme="majorHAnsi" w:hAnsiTheme="majorHAnsi"/>
          <w:i/>
          <w:sz w:val="23"/>
          <w:lang w:val="en-AU"/>
        </w:rPr>
        <w:t>Supported with qualification</w:t>
      </w:r>
    </w:p>
    <w:p w14:paraId="2878AA46"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2:</w:t>
      </w:r>
      <w:r w:rsidRPr="00276AAC">
        <w:rPr>
          <w:rFonts w:asciiTheme="majorHAnsi" w:hAnsiTheme="majorHAnsi"/>
          <w:sz w:val="23"/>
          <w:lang w:val="en-AU"/>
        </w:rPr>
        <w:t xml:space="preserve"> - Enable GP telehealth consultations and expand GP telehealth eligibility to patients with mobility concerns who cannot easily be seen face to face. (General Practice and Primary Care Clinical Committee Recommendation 11) </w:t>
      </w:r>
    </w:p>
    <w:p w14:paraId="38291167" w14:textId="77777777" w:rsidR="000152B3" w:rsidRPr="00276AAC" w:rsidRDefault="000152B3" w:rsidP="00482D43">
      <w:pPr>
        <w:numPr>
          <w:ilvl w:val="1"/>
          <w:numId w:val="66"/>
        </w:numPr>
        <w:tabs>
          <w:tab w:val="left" w:pos="1134"/>
        </w:tabs>
        <w:spacing w:after="60" w:line="240" w:lineRule="auto"/>
        <w:ind w:left="851" w:hanging="357"/>
        <w:rPr>
          <w:rFonts w:asciiTheme="majorHAnsi" w:hAnsiTheme="majorHAnsi"/>
          <w:sz w:val="23"/>
          <w:lang w:val="en-AU"/>
        </w:rPr>
      </w:pPr>
      <w:r w:rsidRPr="00276AAC">
        <w:rPr>
          <w:rFonts w:asciiTheme="majorHAnsi" w:hAnsiTheme="majorHAnsi"/>
          <w:i/>
          <w:sz w:val="23"/>
          <w:lang w:val="en-AU"/>
        </w:rPr>
        <w:t xml:space="preserve">Supported </w:t>
      </w:r>
    </w:p>
    <w:p w14:paraId="1A8D6B52"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sz w:val="23"/>
          <w:lang w:val="en-AU"/>
        </w:rPr>
        <w:t xml:space="preserve"> </w:t>
      </w:r>
      <w:r w:rsidRPr="00276AAC">
        <w:rPr>
          <w:rFonts w:asciiTheme="majorHAnsi" w:hAnsiTheme="majorHAnsi"/>
          <w:b/>
          <w:sz w:val="23"/>
          <w:lang w:val="en-AU"/>
        </w:rPr>
        <w:t>Recommendation 3</w:t>
      </w:r>
      <w:r w:rsidRPr="00276AAC">
        <w:rPr>
          <w:rFonts w:asciiTheme="majorHAnsi" w:hAnsiTheme="majorHAnsi"/>
          <w:sz w:val="23"/>
          <w:lang w:val="en-AU"/>
        </w:rPr>
        <w:t xml:space="preserve">: Increase access to telehealth services (Mental Health Reference Group Recommendation 14) </w:t>
      </w:r>
    </w:p>
    <w:p w14:paraId="3E5AE688" w14:textId="6B8A11E7" w:rsidR="000152B3" w:rsidRPr="00276AAC" w:rsidRDefault="000152B3" w:rsidP="00482D43">
      <w:pPr>
        <w:numPr>
          <w:ilvl w:val="1"/>
          <w:numId w:val="66"/>
        </w:numPr>
        <w:tabs>
          <w:tab w:val="left" w:pos="1134"/>
        </w:tabs>
        <w:spacing w:after="60" w:line="240" w:lineRule="auto"/>
        <w:ind w:left="851" w:hanging="357"/>
        <w:rPr>
          <w:rFonts w:asciiTheme="majorHAnsi" w:hAnsiTheme="majorHAnsi"/>
          <w:i/>
          <w:sz w:val="23"/>
          <w:lang w:val="en-AU"/>
        </w:rPr>
      </w:pPr>
      <w:r w:rsidRPr="00276AAC">
        <w:rPr>
          <w:rFonts w:asciiTheme="majorHAnsi" w:hAnsiTheme="majorHAnsi"/>
          <w:i/>
          <w:sz w:val="23"/>
          <w:lang w:val="en-AU"/>
        </w:rPr>
        <w:t>Supported with qualification</w:t>
      </w:r>
      <w:r w:rsidRPr="00276AAC">
        <w:rPr>
          <w:rFonts w:asciiTheme="majorHAnsi" w:hAnsiTheme="majorHAnsi"/>
          <w:b/>
          <w:i/>
          <w:sz w:val="23"/>
          <w:lang w:val="en-AU"/>
        </w:rPr>
        <w:t xml:space="preserve"> </w:t>
      </w:r>
    </w:p>
    <w:p w14:paraId="404ABCA8"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4:</w:t>
      </w:r>
      <w:r w:rsidRPr="00276AAC">
        <w:rPr>
          <w:rFonts w:asciiTheme="majorHAnsi" w:hAnsiTheme="majorHAnsi"/>
          <w:sz w:val="23"/>
          <w:lang w:val="en-AU"/>
        </w:rPr>
        <w:t xml:space="preserve"> Add GPs as eligible participants in Nurse Practitioners patient-side telehealth services (Nurse Practitioners Reference Group Recommendation 11)</w:t>
      </w:r>
    </w:p>
    <w:p w14:paraId="0E345D4A" w14:textId="77777777" w:rsidR="000152B3" w:rsidRPr="00276AAC" w:rsidRDefault="000152B3" w:rsidP="00482D43">
      <w:pPr>
        <w:numPr>
          <w:ilvl w:val="1"/>
          <w:numId w:val="66"/>
        </w:numPr>
        <w:tabs>
          <w:tab w:val="left" w:pos="1134"/>
        </w:tabs>
        <w:spacing w:after="60" w:line="240" w:lineRule="auto"/>
        <w:ind w:left="851" w:hanging="357"/>
        <w:rPr>
          <w:rFonts w:asciiTheme="majorHAnsi" w:hAnsiTheme="majorHAnsi"/>
          <w:i/>
          <w:sz w:val="23"/>
          <w:lang w:val="en-AU"/>
        </w:rPr>
      </w:pPr>
      <w:r w:rsidRPr="00276AAC">
        <w:rPr>
          <w:rFonts w:asciiTheme="majorHAnsi" w:hAnsiTheme="majorHAnsi"/>
          <w:i/>
          <w:sz w:val="23"/>
          <w:lang w:val="en-AU"/>
        </w:rPr>
        <w:t>Supported</w:t>
      </w:r>
    </w:p>
    <w:p w14:paraId="09EB94B6"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5:</w:t>
      </w:r>
      <w:r w:rsidRPr="00276AAC">
        <w:rPr>
          <w:rFonts w:asciiTheme="majorHAnsi" w:hAnsiTheme="majorHAnsi"/>
          <w:sz w:val="23"/>
          <w:lang w:val="en-AU"/>
        </w:rPr>
        <w:t xml:space="preserve"> Add patients in community aged care settings to residential aged care telehealth items (Nurse Practitioners Reference Group Recommendation 12)</w:t>
      </w:r>
    </w:p>
    <w:p w14:paraId="2DB4BFC4" w14:textId="77777777" w:rsidR="000152B3" w:rsidRPr="00276AAC" w:rsidRDefault="000152B3" w:rsidP="00482D43">
      <w:pPr>
        <w:numPr>
          <w:ilvl w:val="1"/>
          <w:numId w:val="66"/>
        </w:numPr>
        <w:tabs>
          <w:tab w:val="left" w:pos="1134"/>
        </w:tabs>
        <w:spacing w:after="60" w:line="240" w:lineRule="auto"/>
        <w:ind w:left="851" w:hanging="357"/>
        <w:rPr>
          <w:rFonts w:asciiTheme="majorHAnsi" w:hAnsiTheme="majorHAnsi"/>
          <w:i/>
          <w:sz w:val="23"/>
          <w:lang w:val="en-AU"/>
        </w:rPr>
      </w:pPr>
      <w:r w:rsidRPr="00276AAC">
        <w:rPr>
          <w:rFonts w:asciiTheme="majorHAnsi" w:hAnsiTheme="majorHAnsi"/>
          <w:i/>
          <w:sz w:val="23"/>
          <w:lang w:val="en-AU"/>
        </w:rPr>
        <w:t>Supported</w:t>
      </w:r>
      <w:r w:rsidRPr="00276AAC">
        <w:rPr>
          <w:rFonts w:asciiTheme="majorHAnsi" w:hAnsiTheme="majorHAnsi"/>
          <w:b/>
          <w:i/>
          <w:sz w:val="23"/>
          <w:lang w:val="en-AU"/>
        </w:rPr>
        <w:t xml:space="preserve"> </w:t>
      </w:r>
    </w:p>
    <w:p w14:paraId="0A2D9E25"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6:</w:t>
      </w:r>
      <w:r w:rsidRPr="00276AAC">
        <w:rPr>
          <w:rFonts w:asciiTheme="majorHAnsi" w:hAnsiTheme="majorHAnsi"/>
          <w:sz w:val="23"/>
          <w:lang w:val="en-AU"/>
        </w:rPr>
        <w:t xml:space="preserve"> New MBS items for direct NP-to-patient telehealth consultations (Nurse Practitioners Reference Group Recommendation 13) </w:t>
      </w:r>
    </w:p>
    <w:p w14:paraId="1318A00D" w14:textId="77777777" w:rsidR="000152B3" w:rsidRPr="00276AAC" w:rsidRDefault="000152B3" w:rsidP="00482D43">
      <w:pPr>
        <w:numPr>
          <w:ilvl w:val="1"/>
          <w:numId w:val="66"/>
        </w:numPr>
        <w:tabs>
          <w:tab w:val="left" w:pos="1134"/>
        </w:tabs>
        <w:spacing w:after="60" w:line="240" w:lineRule="auto"/>
        <w:ind w:left="851" w:hanging="357"/>
        <w:rPr>
          <w:rFonts w:asciiTheme="majorHAnsi" w:hAnsiTheme="majorHAnsi"/>
          <w:i/>
          <w:sz w:val="23"/>
          <w:lang w:val="en-AU"/>
        </w:rPr>
      </w:pPr>
      <w:r w:rsidRPr="00276AAC">
        <w:rPr>
          <w:rFonts w:asciiTheme="majorHAnsi" w:hAnsiTheme="majorHAnsi"/>
          <w:i/>
          <w:sz w:val="23"/>
          <w:lang w:val="en-AU"/>
        </w:rPr>
        <w:t>Not Supported with qualification</w:t>
      </w:r>
    </w:p>
    <w:p w14:paraId="32C0C573"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7:</w:t>
      </w:r>
      <w:r w:rsidRPr="00276AAC">
        <w:rPr>
          <w:rFonts w:asciiTheme="majorHAnsi" w:hAnsiTheme="majorHAnsi"/>
          <w:sz w:val="23"/>
          <w:lang w:val="en-AU"/>
        </w:rPr>
        <w:t xml:space="preserve"> Allow telehealth consultations to take place via telephone where clinically appropriate. (Nurse Practitioners Reference Group Recommendation 14)</w:t>
      </w:r>
    </w:p>
    <w:p w14:paraId="2863A57F" w14:textId="77777777" w:rsidR="000152B3" w:rsidRPr="00276AAC" w:rsidRDefault="000152B3" w:rsidP="00482D43">
      <w:pPr>
        <w:numPr>
          <w:ilvl w:val="1"/>
          <w:numId w:val="66"/>
        </w:numPr>
        <w:tabs>
          <w:tab w:val="left" w:pos="1134"/>
        </w:tabs>
        <w:spacing w:after="60" w:line="240" w:lineRule="auto"/>
        <w:ind w:left="851" w:hanging="357"/>
        <w:rPr>
          <w:rFonts w:asciiTheme="majorHAnsi" w:hAnsiTheme="majorHAnsi"/>
          <w:i/>
          <w:sz w:val="23"/>
          <w:lang w:val="en-AU"/>
        </w:rPr>
      </w:pPr>
      <w:r w:rsidRPr="00276AAC">
        <w:rPr>
          <w:rFonts w:asciiTheme="majorHAnsi" w:hAnsiTheme="majorHAnsi"/>
          <w:i/>
          <w:sz w:val="23"/>
          <w:lang w:val="en-AU"/>
        </w:rPr>
        <w:t>Supported with qualification</w:t>
      </w:r>
    </w:p>
    <w:p w14:paraId="11D0AF03"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8:</w:t>
      </w:r>
      <w:r w:rsidRPr="00276AAC">
        <w:rPr>
          <w:rFonts w:asciiTheme="majorHAnsi" w:hAnsiTheme="majorHAnsi"/>
          <w:sz w:val="23"/>
          <w:lang w:val="en-AU"/>
        </w:rPr>
        <w:t xml:space="preserve"> Include GPs as eligible specialists for existing telehealth items (Participating Midwives Reference Group Recommendation 11)</w:t>
      </w:r>
    </w:p>
    <w:p w14:paraId="0DD6D092" w14:textId="77777777" w:rsidR="000152B3" w:rsidRPr="00276AAC" w:rsidRDefault="000152B3" w:rsidP="00482D43">
      <w:pPr>
        <w:numPr>
          <w:ilvl w:val="1"/>
          <w:numId w:val="66"/>
        </w:numPr>
        <w:tabs>
          <w:tab w:val="left" w:pos="1134"/>
        </w:tabs>
        <w:spacing w:after="60" w:line="240" w:lineRule="auto"/>
        <w:ind w:left="851" w:hanging="357"/>
        <w:rPr>
          <w:rFonts w:asciiTheme="majorHAnsi" w:hAnsiTheme="majorHAnsi"/>
          <w:i/>
          <w:sz w:val="23"/>
          <w:lang w:val="en-AU"/>
        </w:rPr>
      </w:pPr>
      <w:r w:rsidRPr="00276AAC">
        <w:rPr>
          <w:rFonts w:asciiTheme="majorHAnsi" w:hAnsiTheme="majorHAnsi"/>
          <w:i/>
          <w:sz w:val="23"/>
          <w:lang w:val="en-AU"/>
        </w:rPr>
        <w:t>Supported</w:t>
      </w:r>
      <w:r w:rsidRPr="000152B3">
        <w:rPr>
          <w:rFonts w:asciiTheme="majorHAnsi" w:eastAsia="Times New Roman" w:hAnsiTheme="majorHAnsi" w:cstheme="majorHAnsi"/>
          <w:i/>
          <w:sz w:val="23"/>
          <w:szCs w:val="23"/>
          <w:lang w:val="en-AU"/>
        </w:rPr>
        <w:t xml:space="preserve"> with qualification</w:t>
      </w:r>
    </w:p>
    <w:p w14:paraId="050C39A6"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9:</w:t>
      </w:r>
      <w:r w:rsidRPr="00276AAC">
        <w:rPr>
          <w:rFonts w:asciiTheme="majorHAnsi" w:hAnsiTheme="majorHAnsi"/>
          <w:sz w:val="23"/>
          <w:lang w:val="en-AU"/>
        </w:rPr>
        <w:t xml:space="preserve"> Facilitate telehealth consultations between women and midwives (Participating Midwives Reference Group Recommendation 12)</w:t>
      </w:r>
    </w:p>
    <w:p w14:paraId="410C4928" w14:textId="0262348F" w:rsidR="000152B3" w:rsidRPr="00276AAC" w:rsidRDefault="000152B3" w:rsidP="00482D43">
      <w:pPr>
        <w:numPr>
          <w:ilvl w:val="1"/>
          <w:numId w:val="66"/>
        </w:numPr>
        <w:tabs>
          <w:tab w:val="left" w:pos="1134"/>
        </w:tabs>
        <w:spacing w:after="60" w:line="240" w:lineRule="auto"/>
        <w:ind w:left="851" w:hanging="357"/>
        <w:rPr>
          <w:rFonts w:asciiTheme="majorHAnsi" w:hAnsiTheme="majorHAnsi"/>
          <w:i/>
          <w:sz w:val="23"/>
          <w:lang w:val="en-AU"/>
        </w:rPr>
      </w:pPr>
      <w:r w:rsidRPr="00276AAC">
        <w:rPr>
          <w:rFonts w:asciiTheme="majorHAnsi" w:hAnsiTheme="majorHAnsi"/>
          <w:i/>
          <w:sz w:val="23"/>
          <w:lang w:val="en-AU"/>
        </w:rPr>
        <w:t xml:space="preserve">Supported </w:t>
      </w:r>
      <w:r w:rsidR="004A312E">
        <w:rPr>
          <w:rFonts w:asciiTheme="majorHAnsi" w:hAnsiTheme="majorHAnsi"/>
          <w:sz w:val="24"/>
          <w:szCs w:val="24"/>
        </w:rPr>
        <w:t xml:space="preserve">in principle but not </w:t>
      </w:r>
      <w:r w:rsidRPr="00276AAC">
        <w:rPr>
          <w:rFonts w:asciiTheme="majorHAnsi" w:hAnsiTheme="majorHAnsi"/>
          <w:i/>
          <w:sz w:val="23"/>
          <w:lang w:val="en-AU"/>
        </w:rPr>
        <w:t>through the MBS</w:t>
      </w:r>
    </w:p>
    <w:p w14:paraId="0F5F51AF"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10:</w:t>
      </w:r>
      <w:r w:rsidRPr="00276AAC">
        <w:rPr>
          <w:rFonts w:asciiTheme="majorHAnsi" w:hAnsiTheme="majorHAnsi"/>
          <w:sz w:val="23"/>
          <w:lang w:val="en-AU"/>
        </w:rPr>
        <w:t xml:space="preserve"> Remove item 99’s association with item 104 or 105, and instead have three item numbers that include asynchronous options) Ophthalmology Clinical Committee Recommendation 12) </w:t>
      </w:r>
    </w:p>
    <w:p w14:paraId="56CD6B5B" w14:textId="77777777" w:rsidR="000152B3" w:rsidRPr="00276AAC" w:rsidRDefault="000152B3" w:rsidP="00482D43">
      <w:pPr>
        <w:numPr>
          <w:ilvl w:val="1"/>
          <w:numId w:val="66"/>
        </w:numPr>
        <w:tabs>
          <w:tab w:val="left" w:pos="1134"/>
        </w:tabs>
        <w:spacing w:after="60" w:line="240" w:lineRule="auto"/>
        <w:ind w:left="851" w:hanging="357"/>
        <w:rPr>
          <w:rFonts w:asciiTheme="majorHAnsi" w:hAnsiTheme="majorHAnsi"/>
          <w:i/>
          <w:sz w:val="23"/>
          <w:lang w:val="en-AU"/>
        </w:rPr>
      </w:pPr>
      <w:r w:rsidRPr="00276AAC">
        <w:rPr>
          <w:rFonts w:asciiTheme="majorHAnsi" w:hAnsiTheme="majorHAnsi"/>
          <w:i/>
          <w:sz w:val="23"/>
          <w:lang w:val="en-AU"/>
        </w:rPr>
        <w:lastRenderedPageBreak/>
        <w:t>Not Supported with qualification</w:t>
      </w:r>
    </w:p>
    <w:p w14:paraId="219C7886"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11</w:t>
      </w:r>
      <w:r w:rsidRPr="00276AAC">
        <w:rPr>
          <w:rFonts w:asciiTheme="majorHAnsi" w:hAnsiTheme="majorHAnsi"/>
          <w:sz w:val="23"/>
          <w:lang w:val="en-AU"/>
        </w:rPr>
        <w:t>: Convene a Departmental working group to explore the barriers and opportunities offered by telehealth across all areas of Health. In the case of Optometry, to develop an appropriate MBS item to meet the requirements of Optometry and Ophthalmology. Optometry Clinical Committee Recommendation 3)</w:t>
      </w:r>
    </w:p>
    <w:p w14:paraId="0AC866D4" w14:textId="77777777" w:rsidR="000152B3" w:rsidRPr="00276AAC" w:rsidRDefault="000152B3" w:rsidP="00482D43">
      <w:pPr>
        <w:numPr>
          <w:ilvl w:val="1"/>
          <w:numId w:val="66"/>
        </w:numPr>
        <w:tabs>
          <w:tab w:val="left" w:pos="1134"/>
        </w:tabs>
        <w:spacing w:after="60" w:line="240" w:lineRule="auto"/>
        <w:ind w:left="851" w:hanging="357"/>
        <w:rPr>
          <w:rFonts w:asciiTheme="majorHAnsi" w:hAnsiTheme="majorHAnsi"/>
          <w:i/>
          <w:sz w:val="23"/>
          <w:lang w:val="en-AU"/>
        </w:rPr>
      </w:pPr>
      <w:r w:rsidRPr="00276AAC">
        <w:rPr>
          <w:rFonts w:asciiTheme="majorHAnsi" w:hAnsiTheme="majorHAnsi"/>
          <w:i/>
          <w:sz w:val="23"/>
          <w:lang w:val="en-AU"/>
        </w:rPr>
        <w:t>Supported</w:t>
      </w:r>
    </w:p>
    <w:p w14:paraId="451D84B1"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 xml:space="preserve">Recommendation 12: </w:t>
      </w:r>
      <w:r w:rsidRPr="00276AAC">
        <w:rPr>
          <w:rFonts w:asciiTheme="majorHAnsi" w:hAnsiTheme="majorHAnsi"/>
          <w:sz w:val="23"/>
          <w:lang w:val="en-AU"/>
        </w:rPr>
        <w:t>Telehealth items should be available for multi-disciplinary assessment and review for pain management patients. (Pain Management Clinical Committee Recommendation 28)</w:t>
      </w:r>
    </w:p>
    <w:p w14:paraId="1878648D" w14:textId="77777777" w:rsidR="000152B3" w:rsidRPr="000152B3" w:rsidRDefault="000152B3" w:rsidP="00482D43">
      <w:pPr>
        <w:numPr>
          <w:ilvl w:val="1"/>
          <w:numId w:val="66"/>
        </w:numPr>
        <w:tabs>
          <w:tab w:val="left" w:pos="1134"/>
        </w:tabs>
        <w:spacing w:after="60" w:line="240" w:lineRule="auto"/>
        <w:ind w:left="851" w:hanging="357"/>
        <w:rPr>
          <w:rFonts w:asciiTheme="majorHAnsi" w:eastAsia="Times New Roman" w:hAnsiTheme="majorHAnsi" w:cstheme="majorHAnsi"/>
          <w:i/>
          <w:sz w:val="23"/>
          <w:szCs w:val="23"/>
          <w:lang w:val="en-AU"/>
        </w:rPr>
      </w:pPr>
      <w:r w:rsidRPr="000152B3">
        <w:rPr>
          <w:rFonts w:asciiTheme="majorHAnsi" w:eastAsia="Times New Roman" w:hAnsiTheme="majorHAnsi" w:cstheme="majorHAnsi"/>
          <w:i/>
          <w:sz w:val="23"/>
          <w:szCs w:val="23"/>
          <w:lang w:val="en-AU"/>
        </w:rPr>
        <w:t>Supported with qualification</w:t>
      </w:r>
    </w:p>
    <w:p w14:paraId="5DB63E6D"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13:</w:t>
      </w:r>
      <w:r w:rsidRPr="00276AAC">
        <w:rPr>
          <w:rFonts w:asciiTheme="majorHAnsi" w:hAnsiTheme="majorHAnsi"/>
          <w:sz w:val="23"/>
          <w:lang w:val="en-AU"/>
        </w:rPr>
        <w:t xml:space="preserve"> Reform arrangements for item 288 - delivery telehealth consultations to regional and remote patients (Psychiatry Clinical Committee Recommendation 2) </w:t>
      </w:r>
    </w:p>
    <w:p w14:paraId="3385C732" w14:textId="77777777" w:rsidR="000152B3" w:rsidRPr="00276AAC" w:rsidRDefault="000152B3" w:rsidP="00482D43">
      <w:pPr>
        <w:numPr>
          <w:ilvl w:val="1"/>
          <w:numId w:val="66"/>
        </w:numPr>
        <w:tabs>
          <w:tab w:val="left" w:pos="1134"/>
        </w:tabs>
        <w:spacing w:after="60" w:line="240" w:lineRule="auto"/>
        <w:ind w:left="851" w:hanging="357"/>
        <w:rPr>
          <w:rFonts w:asciiTheme="majorHAnsi" w:hAnsiTheme="majorHAnsi"/>
          <w:i/>
          <w:sz w:val="23"/>
          <w:lang w:val="en-AU"/>
        </w:rPr>
      </w:pPr>
      <w:r w:rsidRPr="00276AAC">
        <w:rPr>
          <w:rFonts w:asciiTheme="majorHAnsi" w:hAnsiTheme="majorHAnsi"/>
          <w:i/>
          <w:sz w:val="23"/>
          <w:lang w:val="en-AU"/>
        </w:rPr>
        <w:t>Supported</w:t>
      </w:r>
    </w:p>
    <w:p w14:paraId="2E379CB6"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14:</w:t>
      </w:r>
      <w:r w:rsidRPr="00276AAC">
        <w:rPr>
          <w:rFonts w:asciiTheme="majorHAnsi" w:hAnsiTheme="majorHAnsi"/>
          <w:sz w:val="23"/>
          <w:lang w:val="en-AU"/>
        </w:rPr>
        <w:t xml:space="preserve"> New items to provide telehealth consultations to patients in major cities of Australia (Psychiatry Clinical Committee Recommendation 3)</w:t>
      </w:r>
    </w:p>
    <w:p w14:paraId="2683B9E6" w14:textId="77777777" w:rsidR="000152B3" w:rsidRPr="00276AAC" w:rsidRDefault="000152B3" w:rsidP="00482D43">
      <w:pPr>
        <w:numPr>
          <w:ilvl w:val="1"/>
          <w:numId w:val="66"/>
        </w:numPr>
        <w:tabs>
          <w:tab w:val="left" w:pos="1134"/>
        </w:tabs>
        <w:spacing w:after="60" w:line="240" w:lineRule="auto"/>
        <w:ind w:left="851" w:hanging="357"/>
        <w:rPr>
          <w:rFonts w:asciiTheme="majorHAnsi" w:hAnsiTheme="majorHAnsi"/>
          <w:i/>
          <w:sz w:val="23"/>
          <w:lang w:val="en-AU"/>
        </w:rPr>
      </w:pPr>
      <w:r w:rsidRPr="00276AAC">
        <w:rPr>
          <w:rFonts w:asciiTheme="majorHAnsi" w:hAnsiTheme="majorHAnsi"/>
          <w:i/>
          <w:sz w:val="23"/>
          <w:lang w:val="en-AU"/>
        </w:rPr>
        <w:t xml:space="preserve">Supported </w:t>
      </w:r>
    </w:p>
    <w:p w14:paraId="267F86D8"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15</w:t>
      </w:r>
      <w:r w:rsidRPr="00276AAC">
        <w:rPr>
          <w:rFonts w:asciiTheme="majorHAnsi" w:hAnsiTheme="majorHAnsi"/>
          <w:sz w:val="23"/>
          <w:lang w:val="en-AU"/>
        </w:rPr>
        <w:t>: Continue arrangements for Items 353-370 - consultations with psychiatrists via the phone in regional and remote areas (Psychiatry Clinical Committee Recommendation 4)</w:t>
      </w:r>
    </w:p>
    <w:p w14:paraId="0564E197" w14:textId="77777777" w:rsidR="000152B3" w:rsidRPr="00276AAC" w:rsidRDefault="000152B3" w:rsidP="00482D43">
      <w:pPr>
        <w:numPr>
          <w:ilvl w:val="1"/>
          <w:numId w:val="66"/>
        </w:numPr>
        <w:tabs>
          <w:tab w:val="left" w:pos="1134"/>
        </w:tabs>
        <w:spacing w:after="60" w:line="240" w:lineRule="auto"/>
        <w:ind w:left="851" w:hanging="357"/>
        <w:rPr>
          <w:rFonts w:asciiTheme="majorHAnsi" w:hAnsiTheme="majorHAnsi"/>
          <w:i/>
          <w:sz w:val="23"/>
          <w:lang w:val="en-AU"/>
        </w:rPr>
      </w:pPr>
      <w:r w:rsidRPr="00276AAC">
        <w:rPr>
          <w:rFonts w:asciiTheme="majorHAnsi" w:hAnsiTheme="majorHAnsi"/>
          <w:i/>
          <w:sz w:val="23"/>
          <w:lang w:val="en-AU"/>
        </w:rPr>
        <w:t>Supported</w:t>
      </w:r>
      <w:r w:rsidRPr="000152B3">
        <w:rPr>
          <w:rFonts w:asciiTheme="majorHAnsi" w:eastAsia="Times New Roman" w:hAnsiTheme="majorHAnsi" w:cstheme="majorHAnsi"/>
          <w:i/>
          <w:sz w:val="23"/>
          <w:szCs w:val="23"/>
          <w:lang w:val="en-AU"/>
        </w:rPr>
        <w:t xml:space="preserve"> with qualification</w:t>
      </w:r>
    </w:p>
    <w:p w14:paraId="0A2F1E86"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16:</w:t>
      </w:r>
      <w:r w:rsidRPr="00276AAC">
        <w:rPr>
          <w:rFonts w:asciiTheme="majorHAnsi" w:hAnsiTheme="majorHAnsi"/>
          <w:sz w:val="23"/>
          <w:lang w:val="en-AU"/>
        </w:rPr>
        <w:t xml:space="preserve"> A new framework for telehealth (Specialist and Consultant Clinical Committee Recommendation 9)</w:t>
      </w:r>
    </w:p>
    <w:p w14:paraId="4CB2A4CA" w14:textId="77777777" w:rsidR="000152B3" w:rsidRPr="00276AAC" w:rsidRDefault="000152B3" w:rsidP="00482D43">
      <w:pPr>
        <w:numPr>
          <w:ilvl w:val="1"/>
          <w:numId w:val="66"/>
        </w:numPr>
        <w:tabs>
          <w:tab w:val="left" w:pos="1134"/>
        </w:tabs>
        <w:spacing w:after="60" w:line="240" w:lineRule="auto"/>
        <w:ind w:left="851" w:hanging="357"/>
        <w:rPr>
          <w:rFonts w:asciiTheme="majorHAnsi" w:hAnsiTheme="majorHAnsi"/>
          <w:i/>
          <w:sz w:val="23"/>
          <w:lang w:val="en-AU"/>
        </w:rPr>
      </w:pPr>
      <w:r w:rsidRPr="00276AAC">
        <w:rPr>
          <w:rFonts w:asciiTheme="majorHAnsi" w:hAnsiTheme="majorHAnsi"/>
          <w:i/>
          <w:sz w:val="23"/>
          <w:lang w:val="en-AU"/>
        </w:rPr>
        <w:t>Supported</w:t>
      </w:r>
    </w:p>
    <w:p w14:paraId="7C68B65E"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17:</w:t>
      </w:r>
      <w:r w:rsidRPr="00276AAC">
        <w:rPr>
          <w:rFonts w:asciiTheme="majorHAnsi" w:hAnsiTheme="majorHAnsi"/>
          <w:sz w:val="23"/>
          <w:lang w:val="en-AU"/>
        </w:rPr>
        <w:t xml:space="preserve"> Reinvest in telehealth (Specialist and Consultant Clinical Committee Recommendation 10)</w:t>
      </w:r>
    </w:p>
    <w:p w14:paraId="58291DF2" w14:textId="77777777" w:rsidR="000152B3" w:rsidRPr="00276AAC" w:rsidRDefault="000152B3" w:rsidP="00482D43">
      <w:pPr>
        <w:numPr>
          <w:ilvl w:val="1"/>
          <w:numId w:val="66"/>
        </w:numPr>
        <w:tabs>
          <w:tab w:val="left" w:pos="1134"/>
        </w:tabs>
        <w:spacing w:after="60" w:line="240" w:lineRule="auto"/>
        <w:ind w:left="851" w:hanging="357"/>
        <w:rPr>
          <w:rFonts w:asciiTheme="majorHAnsi" w:hAnsiTheme="majorHAnsi"/>
          <w:i/>
          <w:sz w:val="23"/>
          <w:lang w:val="en-AU"/>
        </w:rPr>
      </w:pPr>
      <w:r w:rsidRPr="00276AAC">
        <w:rPr>
          <w:rFonts w:asciiTheme="majorHAnsi" w:hAnsiTheme="majorHAnsi"/>
          <w:i/>
          <w:sz w:val="23"/>
          <w:lang w:val="en-AU"/>
        </w:rPr>
        <w:t>Supported</w:t>
      </w:r>
    </w:p>
    <w:p w14:paraId="3C6EB909"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18:</w:t>
      </w:r>
      <w:r w:rsidRPr="00276AAC">
        <w:rPr>
          <w:rFonts w:asciiTheme="majorHAnsi" w:hAnsiTheme="majorHAnsi"/>
          <w:sz w:val="23"/>
          <w:lang w:val="en-AU"/>
        </w:rPr>
        <w:t xml:space="preserve"> Where appropriate, consideration should be given to the use of remote and non-face-to-face services (real time or asynchronous) and an appropriate funding model investigated (Wound Management Working Group Recommendation 8)</w:t>
      </w:r>
    </w:p>
    <w:p w14:paraId="7EBD6C3A" w14:textId="77777777" w:rsidR="000152B3" w:rsidRPr="00276AAC" w:rsidRDefault="000152B3" w:rsidP="00482D43">
      <w:pPr>
        <w:numPr>
          <w:ilvl w:val="1"/>
          <w:numId w:val="66"/>
        </w:numPr>
        <w:tabs>
          <w:tab w:val="left" w:pos="1134"/>
        </w:tabs>
        <w:spacing w:after="60" w:line="240" w:lineRule="auto"/>
        <w:ind w:left="851" w:hanging="357"/>
        <w:rPr>
          <w:rFonts w:asciiTheme="majorHAnsi" w:hAnsiTheme="majorHAnsi"/>
          <w:i/>
          <w:sz w:val="23"/>
          <w:lang w:val="en-AU"/>
        </w:rPr>
      </w:pPr>
      <w:r w:rsidRPr="00276AAC">
        <w:rPr>
          <w:rFonts w:asciiTheme="majorHAnsi" w:hAnsiTheme="majorHAnsi"/>
          <w:i/>
          <w:sz w:val="23"/>
          <w:lang w:val="en-AU"/>
        </w:rPr>
        <w:t>Supported</w:t>
      </w:r>
    </w:p>
    <w:p w14:paraId="43EDE4BB" w14:textId="77777777" w:rsidR="000152B3" w:rsidRPr="00276AAC" w:rsidRDefault="000152B3" w:rsidP="00482D43">
      <w:pPr>
        <w:numPr>
          <w:ilvl w:val="0"/>
          <w:numId w:val="66"/>
        </w:numPr>
        <w:spacing w:after="60" w:line="240" w:lineRule="auto"/>
        <w:ind w:left="426" w:hanging="357"/>
        <w:rPr>
          <w:rFonts w:asciiTheme="majorHAnsi" w:hAnsiTheme="majorHAnsi"/>
          <w:sz w:val="23"/>
          <w:lang w:val="en-AU"/>
        </w:rPr>
      </w:pPr>
      <w:r w:rsidRPr="00276AAC">
        <w:rPr>
          <w:rFonts w:asciiTheme="majorHAnsi" w:hAnsiTheme="majorHAnsi"/>
          <w:b/>
          <w:sz w:val="23"/>
          <w:lang w:val="en-AU"/>
        </w:rPr>
        <w:t>Recommendation 19:</w:t>
      </w:r>
      <w:r w:rsidRPr="00276AAC">
        <w:rPr>
          <w:rFonts w:asciiTheme="majorHAnsi" w:hAnsiTheme="majorHAnsi"/>
          <w:sz w:val="23"/>
          <w:lang w:val="en-AU"/>
        </w:rPr>
        <w:t xml:space="preserve"> Increase access to wound care experts in RACFs, including telehealth enabled, where appropriate (Wound Management Working Group Recommendation 14)</w:t>
      </w:r>
    </w:p>
    <w:p w14:paraId="186CB6EC" w14:textId="02346702" w:rsidR="000152B3" w:rsidRDefault="000152B3" w:rsidP="00482D43">
      <w:pPr>
        <w:numPr>
          <w:ilvl w:val="1"/>
          <w:numId w:val="66"/>
        </w:numPr>
        <w:tabs>
          <w:tab w:val="left" w:pos="1134"/>
        </w:tabs>
        <w:spacing w:after="60" w:line="240" w:lineRule="auto"/>
        <w:ind w:left="851" w:hanging="357"/>
        <w:rPr>
          <w:rFonts w:asciiTheme="majorHAnsi" w:hAnsiTheme="majorHAnsi"/>
          <w:i/>
          <w:sz w:val="23"/>
          <w:lang w:val="en-AU"/>
        </w:rPr>
      </w:pPr>
      <w:r w:rsidRPr="00276AAC">
        <w:rPr>
          <w:rFonts w:asciiTheme="majorHAnsi" w:hAnsiTheme="majorHAnsi"/>
          <w:i/>
          <w:sz w:val="23"/>
          <w:lang w:val="en-AU"/>
        </w:rPr>
        <w:t>Supported</w:t>
      </w:r>
    </w:p>
    <w:p w14:paraId="2F6068CE" w14:textId="77777777" w:rsidR="00482D43" w:rsidRPr="00276AAC" w:rsidRDefault="00482D43" w:rsidP="00482D43">
      <w:pPr>
        <w:tabs>
          <w:tab w:val="left" w:pos="1134"/>
        </w:tabs>
        <w:spacing w:line="240" w:lineRule="auto"/>
        <w:ind w:left="851"/>
        <w:rPr>
          <w:rFonts w:asciiTheme="majorHAnsi" w:hAnsiTheme="majorHAnsi"/>
          <w:i/>
          <w:sz w:val="23"/>
          <w:lang w:val="en-AU"/>
        </w:rPr>
      </w:pPr>
    </w:p>
    <w:p w14:paraId="1DB23F2C" w14:textId="77777777" w:rsidR="000152B3" w:rsidRPr="00482D43" w:rsidRDefault="000152B3" w:rsidP="00482D43">
      <w:pPr>
        <w:rPr>
          <w:rFonts w:ascii="Calibri" w:eastAsia="Calibri" w:hAnsi="Calibri" w:cs="Calibri"/>
          <w:b/>
          <w:sz w:val="24"/>
          <w:szCs w:val="24"/>
        </w:rPr>
      </w:pPr>
      <w:r w:rsidRPr="00482D43">
        <w:rPr>
          <w:rFonts w:ascii="Calibri" w:eastAsia="Calibri" w:hAnsi="Calibri" w:cs="Calibri"/>
          <w:b/>
          <w:sz w:val="24"/>
          <w:szCs w:val="24"/>
        </w:rPr>
        <w:t>Referred Recommendations Already Endorsed:</w:t>
      </w:r>
    </w:p>
    <w:p w14:paraId="5A2E40BE" w14:textId="77777777" w:rsidR="000152B3" w:rsidRPr="00276AAC" w:rsidRDefault="000152B3" w:rsidP="00482D43">
      <w:pPr>
        <w:numPr>
          <w:ilvl w:val="0"/>
          <w:numId w:val="67"/>
        </w:numPr>
        <w:spacing w:line="240" w:lineRule="auto"/>
        <w:ind w:left="426"/>
        <w:rPr>
          <w:rFonts w:asciiTheme="majorHAnsi" w:hAnsiTheme="majorHAnsi"/>
          <w:sz w:val="23"/>
          <w:lang w:val="en-AU"/>
        </w:rPr>
      </w:pPr>
      <w:r w:rsidRPr="00276AAC">
        <w:rPr>
          <w:rFonts w:asciiTheme="majorHAnsi" w:hAnsiTheme="majorHAnsi"/>
          <w:b/>
          <w:sz w:val="23"/>
          <w:lang w:val="en-AU"/>
        </w:rPr>
        <w:t xml:space="preserve">Recommendation 20: </w:t>
      </w:r>
      <w:r w:rsidRPr="00276AAC">
        <w:rPr>
          <w:rFonts w:asciiTheme="majorHAnsi" w:hAnsiTheme="majorHAnsi"/>
          <w:sz w:val="23"/>
          <w:lang w:val="en-AU"/>
        </w:rPr>
        <w:t>Eating Disorders Recommendation 1.4</w:t>
      </w:r>
    </w:p>
    <w:p w14:paraId="3B7696FC" w14:textId="77777777" w:rsidR="000152B3" w:rsidRPr="00276AAC" w:rsidRDefault="000152B3" w:rsidP="00482D43">
      <w:pPr>
        <w:numPr>
          <w:ilvl w:val="1"/>
          <w:numId w:val="66"/>
        </w:numPr>
        <w:tabs>
          <w:tab w:val="left" w:pos="1134"/>
        </w:tabs>
        <w:spacing w:line="240" w:lineRule="auto"/>
        <w:ind w:left="850" w:hanging="357"/>
        <w:rPr>
          <w:rFonts w:asciiTheme="majorHAnsi" w:hAnsiTheme="majorHAnsi"/>
          <w:i/>
          <w:sz w:val="23"/>
          <w:lang w:val="en-AU"/>
        </w:rPr>
      </w:pPr>
      <w:r w:rsidRPr="00276AAC">
        <w:rPr>
          <w:rFonts w:asciiTheme="majorHAnsi" w:hAnsiTheme="majorHAnsi"/>
          <w:i/>
          <w:sz w:val="23"/>
          <w:lang w:val="en-AU"/>
        </w:rPr>
        <w:t>Noted and with evaluation that these recommendations be aligned to the principles over time</w:t>
      </w:r>
    </w:p>
    <w:p w14:paraId="4F8B12D8" w14:textId="77777777" w:rsidR="000152B3" w:rsidRPr="00276AAC" w:rsidRDefault="000152B3" w:rsidP="00482D43">
      <w:pPr>
        <w:numPr>
          <w:ilvl w:val="0"/>
          <w:numId w:val="67"/>
        </w:numPr>
        <w:spacing w:line="240" w:lineRule="auto"/>
        <w:ind w:left="426"/>
        <w:rPr>
          <w:rFonts w:asciiTheme="majorHAnsi" w:hAnsiTheme="majorHAnsi"/>
          <w:sz w:val="23"/>
          <w:lang w:val="en-AU"/>
        </w:rPr>
      </w:pPr>
      <w:r w:rsidRPr="00276AAC">
        <w:rPr>
          <w:rFonts w:asciiTheme="majorHAnsi" w:hAnsiTheme="majorHAnsi"/>
          <w:b/>
          <w:sz w:val="23"/>
          <w:lang w:val="en-AU"/>
        </w:rPr>
        <w:t xml:space="preserve">Recommendation 21: </w:t>
      </w:r>
      <w:r w:rsidRPr="00276AAC">
        <w:rPr>
          <w:rFonts w:asciiTheme="majorHAnsi" w:hAnsiTheme="majorHAnsi"/>
          <w:sz w:val="23"/>
          <w:lang w:val="en-AU"/>
        </w:rPr>
        <w:t>Gynaecology Clinical Committee Recommendation 10 - Delete item 13210 (attendance on a patient by video conference)</w:t>
      </w:r>
    </w:p>
    <w:p w14:paraId="255EC562" w14:textId="637F9203" w:rsidR="000152B3" w:rsidRPr="00276AAC" w:rsidRDefault="000152B3" w:rsidP="00482D43">
      <w:pPr>
        <w:numPr>
          <w:ilvl w:val="1"/>
          <w:numId w:val="66"/>
        </w:numPr>
        <w:tabs>
          <w:tab w:val="left" w:pos="1134"/>
        </w:tabs>
        <w:spacing w:line="240" w:lineRule="auto"/>
        <w:ind w:left="851"/>
        <w:rPr>
          <w:i/>
          <w:sz w:val="23"/>
          <w:lang w:val="en-AU"/>
        </w:rPr>
      </w:pPr>
      <w:r w:rsidRPr="00276AAC">
        <w:rPr>
          <w:rFonts w:asciiTheme="majorHAnsi" w:hAnsiTheme="majorHAnsi"/>
          <w:i/>
          <w:sz w:val="23"/>
          <w:lang w:val="en-AU"/>
        </w:rPr>
        <w:t>Not Supported. Should also be aligned with the principles</w:t>
      </w:r>
    </w:p>
    <w:p w14:paraId="6C93EC18" w14:textId="190F9AC0" w:rsidR="00917415" w:rsidRPr="00132469" w:rsidRDefault="00917415" w:rsidP="00132469">
      <w:pPr>
        <w:pStyle w:val="Style2"/>
      </w:pPr>
      <w:r w:rsidRPr="00132469">
        <w:br w:type="page"/>
      </w:r>
    </w:p>
    <w:p w14:paraId="5EC03044" w14:textId="5E08AE4C" w:rsidR="00D907A9" w:rsidRPr="008E7FF0" w:rsidRDefault="00852624" w:rsidP="6EE85499">
      <w:pPr>
        <w:pStyle w:val="Heading1"/>
        <w:keepLines w:val="0"/>
        <w:widowControl w:val="0"/>
        <w:pBdr>
          <w:bottom w:val="single" w:sz="16" w:space="11" w:color="BFBFBF"/>
        </w:pBdr>
        <w:spacing w:before="0" w:after="360" w:line="240" w:lineRule="auto"/>
        <w:rPr>
          <w:rFonts w:ascii="Calibri" w:eastAsia="Calibri" w:hAnsi="Calibri" w:cs="Calibri"/>
          <w:b/>
          <w:bCs/>
          <w:color w:val="01653F"/>
        </w:rPr>
      </w:pPr>
      <w:bookmarkStart w:id="18" w:name="_Toc42764229"/>
      <w:r w:rsidRPr="6EE85499">
        <w:rPr>
          <w:rFonts w:ascii="Calibri" w:eastAsia="Calibri" w:hAnsi="Calibri" w:cs="Calibri"/>
          <w:b/>
          <w:bCs/>
          <w:color w:val="01653F"/>
        </w:rPr>
        <w:lastRenderedPageBreak/>
        <w:t>Objective 3</w:t>
      </w:r>
      <w:r w:rsidR="00D907A9" w:rsidRPr="6EE85499">
        <w:rPr>
          <w:rFonts w:ascii="Calibri" w:eastAsia="Calibri" w:hAnsi="Calibri" w:cs="Calibri"/>
          <w:b/>
          <w:bCs/>
          <w:color w:val="01653F"/>
        </w:rPr>
        <w:t>: A set of MBS Telehealth Principles</w:t>
      </w:r>
      <w:bookmarkEnd w:id="18"/>
      <w:r w:rsidR="00D907A9" w:rsidRPr="6EE85499">
        <w:rPr>
          <w:rFonts w:ascii="Calibri" w:eastAsia="Calibri" w:hAnsi="Calibri" w:cs="Calibri"/>
          <w:b/>
          <w:bCs/>
          <w:color w:val="01653F"/>
        </w:rPr>
        <w:t xml:space="preserve"> </w:t>
      </w:r>
    </w:p>
    <w:p w14:paraId="2E6AE7A4" w14:textId="77777777" w:rsidR="00485DED" w:rsidRPr="00DF7114" w:rsidRDefault="00485DED" w:rsidP="00485DED">
      <w:pPr>
        <w:spacing w:after="120" w:line="240" w:lineRule="auto"/>
        <w:rPr>
          <w:rFonts w:asciiTheme="majorHAnsi" w:eastAsia="Calibri" w:hAnsiTheme="majorHAnsi" w:cstheme="majorHAnsi"/>
          <w:sz w:val="24"/>
          <w:szCs w:val="24"/>
        </w:rPr>
      </w:pPr>
      <w:bookmarkStart w:id="19" w:name="_nf6dmhge233l" w:colFirst="0" w:colLast="0"/>
      <w:bookmarkEnd w:id="19"/>
      <w:r w:rsidRPr="00DF7114">
        <w:rPr>
          <w:rFonts w:asciiTheme="majorHAnsi" w:eastAsia="Calibri" w:hAnsiTheme="majorHAnsi" w:cstheme="majorHAnsi"/>
          <w:sz w:val="24"/>
          <w:szCs w:val="24"/>
        </w:rPr>
        <w:t xml:space="preserve">The Working Group has developed the following principles for evaluating the Taskforce referred telehealth recommendations proposed by clinical committees and working groups. </w:t>
      </w:r>
    </w:p>
    <w:p w14:paraId="56455C3D" w14:textId="5A4FDEED" w:rsidR="00485DED" w:rsidRDefault="00485DED" w:rsidP="00485DED">
      <w:pPr>
        <w:spacing w:after="120" w:line="240" w:lineRule="auto"/>
        <w:rPr>
          <w:rFonts w:asciiTheme="majorHAnsi" w:eastAsia="Calibri" w:hAnsiTheme="majorHAnsi" w:cstheme="majorHAnsi"/>
          <w:sz w:val="24"/>
          <w:szCs w:val="24"/>
        </w:rPr>
      </w:pPr>
      <w:r w:rsidRPr="00DF7114">
        <w:rPr>
          <w:rFonts w:asciiTheme="majorHAnsi" w:eastAsia="Calibri" w:hAnsiTheme="majorHAnsi" w:cstheme="majorHAnsi"/>
          <w:sz w:val="24"/>
          <w:szCs w:val="24"/>
        </w:rPr>
        <w:t>These Principles could also be applied by policy makers when considering telehealth now and into the future.</w:t>
      </w:r>
    </w:p>
    <w:p w14:paraId="1C07CC0A" w14:textId="77777777" w:rsidR="00D82496" w:rsidRPr="00F113F6" w:rsidRDefault="00D82496" w:rsidP="00D82496">
      <w:pPr>
        <w:spacing w:after="120" w:line="240" w:lineRule="auto"/>
        <w:rPr>
          <w:rFonts w:asciiTheme="majorHAnsi" w:eastAsia="Calibri" w:hAnsiTheme="majorHAnsi" w:cstheme="majorHAnsi"/>
          <w:sz w:val="24"/>
          <w:szCs w:val="24"/>
        </w:rPr>
      </w:pPr>
      <w:r w:rsidRPr="00F113F6">
        <w:rPr>
          <w:rFonts w:asciiTheme="majorHAnsi" w:eastAsia="Calibri" w:hAnsiTheme="majorHAnsi" w:cstheme="majorHAnsi"/>
          <w:sz w:val="24"/>
          <w:szCs w:val="24"/>
        </w:rPr>
        <w:t>The Principles are designed to be a suite of cohesive principles and considered together.</w:t>
      </w:r>
    </w:p>
    <w:p w14:paraId="30FBCB0D" w14:textId="5A81E091" w:rsidR="00D82496" w:rsidRPr="002A69ED" w:rsidRDefault="00D82496" w:rsidP="002A69ED">
      <w:pPr>
        <w:pStyle w:val="Style2"/>
      </w:pPr>
      <w:bookmarkStart w:id="20" w:name="_Toc42764230"/>
      <w:r w:rsidRPr="00D82496">
        <w:t>MBS Telehealth Principles</w:t>
      </w:r>
      <w:bookmarkEnd w:id="20"/>
    </w:p>
    <w:p w14:paraId="2FCCAFD2" w14:textId="42F073FB" w:rsidR="00E747AD" w:rsidRPr="002A69ED" w:rsidRDefault="00E747AD" w:rsidP="002A69ED">
      <w:pPr>
        <w:numPr>
          <w:ilvl w:val="0"/>
          <w:numId w:val="42"/>
        </w:numPr>
        <w:spacing w:after="240" w:line="240" w:lineRule="auto"/>
        <w:ind w:left="425" w:hanging="357"/>
        <w:rPr>
          <w:rFonts w:asciiTheme="majorHAnsi" w:eastAsia="Calibri" w:hAnsiTheme="majorHAnsi" w:cstheme="majorHAnsi"/>
          <w:sz w:val="24"/>
          <w:szCs w:val="24"/>
        </w:rPr>
      </w:pPr>
      <w:r w:rsidRPr="002A69ED">
        <w:rPr>
          <w:rFonts w:asciiTheme="majorHAnsi" w:eastAsia="Calibri" w:hAnsiTheme="majorHAnsi" w:cstheme="majorHAnsi"/>
          <w:sz w:val="24"/>
          <w:szCs w:val="24"/>
        </w:rPr>
        <w:t>Should be patient-focused, and based on patient need, rather than geographical location.</w:t>
      </w:r>
    </w:p>
    <w:p w14:paraId="5A81C68E" w14:textId="347B2FE8" w:rsidR="00E747AD" w:rsidRPr="002A69ED" w:rsidRDefault="00E747AD" w:rsidP="002A69ED">
      <w:pPr>
        <w:numPr>
          <w:ilvl w:val="0"/>
          <w:numId w:val="42"/>
        </w:numPr>
        <w:spacing w:after="240" w:line="240" w:lineRule="auto"/>
        <w:ind w:left="425" w:hanging="357"/>
        <w:rPr>
          <w:rFonts w:asciiTheme="majorHAnsi" w:eastAsia="Calibri" w:hAnsiTheme="majorHAnsi" w:cstheme="majorHAnsi"/>
          <w:sz w:val="24"/>
          <w:szCs w:val="24"/>
        </w:rPr>
      </w:pPr>
      <w:r w:rsidRPr="002A69ED">
        <w:rPr>
          <w:rFonts w:asciiTheme="majorHAnsi" w:eastAsia="Calibri" w:hAnsiTheme="majorHAnsi" w:cstheme="majorHAnsi"/>
          <w:sz w:val="24"/>
          <w:szCs w:val="24"/>
        </w:rPr>
        <w:t>Must support and facilitate services that are clinically safe and efficacious for patients.</w:t>
      </w:r>
    </w:p>
    <w:p w14:paraId="3FAB296D" w14:textId="5F4D0EF8" w:rsidR="00E747AD" w:rsidRPr="002A69ED" w:rsidRDefault="00E747AD" w:rsidP="002A69ED">
      <w:pPr>
        <w:numPr>
          <w:ilvl w:val="0"/>
          <w:numId w:val="42"/>
        </w:numPr>
        <w:spacing w:after="240" w:line="240" w:lineRule="auto"/>
        <w:ind w:left="425" w:hanging="357"/>
        <w:rPr>
          <w:rFonts w:asciiTheme="majorHAnsi" w:eastAsia="Calibri" w:hAnsiTheme="majorHAnsi" w:cstheme="majorHAnsi"/>
          <w:sz w:val="24"/>
          <w:szCs w:val="24"/>
        </w:rPr>
      </w:pPr>
      <w:r w:rsidRPr="002A69ED">
        <w:rPr>
          <w:rFonts w:asciiTheme="majorHAnsi" w:eastAsia="Calibri" w:hAnsiTheme="majorHAnsi" w:cstheme="majorHAnsi"/>
          <w:sz w:val="24"/>
          <w:szCs w:val="24"/>
        </w:rPr>
        <w:t>Should be provided in the context of continuity of care between patient and practitioner.</w:t>
      </w:r>
    </w:p>
    <w:p w14:paraId="24610D65" w14:textId="2F699889" w:rsidR="00E747AD" w:rsidRPr="002A69ED" w:rsidRDefault="00E747AD" w:rsidP="002A69ED">
      <w:pPr>
        <w:numPr>
          <w:ilvl w:val="0"/>
          <w:numId w:val="42"/>
        </w:numPr>
        <w:spacing w:after="240" w:line="240" w:lineRule="auto"/>
        <w:ind w:left="425" w:hanging="357"/>
        <w:rPr>
          <w:rFonts w:asciiTheme="majorHAnsi" w:eastAsia="Calibri" w:hAnsiTheme="majorHAnsi" w:cstheme="majorHAnsi"/>
          <w:sz w:val="24"/>
          <w:szCs w:val="24"/>
        </w:rPr>
      </w:pPr>
      <w:r w:rsidRPr="002A69ED">
        <w:rPr>
          <w:rFonts w:asciiTheme="majorHAnsi" w:eastAsia="Calibri" w:hAnsiTheme="majorHAnsi" w:cstheme="majorHAnsi"/>
          <w:sz w:val="24"/>
          <w:szCs w:val="24"/>
        </w:rPr>
        <w:t>Must not create unintended consequences or perverse incentives that undermine the role of face-to-face care.</w:t>
      </w:r>
    </w:p>
    <w:p w14:paraId="3A4BAA84" w14:textId="52D57ED9" w:rsidR="00E747AD" w:rsidRPr="002A69ED" w:rsidRDefault="00E747AD" w:rsidP="002A69ED">
      <w:pPr>
        <w:numPr>
          <w:ilvl w:val="0"/>
          <w:numId w:val="42"/>
        </w:numPr>
        <w:spacing w:after="240" w:line="240" w:lineRule="auto"/>
        <w:ind w:left="425" w:hanging="357"/>
        <w:rPr>
          <w:rFonts w:asciiTheme="majorHAnsi" w:eastAsia="Calibri" w:hAnsiTheme="majorHAnsi" w:cstheme="majorHAnsi"/>
          <w:sz w:val="24"/>
          <w:szCs w:val="24"/>
        </w:rPr>
      </w:pPr>
      <w:r w:rsidRPr="002A69ED">
        <w:rPr>
          <w:rFonts w:asciiTheme="majorHAnsi" w:eastAsia="Calibri" w:hAnsiTheme="majorHAnsi" w:cstheme="majorHAnsi"/>
          <w:sz w:val="24"/>
          <w:szCs w:val="24"/>
        </w:rPr>
        <w:t xml:space="preserve">Should not be specific to the technology used but video offers richer information transfer and should be </w:t>
      </w:r>
      <w:proofErr w:type="spellStart"/>
      <w:r w:rsidRPr="002A69ED">
        <w:rPr>
          <w:rFonts w:asciiTheme="majorHAnsi" w:eastAsia="Calibri" w:hAnsiTheme="majorHAnsi" w:cstheme="majorHAnsi"/>
          <w:sz w:val="24"/>
          <w:szCs w:val="24"/>
        </w:rPr>
        <w:t>favoured</w:t>
      </w:r>
      <w:proofErr w:type="spellEnd"/>
      <w:r w:rsidRPr="002A69ED">
        <w:rPr>
          <w:rFonts w:asciiTheme="majorHAnsi" w:eastAsia="Calibri" w:hAnsiTheme="majorHAnsi" w:cstheme="majorHAnsi"/>
          <w:sz w:val="24"/>
          <w:szCs w:val="24"/>
        </w:rPr>
        <w:t xml:space="preserve"> over phone with fewer exceptions being allowed over time.</w:t>
      </w:r>
    </w:p>
    <w:p w14:paraId="03D96718" w14:textId="35B27793" w:rsidR="00E747AD" w:rsidRPr="002A69ED" w:rsidRDefault="00E747AD" w:rsidP="002A69ED">
      <w:pPr>
        <w:numPr>
          <w:ilvl w:val="0"/>
          <w:numId w:val="42"/>
        </w:numPr>
        <w:spacing w:after="240" w:line="240" w:lineRule="auto"/>
        <w:ind w:left="425" w:hanging="357"/>
        <w:rPr>
          <w:rFonts w:asciiTheme="majorHAnsi" w:eastAsia="Calibri" w:hAnsiTheme="majorHAnsi" w:cstheme="majorHAnsi"/>
          <w:sz w:val="24"/>
          <w:szCs w:val="24"/>
        </w:rPr>
      </w:pPr>
      <w:r w:rsidRPr="002A69ED">
        <w:rPr>
          <w:rFonts w:asciiTheme="majorHAnsi" w:eastAsia="Calibri" w:hAnsiTheme="majorHAnsi" w:cstheme="majorHAnsi"/>
          <w:sz w:val="24"/>
          <w:szCs w:val="24"/>
        </w:rPr>
        <w:t>Should encourage clinicians where they are required at both ends of the interaction with the patient to support optimal clinical interchange.</w:t>
      </w:r>
    </w:p>
    <w:p w14:paraId="4654AEBA" w14:textId="5CEAD4DD" w:rsidR="00E747AD" w:rsidRPr="002A69ED" w:rsidRDefault="00E747AD" w:rsidP="002A69ED">
      <w:pPr>
        <w:numPr>
          <w:ilvl w:val="0"/>
          <w:numId w:val="42"/>
        </w:numPr>
        <w:spacing w:after="240" w:line="240" w:lineRule="auto"/>
        <w:ind w:left="425" w:hanging="357"/>
        <w:rPr>
          <w:rFonts w:asciiTheme="majorHAnsi" w:eastAsia="Calibri" w:hAnsiTheme="majorHAnsi" w:cstheme="majorHAnsi"/>
          <w:sz w:val="24"/>
          <w:szCs w:val="24"/>
        </w:rPr>
      </w:pPr>
      <w:r w:rsidRPr="002A69ED">
        <w:rPr>
          <w:rFonts w:asciiTheme="majorHAnsi" w:eastAsia="Calibri" w:hAnsiTheme="majorHAnsi" w:cstheme="majorHAnsi"/>
          <w:sz w:val="24"/>
          <w:szCs w:val="24"/>
        </w:rPr>
        <w:t>Should be implemented and modified through time limited transition arrangements.</w:t>
      </w:r>
    </w:p>
    <w:p w14:paraId="39BFF973" w14:textId="737DBA6C" w:rsidR="00E747AD" w:rsidRPr="002A69ED" w:rsidRDefault="00E747AD" w:rsidP="002A69ED">
      <w:pPr>
        <w:numPr>
          <w:ilvl w:val="0"/>
          <w:numId w:val="42"/>
        </w:numPr>
        <w:spacing w:after="240" w:line="240" w:lineRule="auto"/>
        <w:ind w:left="425" w:hanging="357"/>
        <w:rPr>
          <w:rFonts w:asciiTheme="majorHAnsi" w:eastAsia="Calibri" w:hAnsiTheme="majorHAnsi" w:cstheme="majorHAnsi"/>
          <w:sz w:val="24"/>
          <w:szCs w:val="24"/>
        </w:rPr>
      </w:pPr>
      <w:r w:rsidRPr="002A69ED">
        <w:rPr>
          <w:rFonts w:asciiTheme="majorHAnsi" w:eastAsia="Calibri" w:hAnsiTheme="majorHAnsi" w:cstheme="majorHAnsi"/>
          <w:sz w:val="24"/>
          <w:szCs w:val="24"/>
        </w:rPr>
        <w:t>Funding solutions will vary depending on patient need, specialty, craft group and purpose.</w:t>
      </w:r>
    </w:p>
    <w:p w14:paraId="14D18F7D" w14:textId="49B68C2B" w:rsidR="00E747AD" w:rsidRPr="002A69ED" w:rsidRDefault="00E747AD" w:rsidP="002A69ED">
      <w:pPr>
        <w:numPr>
          <w:ilvl w:val="0"/>
          <w:numId w:val="42"/>
        </w:numPr>
        <w:spacing w:after="240" w:line="240" w:lineRule="auto"/>
        <w:ind w:left="425" w:hanging="357"/>
        <w:rPr>
          <w:rFonts w:asciiTheme="majorHAnsi" w:eastAsia="Calibri" w:hAnsiTheme="majorHAnsi" w:cstheme="majorHAnsi"/>
          <w:sz w:val="24"/>
          <w:szCs w:val="24"/>
        </w:rPr>
      </w:pPr>
      <w:r w:rsidRPr="002A69ED">
        <w:rPr>
          <w:rFonts w:asciiTheme="majorHAnsi" w:eastAsia="Calibri" w:hAnsiTheme="majorHAnsi" w:cstheme="majorHAnsi"/>
          <w:sz w:val="24"/>
          <w:szCs w:val="24"/>
        </w:rPr>
        <w:t>Should be guided by existing relevant guidelines and principles.</w:t>
      </w:r>
    </w:p>
    <w:p w14:paraId="467A78AA" w14:textId="5B8050BC" w:rsidR="00E747AD" w:rsidRPr="002A69ED" w:rsidRDefault="00E747AD" w:rsidP="002A69ED">
      <w:pPr>
        <w:numPr>
          <w:ilvl w:val="0"/>
          <w:numId w:val="42"/>
        </w:numPr>
        <w:spacing w:after="240" w:line="240" w:lineRule="auto"/>
        <w:ind w:left="425" w:hanging="357"/>
        <w:rPr>
          <w:rFonts w:asciiTheme="majorHAnsi" w:eastAsia="Calibri" w:hAnsiTheme="majorHAnsi" w:cstheme="majorHAnsi"/>
          <w:sz w:val="24"/>
          <w:szCs w:val="24"/>
        </w:rPr>
      </w:pPr>
      <w:r w:rsidRPr="002A69ED">
        <w:rPr>
          <w:rFonts w:asciiTheme="majorHAnsi" w:eastAsia="Calibri" w:hAnsiTheme="majorHAnsi" w:cstheme="majorHAnsi"/>
          <w:sz w:val="24"/>
          <w:szCs w:val="24"/>
        </w:rPr>
        <w:t>Requires ongoing data collection and research and evaluation into its outcomes and utility.</w:t>
      </w:r>
    </w:p>
    <w:p w14:paraId="4643C76C" w14:textId="5BD99FE1" w:rsidR="008F689C" w:rsidRDefault="007840B1" w:rsidP="008E7FF0">
      <w:pPr>
        <w:pStyle w:val="Style2"/>
      </w:pPr>
      <w:bookmarkStart w:id="21" w:name="_5fe5jrddax1h" w:colFirst="0" w:colLast="0"/>
      <w:bookmarkStart w:id="22" w:name="_cjnvi0sjzk0z" w:colFirst="0" w:colLast="0"/>
      <w:bookmarkStart w:id="23" w:name="_atp8453ck9aw" w:colFirst="0" w:colLast="0"/>
      <w:bookmarkStart w:id="24" w:name="_zbt7j1wtau34" w:colFirst="0" w:colLast="0"/>
      <w:bookmarkStart w:id="25" w:name="_4qh7r06zft0q" w:colFirst="0" w:colLast="0"/>
      <w:bookmarkStart w:id="26" w:name="_Toc42764231"/>
      <w:bookmarkEnd w:id="21"/>
      <w:bookmarkEnd w:id="22"/>
      <w:bookmarkEnd w:id="23"/>
      <w:bookmarkEnd w:id="24"/>
      <w:bookmarkEnd w:id="25"/>
      <w:r>
        <w:t xml:space="preserve">Principle </w:t>
      </w:r>
      <w:r w:rsidR="008F689C">
        <w:t>Considerations</w:t>
      </w:r>
      <w:bookmarkEnd w:id="26"/>
    </w:p>
    <w:p w14:paraId="7C1F7A95" w14:textId="302EE734" w:rsidR="008F689C" w:rsidRPr="00836039" w:rsidRDefault="00113CA2" w:rsidP="008F689C">
      <w:pPr>
        <w:spacing w:after="180" w:line="240" w:lineRule="auto"/>
        <w:rPr>
          <w:rFonts w:ascii="Calibri" w:eastAsia="Calibri" w:hAnsi="Calibri" w:cs="Calibri"/>
          <w:sz w:val="24"/>
          <w:szCs w:val="24"/>
        </w:rPr>
      </w:pPr>
      <w:r w:rsidRPr="00836039">
        <w:rPr>
          <w:rFonts w:ascii="Calibri" w:eastAsia="Calibri" w:hAnsi="Calibri" w:cs="Calibri"/>
          <w:sz w:val="24"/>
          <w:szCs w:val="24"/>
        </w:rPr>
        <w:t xml:space="preserve">Application of the Principles to the referred recommendations </w:t>
      </w:r>
      <w:r w:rsidR="00FA5AB9" w:rsidRPr="00836039">
        <w:rPr>
          <w:rFonts w:ascii="Calibri" w:eastAsia="Calibri" w:hAnsi="Calibri" w:cs="Calibri"/>
          <w:sz w:val="24"/>
          <w:szCs w:val="24"/>
        </w:rPr>
        <w:t>may</w:t>
      </w:r>
      <w:r w:rsidR="00E37B47" w:rsidRPr="00836039">
        <w:rPr>
          <w:rFonts w:ascii="Calibri" w:eastAsia="Calibri" w:hAnsi="Calibri" w:cs="Calibri"/>
          <w:sz w:val="24"/>
          <w:szCs w:val="24"/>
        </w:rPr>
        <w:t xml:space="preserve"> </w:t>
      </w:r>
      <w:r w:rsidRPr="00836039">
        <w:rPr>
          <w:rFonts w:ascii="Calibri" w:eastAsia="Calibri" w:hAnsi="Calibri" w:cs="Calibri"/>
          <w:sz w:val="24"/>
          <w:szCs w:val="24"/>
        </w:rPr>
        <w:t xml:space="preserve">impact other rules within the MBS. </w:t>
      </w:r>
      <w:r w:rsidR="00FA5AB9" w:rsidRPr="00836039">
        <w:rPr>
          <w:rFonts w:ascii="Calibri" w:eastAsia="Calibri" w:hAnsi="Calibri" w:cs="Calibri"/>
          <w:sz w:val="24"/>
          <w:szCs w:val="24"/>
        </w:rPr>
        <w:t xml:space="preserve">This Working Group </w:t>
      </w:r>
      <w:r w:rsidR="00FC0442" w:rsidRPr="00836039">
        <w:rPr>
          <w:rFonts w:ascii="Calibri" w:eastAsia="Calibri" w:hAnsi="Calibri" w:cs="Calibri"/>
          <w:sz w:val="24"/>
          <w:szCs w:val="24"/>
        </w:rPr>
        <w:t xml:space="preserve">do </w:t>
      </w:r>
      <w:r w:rsidR="00FA5AB9" w:rsidRPr="00836039">
        <w:rPr>
          <w:rFonts w:ascii="Calibri" w:eastAsia="Calibri" w:hAnsi="Calibri" w:cs="Calibri"/>
          <w:sz w:val="24"/>
          <w:szCs w:val="24"/>
        </w:rPr>
        <w:t>not address this in their recommendations</w:t>
      </w:r>
      <w:r w:rsidR="00FC0442" w:rsidRPr="00836039">
        <w:rPr>
          <w:rFonts w:ascii="Calibri" w:eastAsia="Calibri" w:hAnsi="Calibri" w:cs="Calibri"/>
          <w:sz w:val="24"/>
          <w:szCs w:val="24"/>
        </w:rPr>
        <w:t xml:space="preserve">. This is considered </w:t>
      </w:r>
      <w:r w:rsidR="00FA5AB9" w:rsidRPr="00836039">
        <w:rPr>
          <w:rFonts w:ascii="Calibri" w:eastAsia="Calibri" w:hAnsi="Calibri" w:cs="Calibri"/>
          <w:sz w:val="24"/>
          <w:szCs w:val="24"/>
        </w:rPr>
        <w:t>a matter for Government in respon</w:t>
      </w:r>
      <w:r w:rsidR="00FC0442" w:rsidRPr="00836039">
        <w:rPr>
          <w:rFonts w:ascii="Calibri" w:eastAsia="Calibri" w:hAnsi="Calibri" w:cs="Calibri"/>
          <w:sz w:val="24"/>
          <w:szCs w:val="24"/>
        </w:rPr>
        <w:t>ding</w:t>
      </w:r>
      <w:r w:rsidR="00FA5AB9" w:rsidRPr="00836039">
        <w:rPr>
          <w:rFonts w:ascii="Calibri" w:eastAsia="Calibri" w:hAnsi="Calibri" w:cs="Calibri"/>
          <w:sz w:val="24"/>
          <w:szCs w:val="24"/>
        </w:rPr>
        <w:t xml:space="preserve"> to the endorsed recommendations</w:t>
      </w:r>
      <w:r w:rsidR="002A69ED">
        <w:rPr>
          <w:rFonts w:ascii="Calibri" w:eastAsia="Calibri" w:hAnsi="Calibri" w:cs="Calibri"/>
          <w:sz w:val="24"/>
          <w:szCs w:val="24"/>
        </w:rPr>
        <w:t xml:space="preserve"> and addressed during any implementation</w:t>
      </w:r>
      <w:r w:rsidR="00FA5AB9" w:rsidRPr="00836039">
        <w:rPr>
          <w:rFonts w:ascii="Calibri" w:eastAsia="Calibri" w:hAnsi="Calibri" w:cs="Calibri"/>
          <w:sz w:val="24"/>
          <w:szCs w:val="24"/>
        </w:rPr>
        <w:t xml:space="preserve">. </w:t>
      </w:r>
    </w:p>
    <w:p w14:paraId="017563C3" w14:textId="77777777" w:rsidR="00BC01EE" w:rsidRDefault="00BC01EE" w:rsidP="00BC01EE">
      <w:pPr>
        <w:spacing w:after="120" w:line="240" w:lineRule="auto"/>
        <w:rPr>
          <w:rFonts w:asciiTheme="majorHAnsi" w:eastAsia="Calibri" w:hAnsiTheme="majorHAnsi" w:cs="Calibri"/>
          <w:sz w:val="24"/>
          <w:szCs w:val="24"/>
        </w:rPr>
      </w:pPr>
      <w:r w:rsidRPr="57D0558D">
        <w:rPr>
          <w:rFonts w:asciiTheme="majorHAnsi" w:eastAsia="Calibri" w:hAnsiTheme="majorHAnsi" w:cs="Calibri"/>
          <w:sz w:val="24"/>
          <w:szCs w:val="24"/>
        </w:rPr>
        <w:t>The Principles created by the Working Group do not look to increase access to rapid throughput, low value telehealth under the guise of increasing convenience. As above, the Working Group acknowledges face-to-face care as the benchmark standard of healthcare.</w:t>
      </w:r>
      <w:r>
        <w:rPr>
          <w:rFonts w:asciiTheme="majorHAnsi" w:eastAsia="Calibri" w:hAnsiTheme="majorHAnsi" w:cs="Calibri"/>
          <w:sz w:val="24"/>
          <w:szCs w:val="24"/>
        </w:rPr>
        <w:t xml:space="preserve"> However, further research and evidence is needed for the purposes of benchmarking.</w:t>
      </w:r>
    </w:p>
    <w:p w14:paraId="6F20A298" w14:textId="77777777" w:rsidR="00FA5AB9" w:rsidRDefault="00FA5AB9">
      <w:pPr>
        <w:rPr>
          <w:rFonts w:ascii="Calibri" w:eastAsia="Calibri" w:hAnsi="Calibri" w:cs="Calibri"/>
          <w:b/>
          <w:color w:val="01653F"/>
          <w:sz w:val="28"/>
          <w:szCs w:val="28"/>
        </w:rPr>
      </w:pPr>
      <w:r>
        <w:br w:type="page"/>
      </w:r>
    </w:p>
    <w:p w14:paraId="698F6789" w14:textId="04DED661" w:rsidR="006D2440" w:rsidRDefault="004D7CE6" w:rsidP="008E7FF0">
      <w:pPr>
        <w:pStyle w:val="Style2"/>
      </w:pPr>
      <w:bookmarkStart w:id="27" w:name="_Toc42764232"/>
      <w:r>
        <w:lastRenderedPageBreak/>
        <w:t>Principle 1</w:t>
      </w:r>
      <w:bookmarkEnd w:id="27"/>
      <w:r w:rsidR="00E338F6">
        <w:rPr>
          <w:noProof/>
          <w:lang w:val="en-AU"/>
        </w:rPr>
        <mc:AlternateContent>
          <mc:Choice Requires="wps">
            <w:drawing>
              <wp:inline distT="0" distB="0" distL="0" distR="0" wp14:anchorId="73D300C8" wp14:editId="548F2C32">
                <wp:extent cx="5943600" cy="510153"/>
                <wp:effectExtent l="0" t="0" r="19050" b="23495"/>
                <wp:docPr id="16" name="Text Box 16"/>
                <wp:cNvGraphicFramePr/>
                <a:graphic xmlns:a="http://schemas.openxmlformats.org/drawingml/2006/main">
                  <a:graphicData uri="http://schemas.microsoft.com/office/word/2010/wordprocessingShape">
                    <wps:wsp>
                      <wps:cNvSpPr txBox="1"/>
                      <wps:spPr>
                        <a:xfrm>
                          <a:off x="0" y="0"/>
                          <a:ext cx="5943600" cy="510153"/>
                        </a:xfrm>
                        <a:prstGeom prst="rect">
                          <a:avLst/>
                        </a:prstGeom>
                        <a:solidFill>
                          <a:schemeClr val="accent3">
                            <a:lumMod val="60000"/>
                            <a:lumOff val="40000"/>
                          </a:schemeClr>
                        </a:solidFill>
                        <a:ln w="6350">
                          <a:solidFill>
                            <a:prstClr val="black"/>
                          </a:solidFill>
                        </a:ln>
                      </wps:spPr>
                      <wps:txbx>
                        <w:txbxContent>
                          <w:p w14:paraId="0582C57C" w14:textId="77777777" w:rsidR="00E338F6" w:rsidRPr="004E4F83" w:rsidRDefault="00E338F6" w:rsidP="00E338F6">
                            <w:pPr>
                              <w:rPr>
                                <w:i/>
                                <w:sz w:val="24"/>
                                <w:szCs w:val="24"/>
                              </w:rPr>
                            </w:pPr>
                            <w:r w:rsidRPr="004E4F83">
                              <w:rPr>
                                <w:rFonts w:asciiTheme="majorHAnsi" w:eastAsiaTheme="minorEastAsia" w:hAnsiTheme="majorHAnsi" w:cstheme="majorBidi"/>
                                <w:b/>
                                <w:bCs/>
                                <w:i/>
                                <w:iCs/>
                                <w:sz w:val="24"/>
                                <w:szCs w:val="24"/>
                                <w:lang w:val="en-AU" w:eastAsia="en-US"/>
                              </w:rPr>
                              <w:t xml:space="preserve">P1 </w:t>
                            </w:r>
                            <w:r>
                              <w:rPr>
                                <w:rFonts w:asciiTheme="majorHAnsi" w:eastAsiaTheme="minorEastAsia" w:hAnsiTheme="majorHAnsi" w:cstheme="majorBidi"/>
                                <w:b/>
                                <w:bCs/>
                                <w:i/>
                                <w:iCs/>
                                <w:sz w:val="24"/>
                                <w:szCs w:val="24"/>
                                <w:lang w:val="en-AU" w:eastAsia="en-US"/>
                              </w:rPr>
                              <w:t>–</w:t>
                            </w:r>
                            <w:r w:rsidRPr="004E4F83">
                              <w:rPr>
                                <w:rFonts w:asciiTheme="majorHAnsi" w:eastAsiaTheme="minorEastAsia" w:hAnsiTheme="majorHAnsi" w:cstheme="majorBidi"/>
                                <w:b/>
                                <w:bCs/>
                                <w:i/>
                                <w:iCs/>
                                <w:sz w:val="24"/>
                                <w:szCs w:val="24"/>
                                <w:lang w:val="en-AU" w:eastAsia="en-US"/>
                              </w:rPr>
                              <w:t xml:space="preserve"> </w:t>
                            </w:r>
                            <w:r w:rsidRPr="002A69ED">
                              <w:rPr>
                                <w:rFonts w:asciiTheme="majorHAnsi" w:eastAsiaTheme="minorEastAsia" w:hAnsiTheme="majorHAnsi" w:cstheme="majorBidi"/>
                                <w:b/>
                                <w:bCs/>
                                <w:i/>
                                <w:iCs/>
                                <w:sz w:val="24"/>
                                <w:szCs w:val="24"/>
                                <w:lang w:val="en-AU" w:eastAsia="en-US"/>
                              </w:rPr>
                              <w:t>Should be patient-focused, and based on patient need, rather than geographical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D300C8" id="Text Box 16" o:spid="_x0000_s1028" type="#_x0000_t202" style="width:468pt;height:4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" fillcolor="#c2d69b [1942]" strokeweight=".5pt">
                <v:textbox>
                  <w:txbxContent>
                    <w:p w14:paraId="0582C57C" w14:textId="77777777" w:rsidR="00E338F6" w:rsidRPr="004E4F83" w:rsidRDefault="00E338F6" w:rsidP="00E338F6">
                      <w:pPr>
                        <w:rPr>
                          <w:i/>
                          <w:sz w:val="24"/>
                          <w:szCs w:val="24"/>
                        </w:rPr>
                      </w:pPr>
                      <w:r w:rsidRPr="004E4F83">
                        <w:rPr>
                          <w:rFonts w:asciiTheme="majorHAnsi" w:eastAsiaTheme="minorEastAsia" w:hAnsiTheme="majorHAnsi" w:cstheme="majorBidi"/>
                          <w:b/>
                          <w:bCs/>
                          <w:i/>
                          <w:iCs/>
                          <w:sz w:val="24"/>
                          <w:szCs w:val="24"/>
                          <w:lang w:val="en-AU" w:eastAsia="en-US"/>
                        </w:rPr>
                        <w:t xml:space="preserve">P1 </w:t>
                      </w:r>
                      <w:r>
                        <w:rPr>
                          <w:rFonts w:asciiTheme="majorHAnsi" w:eastAsiaTheme="minorEastAsia" w:hAnsiTheme="majorHAnsi" w:cstheme="majorBidi"/>
                          <w:b/>
                          <w:bCs/>
                          <w:i/>
                          <w:iCs/>
                          <w:sz w:val="24"/>
                          <w:szCs w:val="24"/>
                          <w:lang w:val="en-AU" w:eastAsia="en-US"/>
                        </w:rPr>
                        <w:t>–</w:t>
                      </w:r>
                      <w:r w:rsidRPr="004E4F83">
                        <w:rPr>
                          <w:rFonts w:asciiTheme="majorHAnsi" w:eastAsiaTheme="minorEastAsia" w:hAnsiTheme="majorHAnsi" w:cstheme="majorBidi"/>
                          <w:b/>
                          <w:bCs/>
                          <w:i/>
                          <w:iCs/>
                          <w:sz w:val="24"/>
                          <w:szCs w:val="24"/>
                          <w:lang w:val="en-AU" w:eastAsia="en-US"/>
                        </w:rPr>
                        <w:t xml:space="preserve"> </w:t>
                      </w:r>
                      <w:r w:rsidRPr="002A69ED">
                        <w:rPr>
                          <w:rFonts w:asciiTheme="majorHAnsi" w:eastAsiaTheme="minorEastAsia" w:hAnsiTheme="majorHAnsi" w:cstheme="majorBidi"/>
                          <w:b/>
                          <w:bCs/>
                          <w:i/>
                          <w:iCs/>
                          <w:sz w:val="24"/>
                          <w:szCs w:val="24"/>
                          <w:lang w:val="en-AU" w:eastAsia="en-US"/>
                        </w:rPr>
                        <w:t>Should be patient-focused, and based on patient need, rather than geographical location.</w:t>
                      </w:r>
                    </w:p>
                  </w:txbxContent>
                </v:textbox>
                <w10:anchorlock/>
              </v:shape>
            </w:pict>
          </mc:Fallback>
        </mc:AlternateContent>
      </w:r>
    </w:p>
    <w:p w14:paraId="4B628133" w14:textId="5BC766CF" w:rsidR="00B26DC6" w:rsidRPr="000F0582" w:rsidRDefault="00A606B8" w:rsidP="000F0582">
      <w:pPr>
        <w:spacing w:after="120" w:line="240" w:lineRule="auto"/>
        <w:rPr>
          <w:rFonts w:ascii="Calibri" w:eastAsia="Calibri" w:hAnsi="Calibri" w:cs="Calibri"/>
          <w:sz w:val="24"/>
          <w:szCs w:val="24"/>
        </w:rPr>
      </w:pPr>
      <w:r>
        <w:rPr>
          <w:rFonts w:ascii="Calibri" w:eastAsia="Calibri" w:hAnsi="Calibri" w:cs="Calibri"/>
          <w:sz w:val="24"/>
          <w:szCs w:val="24"/>
        </w:rPr>
        <w:t xml:space="preserve">Up until the COVID-19 pandemic response </w:t>
      </w:r>
      <w:r w:rsidR="002951AE" w:rsidRPr="000F0582">
        <w:rPr>
          <w:rFonts w:ascii="Calibri" w:eastAsia="Calibri" w:hAnsi="Calibri" w:cs="Calibri"/>
          <w:sz w:val="24"/>
          <w:szCs w:val="24"/>
        </w:rPr>
        <w:t xml:space="preserve">MBS Telehealth has been designed to provide rural, remote and regional communities with </w:t>
      </w:r>
      <w:r w:rsidR="000A4BB1">
        <w:rPr>
          <w:rFonts w:ascii="Calibri" w:eastAsia="Calibri" w:hAnsi="Calibri" w:cs="Calibri"/>
          <w:sz w:val="24"/>
          <w:szCs w:val="24"/>
        </w:rPr>
        <w:t xml:space="preserve">improved </w:t>
      </w:r>
      <w:r w:rsidR="002951AE" w:rsidRPr="000F0582">
        <w:rPr>
          <w:rFonts w:ascii="Calibri" w:eastAsia="Calibri" w:hAnsi="Calibri" w:cs="Calibri"/>
          <w:sz w:val="24"/>
          <w:szCs w:val="24"/>
        </w:rPr>
        <w:t xml:space="preserve">access to health care. </w:t>
      </w:r>
      <w:r w:rsidR="00B26DC6" w:rsidRPr="000F0582">
        <w:rPr>
          <w:rFonts w:ascii="Calibri" w:eastAsia="Calibri" w:hAnsi="Calibri" w:cs="Calibri"/>
          <w:sz w:val="24"/>
          <w:szCs w:val="24"/>
        </w:rPr>
        <w:t xml:space="preserve">This Principle </w:t>
      </w:r>
      <w:r w:rsidR="002951AE" w:rsidRPr="000F0582">
        <w:rPr>
          <w:rFonts w:ascii="Calibri" w:eastAsia="Calibri" w:hAnsi="Calibri" w:cs="Calibri"/>
          <w:sz w:val="24"/>
          <w:szCs w:val="24"/>
        </w:rPr>
        <w:t>addresses th</w:t>
      </w:r>
      <w:r w:rsidR="00605A29">
        <w:rPr>
          <w:rFonts w:ascii="Calibri" w:eastAsia="Calibri" w:hAnsi="Calibri" w:cs="Calibri"/>
          <w:sz w:val="24"/>
          <w:szCs w:val="24"/>
        </w:rPr>
        <w:t xml:space="preserve">e </w:t>
      </w:r>
      <w:r w:rsidR="002951AE" w:rsidRPr="000F0582">
        <w:rPr>
          <w:rFonts w:ascii="Calibri" w:eastAsia="Calibri" w:hAnsi="Calibri" w:cs="Calibri"/>
          <w:sz w:val="24"/>
          <w:szCs w:val="24"/>
        </w:rPr>
        <w:t>historic</w:t>
      </w:r>
      <w:r w:rsidR="00605A29">
        <w:rPr>
          <w:rFonts w:ascii="Calibri" w:eastAsia="Calibri" w:hAnsi="Calibri" w:cs="Calibri"/>
          <w:sz w:val="24"/>
          <w:szCs w:val="24"/>
        </w:rPr>
        <w:t>, largely geographic</w:t>
      </w:r>
      <w:r w:rsidR="002951AE" w:rsidRPr="000F0582">
        <w:rPr>
          <w:rFonts w:ascii="Calibri" w:eastAsia="Calibri" w:hAnsi="Calibri" w:cs="Calibri"/>
          <w:sz w:val="24"/>
          <w:szCs w:val="24"/>
        </w:rPr>
        <w:t xml:space="preserve"> approach to </w:t>
      </w:r>
      <w:r w:rsidR="00B26DC6" w:rsidRPr="000F0582">
        <w:rPr>
          <w:rFonts w:ascii="Calibri" w:eastAsia="Calibri" w:hAnsi="Calibri" w:cs="Calibri"/>
          <w:sz w:val="24"/>
          <w:szCs w:val="24"/>
        </w:rPr>
        <w:t>restrictions for claiming MBS Telehealth items</w:t>
      </w:r>
      <w:r w:rsidR="0033739A">
        <w:rPr>
          <w:rFonts w:ascii="Calibri" w:eastAsia="Calibri" w:hAnsi="Calibri" w:cs="Calibri"/>
          <w:sz w:val="24"/>
          <w:szCs w:val="24"/>
        </w:rPr>
        <w:t xml:space="preserve"> to one </w:t>
      </w:r>
      <w:r w:rsidR="00B26DC6" w:rsidRPr="000F0582">
        <w:rPr>
          <w:rFonts w:ascii="Calibri" w:eastAsia="Calibri" w:hAnsi="Calibri" w:cs="Calibri"/>
          <w:sz w:val="24"/>
          <w:szCs w:val="24"/>
        </w:rPr>
        <w:t xml:space="preserve">based on patient need. This is </w:t>
      </w:r>
      <w:r w:rsidR="0033739A">
        <w:rPr>
          <w:rFonts w:ascii="Calibri" w:eastAsia="Calibri" w:hAnsi="Calibri" w:cs="Calibri"/>
          <w:sz w:val="24"/>
          <w:szCs w:val="24"/>
        </w:rPr>
        <w:t xml:space="preserve">consistent </w:t>
      </w:r>
      <w:r w:rsidR="00B26DC6" w:rsidRPr="000F0582">
        <w:rPr>
          <w:rFonts w:ascii="Calibri" w:eastAsia="Calibri" w:hAnsi="Calibri" w:cs="Calibri"/>
          <w:sz w:val="24"/>
          <w:szCs w:val="24"/>
        </w:rPr>
        <w:t>with the MBS Review goal of affordable and universal access for all Australians.</w:t>
      </w:r>
      <w:r w:rsidR="000F0582" w:rsidRPr="000F0582">
        <w:rPr>
          <w:rFonts w:ascii="Calibri" w:eastAsia="Calibri" w:hAnsi="Calibri" w:cs="Calibri"/>
          <w:sz w:val="24"/>
          <w:szCs w:val="24"/>
        </w:rPr>
        <w:t xml:space="preserve"> This principle additionally </w:t>
      </w:r>
      <w:proofErr w:type="spellStart"/>
      <w:r w:rsidR="000F0582" w:rsidRPr="000F0582">
        <w:rPr>
          <w:rFonts w:ascii="Calibri" w:eastAsia="Calibri" w:hAnsi="Calibri" w:cs="Calibri"/>
          <w:sz w:val="24"/>
          <w:szCs w:val="24"/>
        </w:rPr>
        <w:t>recognises</w:t>
      </w:r>
      <w:proofErr w:type="spellEnd"/>
      <w:r w:rsidR="000F0582" w:rsidRPr="000F0582">
        <w:rPr>
          <w:rFonts w:ascii="Calibri" w:eastAsia="Calibri" w:hAnsi="Calibri" w:cs="Calibri"/>
          <w:sz w:val="24"/>
          <w:szCs w:val="24"/>
        </w:rPr>
        <w:t xml:space="preserve"> that MBS Telehealth services should be patient led, not provider led where possible and support an informed consent model.</w:t>
      </w:r>
    </w:p>
    <w:p w14:paraId="25C66BF5" w14:textId="7EB5A00D" w:rsidR="00B26DC6" w:rsidRPr="000F0582" w:rsidRDefault="00B26DC6" w:rsidP="000F0582">
      <w:pPr>
        <w:spacing w:after="120" w:line="240" w:lineRule="auto"/>
        <w:rPr>
          <w:rFonts w:ascii="Calibri" w:eastAsia="Calibri" w:hAnsi="Calibri" w:cs="Calibri"/>
          <w:sz w:val="24"/>
          <w:szCs w:val="24"/>
        </w:rPr>
      </w:pPr>
      <w:r w:rsidRPr="000F0582">
        <w:rPr>
          <w:rFonts w:ascii="Calibri" w:eastAsia="Calibri" w:hAnsi="Calibri" w:cs="Calibri"/>
          <w:sz w:val="24"/>
          <w:szCs w:val="24"/>
        </w:rPr>
        <w:t xml:space="preserve">MBS Telehealth items </w:t>
      </w:r>
      <w:r w:rsidR="007445C4">
        <w:rPr>
          <w:rFonts w:ascii="Calibri" w:eastAsia="Calibri" w:hAnsi="Calibri" w:cs="Calibri"/>
          <w:sz w:val="24"/>
          <w:szCs w:val="24"/>
        </w:rPr>
        <w:t xml:space="preserve">currently </w:t>
      </w:r>
      <w:r w:rsidRPr="000F0582">
        <w:rPr>
          <w:rFonts w:ascii="Calibri" w:eastAsia="Calibri" w:hAnsi="Calibri" w:cs="Calibri"/>
          <w:sz w:val="24"/>
          <w:szCs w:val="24"/>
        </w:rPr>
        <w:t>universally include geography as a condition for claiming</w:t>
      </w:r>
      <w:r w:rsidR="00A53C50" w:rsidRPr="000F0582">
        <w:rPr>
          <w:rFonts w:ascii="Calibri" w:eastAsia="Calibri" w:hAnsi="Calibri" w:cs="Calibri"/>
          <w:sz w:val="24"/>
          <w:szCs w:val="24"/>
        </w:rPr>
        <w:t xml:space="preserve"> i.e</w:t>
      </w:r>
      <w:r w:rsidR="00FE377A">
        <w:rPr>
          <w:rFonts w:ascii="Calibri" w:eastAsia="Calibri" w:hAnsi="Calibri" w:cs="Calibri"/>
          <w:sz w:val="24"/>
          <w:szCs w:val="24"/>
        </w:rPr>
        <w:t>.</w:t>
      </w:r>
      <w:r w:rsidR="00A53C50" w:rsidRPr="000F0582">
        <w:rPr>
          <w:rFonts w:ascii="Calibri" w:eastAsia="Calibri" w:hAnsi="Calibri" w:cs="Calibri"/>
          <w:sz w:val="24"/>
          <w:szCs w:val="24"/>
        </w:rPr>
        <w:t xml:space="preserve"> requiring</w:t>
      </w:r>
      <w:r w:rsidR="002A69ED">
        <w:rPr>
          <w:rFonts w:ascii="Calibri" w:eastAsia="Calibri" w:hAnsi="Calibri" w:cs="Calibri"/>
          <w:sz w:val="24"/>
          <w:szCs w:val="24"/>
        </w:rPr>
        <w:t xml:space="preserve"> that; </w:t>
      </w:r>
      <w:r w:rsidRPr="000F0582">
        <w:rPr>
          <w:rFonts w:ascii="Calibri" w:eastAsia="Calibri" w:hAnsi="Calibri" w:cs="Calibri"/>
          <w:sz w:val="24"/>
          <w:szCs w:val="24"/>
        </w:rPr>
        <w:t>“[the patient] must be located in a telehealth eligible area at the time of the attendance; and [the patient must be] located at least 15km by road from the specialist.”</w:t>
      </w:r>
    </w:p>
    <w:p w14:paraId="48286E7E" w14:textId="77777777" w:rsidR="00B26DC6" w:rsidRPr="000F0582" w:rsidRDefault="00B26DC6" w:rsidP="000F0582">
      <w:pPr>
        <w:spacing w:after="120" w:line="240" w:lineRule="auto"/>
        <w:rPr>
          <w:rFonts w:ascii="Calibri" w:eastAsia="Calibri" w:hAnsi="Calibri" w:cs="Calibri"/>
          <w:sz w:val="24"/>
          <w:szCs w:val="24"/>
        </w:rPr>
      </w:pPr>
      <w:r w:rsidRPr="000F0582">
        <w:rPr>
          <w:rFonts w:ascii="Calibri" w:eastAsia="Calibri" w:hAnsi="Calibri" w:cs="Calibri"/>
          <w:sz w:val="24"/>
          <w:szCs w:val="24"/>
        </w:rPr>
        <w:t>Telehealth eligible areas are currently defined as Australian Standard Geographical Classification Remoteness Area (ASGC-RA) classifications, 2-5 in some instances, or Modified Monash Model (MMM) 4-7 in others. Telehealth Eligible Service Areas are defined at www.mbsonline.gov.au/ telehealth eligible areas.</w:t>
      </w:r>
    </w:p>
    <w:p w14:paraId="5223C578" w14:textId="77777777" w:rsidR="00B26DC6" w:rsidRPr="000F0582" w:rsidRDefault="00B26DC6" w:rsidP="000F0582">
      <w:pPr>
        <w:spacing w:after="120" w:line="240" w:lineRule="auto"/>
        <w:rPr>
          <w:rFonts w:ascii="Calibri" w:eastAsia="Calibri" w:hAnsi="Calibri" w:cs="Calibri"/>
          <w:sz w:val="24"/>
          <w:szCs w:val="24"/>
        </w:rPr>
      </w:pPr>
      <w:r w:rsidRPr="000F0582">
        <w:rPr>
          <w:rFonts w:ascii="Calibri" w:eastAsia="Calibri" w:hAnsi="Calibri" w:cs="Calibri"/>
          <w:sz w:val="24"/>
          <w:szCs w:val="24"/>
        </w:rPr>
        <w:t>The Working Group believes that MBS Telehealth should be available to patients who have a clinical need for this type of service and where face-to-face consultations are not possible. Access to MBS Telehealth by primary care and specialist providers allows:</w:t>
      </w:r>
    </w:p>
    <w:p w14:paraId="415B6370" w14:textId="77777777" w:rsidR="00B26DC6" w:rsidRPr="000F0582" w:rsidRDefault="00B26DC6" w:rsidP="002A69ED">
      <w:pPr>
        <w:numPr>
          <w:ilvl w:val="0"/>
          <w:numId w:val="63"/>
        </w:numPr>
        <w:spacing w:after="60" w:line="240" w:lineRule="auto"/>
        <w:ind w:left="714" w:hanging="357"/>
        <w:rPr>
          <w:rFonts w:ascii="Calibri" w:eastAsia="Calibri" w:hAnsi="Calibri" w:cs="Calibri"/>
          <w:sz w:val="24"/>
          <w:szCs w:val="24"/>
        </w:rPr>
      </w:pPr>
      <w:r w:rsidRPr="000F0582">
        <w:rPr>
          <w:rFonts w:ascii="Calibri" w:eastAsia="Calibri" w:hAnsi="Calibri" w:cs="Calibri"/>
          <w:sz w:val="24"/>
          <w:szCs w:val="24"/>
        </w:rPr>
        <w:t>Patients who need care to receive it in a timely manner; and,</w:t>
      </w:r>
    </w:p>
    <w:p w14:paraId="6A02872B" w14:textId="77777777" w:rsidR="00B26DC6" w:rsidRPr="000F0582" w:rsidRDefault="00B26DC6" w:rsidP="002A69ED">
      <w:pPr>
        <w:numPr>
          <w:ilvl w:val="0"/>
          <w:numId w:val="63"/>
        </w:numPr>
        <w:spacing w:after="60" w:line="240" w:lineRule="auto"/>
        <w:ind w:left="714" w:hanging="357"/>
        <w:rPr>
          <w:rFonts w:ascii="Calibri" w:eastAsia="Calibri" w:hAnsi="Calibri" w:cs="Calibri"/>
          <w:sz w:val="24"/>
          <w:szCs w:val="24"/>
        </w:rPr>
      </w:pPr>
      <w:r w:rsidRPr="000F0582">
        <w:rPr>
          <w:rFonts w:ascii="Calibri" w:eastAsia="Calibri" w:hAnsi="Calibri" w:cs="Calibri"/>
          <w:sz w:val="24"/>
          <w:szCs w:val="24"/>
        </w:rPr>
        <w:t>Access for remote and isolated patients; and</w:t>
      </w:r>
    </w:p>
    <w:p w14:paraId="7E086165" w14:textId="5DCD2B91" w:rsidR="00B26DC6" w:rsidRPr="000F0582" w:rsidRDefault="00B26DC6" w:rsidP="002A69ED">
      <w:pPr>
        <w:numPr>
          <w:ilvl w:val="0"/>
          <w:numId w:val="63"/>
        </w:numPr>
        <w:spacing w:after="60" w:line="240" w:lineRule="auto"/>
        <w:ind w:left="714" w:hanging="357"/>
        <w:rPr>
          <w:rFonts w:ascii="Calibri" w:eastAsia="Calibri" w:hAnsi="Calibri" w:cs="Calibri"/>
          <w:sz w:val="24"/>
          <w:szCs w:val="24"/>
        </w:rPr>
      </w:pPr>
      <w:r w:rsidRPr="000F0582">
        <w:rPr>
          <w:rFonts w:ascii="Calibri" w:eastAsia="Calibri" w:hAnsi="Calibri" w:cs="Calibri"/>
          <w:sz w:val="24"/>
          <w:szCs w:val="24"/>
        </w:rPr>
        <w:t>Access in the afterhours environment.</w:t>
      </w:r>
    </w:p>
    <w:p w14:paraId="228D6BA9" w14:textId="399E669D" w:rsidR="00B26DC6" w:rsidRPr="000F0582" w:rsidRDefault="00B26DC6" w:rsidP="000F0582">
      <w:pPr>
        <w:spacing w:after="120" w:line="240" w:lineRule="auto"/>
        <w:rPr>
          <w:rFonts w:ascii="Calibri" w:eastAsia="Calibri" w:hAnsi="Calibri" w:cs="Calibri"/>
          <w:sz w:val="24"/>
          <w:szCs w:val="24"/>
        </w:rPr>
      </w:pPr>
      <w:r w:rsidRPr="000F0582">
        <w:rPr>
          <w:rFonts w:ascii="Calibri" w:eastAsia="Calibri" w:hAnsi="Calibri" w:cs="Calibri"/>
          <w:sz w:val="24"/>
          <w:szCs w:val="24"/>
        </w:rPr>
        <w:t xml:space="preserve">The Working Group </w:t>
      </w:r>
      <w:proofErr w:type="spellStart"/>
      <w:r w:rsidRPr="000F0582">
        <w:rPr>
          <w:rFonts w:ascii="Calibri" w:eastAsia="Calibri" w:hAnsi="Calibri" w:cs="Calibri"/>
          <w:sz w:val="24"/>
          <w:szCs w:val="24"/>
        </w:rPr>
        <w:t>recognises</w:t>
      </w:r>
      <w:proofErr w:type="spellEnd"/>
      <w:r w:rsidRPr="000F0582">
        <w:rPr>
          <w:rFonts w:ascii="Calibri" w:eastAsia="Calibri" w:hAnsi="Calibri" w:cs="Calibri"/>
          <w:sz w:val="24"/>
          <w:szCs w:val="24"/>
        </w:rPr>
        <w:t xml:space="preserve"> the important role MBS Telehealth plays in delivering services to rural, remote and regional Australians and </w:t>
      </w:r>
      <w:proofErr w:type="spellStart"/>
      <w:r w:rsidRPr="000F0582">
        <w:rPr>
          <w:rFonts w:ascii="Calibri" w:eastAsia="Calibri" w:hAnsi="Calibri" w:cs="Calibri"/>
          <w:sz w:val="24"/>
          <w:szCs w:val="24"/>
        </w:rPr>
        <w:t>emphasises</w:t>
      </w:r>
      <w:proofErr w:type="spellEnd"/>
      <w:r w:rsidRPr="000F0582">
        <w:rPr>
          <w:rFonts w:ascii="Calibri" w:eastAsia="Calibri" w:hAnsi="Calibri" w:cs="Calibri"/>
          <w:sz w:val="24"/>
          <w:szCs w:val="24"/>
        </w:rPr>
        <w:t xml:space="preserve"> this Principle is in no way designed to reduce these services. Access to MBS Telehealth should not be based solely on geographic location of the patient</w:t>
      </w:r>
      <w:r w:rsidR="00A53C50" w:rsidRPr="000F0582">
        <w:rPr>
          <w:rFonts w:ascii="Calibri" w:eastAsia="Calibri" w:hAnsi="Calibri" w:cs="Calibri"/>
          <w:sz w:val="24"/>
          <w:szCs w:val="24"/>
        </w:rPr>
        <w:t xml:space="preserve"> and provider</w:t>
      </w:r>
      <w:r w:rsidRPr="000F0582">
        <w:rPr>
          <w:rFonts w:ascii="Calibri" w:eastAsia="Calibri" w:hAnsi="Calibri" w:cs="Calibri"/>
          <w:sz w:val="24"/>
          <w:szCs w:val="24"/>
        </w:rPr>
        <w:t>, but this should not prohibit access either.</w:t>
      </w:r>
    </w:p>
    <w:p w14:paraId="13EFF710" w14:textId="491AE6D5" w:rsidR="00680CB8" w:rsidRPr="000F0582" w:rsidRDefault="00680CB8" w:rsidP="000F0582">
      <w:pPr>
        <w:spacing w:after="120" w:line="240" w:lineRule="auto"/>
        <w:rPr>
          <w:rFonts w:ascii="Calibri" w:eastAsia="Calibri" w:hAnsi="Calibri" w:cs="Calibri"/>
          <w:sz w:val="24"/>
          <w:szCs w:val="24"/>
        </w:rPr>
      </w:pPr>
      <w:r w:rsidRPr="000F0582">
        <w:rPr>
          <w:rFonts w:ascii="Calibri" w:eastAsia="Calibri" w:hAnsi="Calibri" w:cs="Calibri"/>
          <w:sz w:val="24"/>
          <w:szCs w:val="24"/>
          <w:u w:val="single"/>
        </w:rPr>
        <w:t xml:space="preserve">MBS Telehealth will still be geographically restricted to Australia. </w:t>
      </w:r>
      <w:r w:rsidRPr="000F0582">
        <w:rPr>
          <w:rFonts w:ascii="Calibri" w:eastAsia="Calibri" w:hAnsi="Calibri" w:cs="Calibri"/>
          <w:sz w:val="24"/>
          <w:szCs w:val="24"/>
        </w:rPr>
        <w:t>There is still a role for a broad geographic restriction that MBS Telehealth services should be rendered entirely within Australia, with both the patient and practitioner located in Australia.</w:t>
      </w:r>
    </w:p>
    <w:p w14:paraId="7CAAD981" w14:textId="0ED2B135" w:rsidR="00B26DC6" w:rsidRPr="000F0582" w:rsidRDefault="00680CB8" w:rsidP="000F0582">
      <w:pPr>
        <w:spacing w:after="120" w:line="240" w:lineRule="auto"/>
        <w:rPr>
          <w:rFonts w:ascii="Calibri" w:eastAsia="Calibri" w:hAnsi="Calibri" w:cs="Calibri"/>
          <w:b/>
          <w:sz w:val="24"/>
          <w:szCs w:val="24"/>
        </w:rPr>
      </w:pPr>
      <w:r w:rsidRPr="000F0582">
        <w:rPr>
          <w:rFonts w:ascii="Calibri" w:eastAsia="Calibri" w:hAnsi="Calibri" w:cs="Calibri"/>
          <w:b/>
          <w:sz w:val="24"/>
          <w:szCs w:val="24"/>
        </w:rPr>
        <w:t xml:space="preserve">Further </w:t>
      </w:r>
      <w:r w:rsidR="00B26DC6" w:rsidRPr="000F0582">
        <w:rPr>
          <w:rFonts w:ascii="Calibri" w:eastAsia="Calibri" w:hAnsi="Calibri" w:cs="Calibri"/>
          <w:b/>
          <w:sz w:val="24"/>
          <w:szCs w:val="24"/>
        </w:rPr>
        <w:t>Consideration</w:t>
      </w:r>
    </w:p>
    <w:p w14:paraId="2F18D0AA" w14:textId="10A5A2E4" w:rsidR="00B26DC6" w:rsidRPr="002A69ED" w:rsidRDefault="00680CB8" w:rsidP="002A69ED">
      <w:pPr>
        <w:spacing w:after="120" w:line="240" w:lineRule="auto"/>
        <w:rPr>
          <w:rFonts w:ascii="Calibri" w:eastAsia="Calibri" w:hAnsi="Calibri" w:cs="Calibri"/>
          <w:sz w:val="24"/>
          <w:szCs w:val="24"/>
        </w:rPr>
      </w:pPr>
      <w:r w:rsidRPr="002A69ED">
        <w:rPr>
          <w:rFonts w:ascii="Calibri" w:eastAsia="Calibri" w:hAnsi="Calibri" w:cs="Calibri"/>
          <w:sz w:val="24"/>
          <w:szCs w:val="24"/>
        </w:rPr>
        <w:t>W</w:t>
      </w:r>
      <w:r w:rsidR="00B26DC6" w:rsidRPr="002A69ED">
        <w:rPr>
          <w:rFonts w:ascii="Calibri" w:eastAsia="Calibri" w:hAnsi="Calibri" w:cs="Calibri"/>
          <w:sz w:val="24"/>
          <w:szCs w:val="24"/>
        </w:rPr>
        <w:t>ork will need to be undertaken to define “patient need”</w:t>
      </w:r>
      <w:r w:rsidRPr="002A69ED">
        <w:rPr>
          <w:rFonts w:ascii="Calibri" w:eastAsia="Calibri" w:hAnsi="Calibri" w:cs="Calibri"/>
          <w:sz w:val="24"/>
          <w:szCs w:val="24"/>
        </w:rPr>
        <w:t xml:space="preserve">. This </w:t>
      </w:r>
      <w:r w:rsidR="00A53C50" w:rsidRPr="002A69ED">
        <w:rPr>
          <w:rFonts w:ascii="Calibri" w:eastAsia="Calibri" w:hAnsi="Calibri" w:cs="Calibri"/>
          <w:sz w:val="24"/>
          <w:szCs w:val="24"/>
        </w:rPr>
        <w:t xml:space="preserve">should </w:t>
      </w:r>
      <w:r w:rsidR="00B26DC6" w:rsidRPr="002A69ED">
        <w:rPr>
          <w:rFonts w:ascii="Calibri" w:eastAsia="Calibri" w:hAnsi="Calibri" w:cs="Calibri"/>
          <w:sz w:val="24"/>
          <w:szCs w:val="24"/>
        </w:rPr>
        <w:t>not be defined by the patient or doctor alone, rather it must be a shared judgement</w:t>
      </w:r>
      <w:r w:rsidR="00A53C50" w:rsidRPr="002A69ED">
        <w:rPr>
          <w:rFonts w:ascii="Calibri" w:eastAsia="Calibri" w:hAnsi="Calibri" w:cs="Calibri"/>
          <w:sz w:val="24"/>
          <w:szCs w:val="24"/>
        </w:rPr>
        <w:t xml:space="preserve"> that supports an informed consent model of agreement</w:t>
      </w:r>
      <w:r w:rsidR="00B26DC6" w:rsidRPr="002A69ED">
        <w:rPr>
          <w:rFonts w:ascii="Calibri" w:eastAsia="Calibri" w:hAnsi="Calibri" w:cs="Calibri"/>
          <w:sz w:val="24"/>
          <w:szCs w:val="24"/>
        </w:rPr>
        <w:t xml:space="preserve">. </w:t>
      </w:r>
    </w:p>
    <w:p w14:paraId="6609D030" w14:textId="7D34649F" w:rsidR="00B26DC6" w:rsidRPr="002A69ED" w:rsidRDefault="00B26DC6" w:rsidP="002A69ED">
      <w:pPr>
        <w:spacing w:after="120" w:line="240" w:lineRule="auto"/>
        <w:rPr>
          <w:rFonts w:ascii="Calibri" w:eastAsia="Calibri" w:hAnsi="Calibri" w:cs="Calibri"/>
          <w:sz w:val="24"/>
          <w:szCs w:val="24"/>
        </w:rPr>
      </w:pPr>
      <w:r w:rsidRPr="002A69ED">
        <w:rPr>
          <w:rFonts w:ascii="Calibri" w:eastAsia="Calibri" w:hAnsi="Calibri" w:cs="Calibri"/>
          <w:sz w:val="24"/>
          <w:szCs w:val="24"/>
          <w:u w:val="single"/>
        </w:rPr>
        <w:t>Risk</w:t>
      </w:r>
      <w:r w:rsidR="006174AC" w:rsidRPr="002A69ED">
        <w:rPr>
          <w:rFonts w:ascii="Calibri" w:eastAsia="Calibri" w:hAnsi="Calibri" w:cs="Calibri"/>
          <w:sz w:val="24"/>
          <w:szCs w:val="24"/>
        </w:rPr>
        <w:t xml:space="preserve">: </w:t>
      </w:r>
      <w:r w:rsidRPr="002A69ED">
        <w:rPr>
          <w:rFonts w:ascii="Calibri" w:eastAsia="Calibri" w:hAnsi="Calibri" w:cs="Calibri"/>
          <w:sz w:val="24"/>
          <w:szCs w:val="24"/>
        </w:rPr>
        <w:t>There is a risk</w:t>
      </w:r>
      <w:r w:rsidR="003F54C6" w:rsidRPr="002A69ED">
        <w:rPr>
          <w:rFonts w:ascii="Calibri" w:eastAsia="Calibri" w:hAnsi="Calibri" w:cs="Calibri"/>
          <w:sz w:val="24"/>
          <w:szCs w:val="24"/>
        </w:rPr>
        <w:t xml:space="preserve"> that business that focus on high turnover and throughput</w:t>
      </w:r>
      <w:r w:rsidRPr="002A69ED">
        <w:rPr>
          <w:rFonts w:ascii="Calibri" w:eastAsia="Calibri" w:hAnsi="Calibri" w:cs="Calibri"/>
          <w:sz w:val="24"/>
          <w:szCs w:val="24"/>
        </w:rPr>
        <w:t xml:space="preserve"> may generate excessive and/or inappropriate services, rather than responding to genuine patient need for an alternative to face-to-face care. An additional risk are providers entering the market promoting MBS Telehealth services without sufficient links to established, face-to-face services. </w:t>
      </w:r>
      <w:r w:rsidR="000F0582" w:rsidRPr="002A69ED">
        <w:rPr>
          <w:rFonts w:ascii="Calibri" w:eastAsia="Calibri" w:hAnsi="Calibri" w:cs="Calibri"/>
          <w:sz w:val="24"/>
          <w:szCs w:val="24"/>
        </w:rPr>
        <w:t>Mitigation will need to address this through preventative compliance strategies where possible.</w:t>
      </w:r>
    </w:p>
    <w:p w14:paraId="2FAD4405" w14:textId="77777777" w:rsidR="000F735F" w:rsidRDefault="000F735F" w:rsidP="000F0582">
      <w:pPr>
        <w:spacing w:after="120" w:line="240" w:lineRule="auto"/>
        <w:rPr>
          <w:rFonts w:ascii="Calibri" w:eastAsia="Calibri" w:hAnsi="Calibri" w:cs="Calibri"/>
          <w:b/>
          <w:sz w:val="24"/>
          <w:szCs w:val="24"/>
        </w:rPr>
      </w:pPr>
    </w:p>
    <w:p w14:paraId="467457DD" w14:textId="77777777" w:rsidR="000F735F" w:rsidRDefault="000F735F" w:rsidP="000F0582">
      <w:pPr>
        <w:spacing w:after="120" w:line="240" w:lineRule="auto"/>
        <w:rPr>
          <w:rFonts w:ascii="Calibri" w:eastAsia="Calibri" w:hAnsi="Calibri" w:cs="Calibri"/>
          <w:b/>
          <w:sz w:val="24"/>
          <w:szCs w:val="24"/>
        </w:rPr>
      </w:pPr>
    </w:p>
    <w:p w14:paraId="7B141112" w14:textId="0BD0059F" w:rsidR="00B26DC6" w:rsidRPr="000F0582" w:rsidRDefault="00B26DC6" w:rsidP="000F0582">
      <w:pPr>
        <w:spacing w:after="120" w:line="240" w:lineRule="auto"/>
        <w:rPr>
          <w:rFonts w:ascii="Calibri" w:eastAsia="Calibri" w:hAnsi="Calibri" w:cs="Calibri"/>
          <w:b/>
          <w:sz w:val="24"/>
          <w:szCs w:val="24"/>
        </w:rPr>
      </w:pPr>
      <w:r w:rsidRPr="000F0582">
        <w:rPr>
          <w:rFonts w:ascii="Calibri" w:eastAsia="Calibri" w:hAnsi="Calibri" w:cs="Calibri"/>
          <w:b/>
          <w:sz w:val="24"/>
          <w:szCs w:val="24"/>
        </w:rPr>
        <w:lastRenderedPageBreak/>
        <w:t>Case Example</w:t>
      </w:r>
    </w:p>
    <w:p w14:paraId="3E2A1F4E" w14:textId="3DE748D4" w:rsidR="00C74735" w:rsidRDefault="00B26DC6" w:rsidP="00C74735">
      <w:pPr>
        <w:spacing w:after="120" w:line="240" w:lineRule="auto"/>
        <w:rPr>
          <w:rFonts w:ascii="Calibri" w:eastAsia="Calibri" w:hAnsi="Calibri" w:cs="Calibri"/>
          <w:sz w:val="24"/>
          <w:szCs w:val="24"/>
        </w:rPr>
      </w:pPr>
      <w:r w:rsidRPr="000F0582">
        <w:rPr>
          <w:rFonts w:ascii="Calibri" w:eastAsia="Calibri" w:hAnsi="Calibri" w:cs="Calibri"/>
          <w:sz w:val="24"/>
          <w:szCs w:val="24"/>
        </w:rPr>
        <w:t xml:space="preserve">A patient who lives in a metropolitan area but is a </w:t>
      </w:r>
      <w:proofErr w:type="gramStart"/>
      <w:r w:rsidRPr="000F0582">
        <w:rPr>
          <w:rFonts w:ascii="Calibri" w:eastAsia="Calibri" w:hAnsi="Calibri" w:cs="Calibri"/>
          <w:sz w:val="24"/>
          <w:szCs w:val="24"/>
        </w:rPr>
        <w:t>two hour</w:t>
      </w:r>
      <w:proofErr w:type="gramEnd"/>
      <w:r w:rsidRPr="000F0582">
        <w:rPr>
          <w:rFonts w:ascii="Calibri" w:eastAsia="Calibri" w:hAnsi="Calibri" w:cs="Calibri"/>
          <w:sz w:val="24"/>
          <w:szCs w:val="24"/>
        </w:rPr>
        <w:t xml:space="preserve"> drive away from an appointment that can take place over the phone </w:t>
      </w:r>
      <w:r w:rsidR="002B06AB">
        <w:rPr>
          <w:rFonts w:ascii="Calibri" w:eastAsia="Calibri" w:hAnsi="Calibri" w:cs="Calibri"/>
          <w:sz w:val="24"/>
          <w:szCs w:val="24"/>
        </w:rPr>
        <w:t>should be able to receive a</w:t>
      </w:r>
      <w:r w:rsidR="00C2607E">
        <w:rPr>
          <w:rFonts w:ascii="Calibri" w:eastAsia="Calibri" w:hAnsi="Calibri" w:cs="Calibri"/>
          <w:sz w:val="24"/>
          <w:szCs w:val="24"/>
        </w:rPr>
        <w:t xml:space="preserve"> quality</w:t>
      </w:r>
      <w:r w:rsidR="002B06AB">
        <w:rPr>
          <w:rFonts w:ascii="Calibri" w:eastAsia="Calibri" w:hAnsi="Calibri" w:cs="Calibri"/>
          <w:sz w:val="24"/>
          <w:szCs w:val="24"/>
        </w:rPr>
        <w:t xml:space="preserve"> clinically appropriate </w:t>
      </w:r>
      <w:r w:rsidR="00D875A9">
        <w:rPr>
          <w:rFonts w:ascii="Calibri" w:eastAsia="Calibri" w:hAnsi="Calibri" w:cs="Calibri"/>
          <w:sz w:val="24"/>
          <w:szCs w:val="24"/>
        </w:rPr>
        <w:t>service</w:t>
      </w:r>
      <w:r w:rsidRPr="000F0582">
        <w:rPr>
          <w:rFonts w:ascii="Calibri" w:eastAsia="Calibri" w:hAnsi="Calibri" w:cs="Calibri"/>
          <w:sz w:val="24"/>
          <w:szCs w:val="24"/>
        </w:rPr>
        <w:t>.</w:t>
      </w:r>
      <w:bookmarkStart w:id="28" w:name="_mnh96k8frzzt" w:colFirst="0" w:colLast="0"/>
      <w:bookmarkEnd w:id="28"/>
    </w:p>
    <w:p w14:paraId="2363F553" w14:textId="4CD851F0" w:rsidR="00572D6C" w:rsidRDefault="00572D6C" w:rsidP="00C74735">
      <w:pPr>
        <w:spacing w:after="120" w:line="240" w:lineRule="auto"/>
        <w:rPr>
          <w:rFonts w:ascii="Calibri" w:eastAsia="Calibri" w:hAnsi="Calibri" w:cs="Calibri"/>
          <w:sz w:val="24"/>
          <w:szCs w:val="24"/>
        </w:rPr>
      </w:pPr>
      <w:r>
        <w:rPr>
          <w:rFonts w:ascii="Calibri" w:eastAsia="Calibri" w:hAnsi="Calibri" w:cs="Calibri"/>
          <w:sz w:val="24"/>
          <w:szCs w:val="24"/>
        </w:rPr>
        <w:t xml:space="preserve">A patient with serious mental health issues well </w:t>
      </w:r>
      <w:proofErr w:type="spellStart"/>
      <w:r>
        <w:rPr>
          <w:rFonts w:ascii="Calibri" w:eastAsia="Calibri" w:hAnsi="Calibri" w:cs="Calibri"/>
          <w:sz w:val="24"/>
          <w:szCs w:val="24"/>
        </w:rPr>
        <w:t>know</w:t>
      </w:r>
      <w:proofErr w:type="spellEnd"/>
      <w:r>
        <w:rPr>
          <w:rFonts w:ascii="Calibri" w:eastAsia="Calibri" w:hAnsi="Calibri" w:cs="Calibri"/>
          <w:sz w:val="24"/>
          <w:szCs w:val="24"/>
        </w:rPr>
        <w:t xml:space="preserve"> to a psychiatrist should be able to access psychiatric care from that psychiatrist even though both </w:t>
      </w:r>
      <w:proofErr w:type="gramStart"/>
      <w:r>
        <w:rPr>
          <w:rFonts w:ascii="Calibri" w:eastAsia="Calibri" w:hAnsi="Calibri" w:cs="Calibri"/>
          <w:sz w:val="24"/>
          <w:szCs w:val="24"/>
        </w:rPr>
        <w:t>are located in</w:t>
      </w:r>
      <w:proofErr w:type="gramEnd"/>
      <w:r>
        <w:rPr>
          <w:rFonts w:ascii="Calibri" w:eastAsia="Calibri" w:hAnsi="Calibri" w:cs="Calibri"/>
          <w:sz w:val="24"/>
          <w:szCs w:val="24"/>
        </w:rPr>
        <w:t xml:space="preserve"> the city.</w:t>
      </w:r>
    </w:p>
    <w:p w14:paraId="6CE1B146" w14:textId="77777777" w:rsidR="00147901" w:rsidRPr="00C74735" w:rsidRDefault="00147901" w:rsidP="00C74735">
      <w:pPr>
        <w:spacing w:after="120" w:line="240" w:lineRule="auto"/>
        <w:rPr>
          <w:rFonts w:ascii="Calibri" w:eastAsia="Calibri" w:hAnsi="Calibri" w:cs="Calibri"/>
          <w:sz w:val="24"/>
          <w:szCs w:val="24"/>
        </w:rPr>
      </w:pPr>
    </w:p>
    <w:p w14:paraId="3C1A011A" w14:textId="401DD6C1" w:rsidR="00147901" w:rsidRDefault="00147901" w:rsidP="00147901">
      <w:pPr>
        <w:pStyle w:val="Style2"/>
      </w:pPr>
      <w:bookmarkStart w:id="29" w:name="_Toc42764233"/>
      <w:r>
        <w:t>Principle 2</w:t>
      </w:r>
      <w:bookmarkEnd w:id="29"/>
      <w:r w:rsidR="00E338F6">
        <w:rPr>
          <w:noProof/>
          <w:lang w:val="en-AU"/>
        </w:rPr>
        <mc:AlternateContent>
          <mc:Choice Requires="wps">
            <w:drawing>
              <wp:inline distT="0" distB="0" distL="0" distR="0" wp14:anchorId="53C488E6" wp14:editId="09668DB9">
                <wp:extent cx="5943600" cy="557153"/>
                <wp:effectExtent l="0" t="0" r="19050" b="14605"/>
                <wp:docPr id="21" name="Text Box 21"/>
                <wp:cNvGraphicFramePr/>
                <a:graphic xmlns:a="http://schemas.openxmlformats.org/drawingml/2006/main">
                  <a:graphicData uri="http://schemas.microsoft.com/office/word/2010/wordprocessingShape">
                    <wps:wsp>
                      <wps:cNvSpPr txBox="1"/>
                      <wps:spPr>
                        <a:xfrm>
                          <a:off x="0" y="0"/>
                          <a:ext cx="5943600" cy="557153"/>
                        </a:xfrm>
                        <a:prstGeom prst="rect">
                          <a:avLst/>
                        </a:prstGeom>
                        <a:solidFill>
                          <a:schemeClr val="accent3">
                            <a:lumMod val="60000"/>
                            <a:lumOff val="40000"/>
                          </a:schemeClr>
                        </a:solidFill>
                        <a:ln w="6350">
                          <a:solidFill>
                            <a:prstClr val="black"/>
                          </a:solidFill>
                        </a:ln>
                      </wps:spPr>
                      <wps:txbx>
                        <w:txbxContent>
                          <w:p w14:paraId="54EDC14F" w14:textId="77777777" w:rsidR="00E338F6" w:rsidRPr="00773743" w:rsidRDefault="00E338F6" w:rsidP="00E338F6">
                            <w:pPr>
                              <w:rPr>
                                <w:rFonts w:asciiTheme="majorHAnsi" w:hAnsiTheme="majorHAnsi" w:cstheme="majorHAnsi"/>
                                <w:b/>
                                <w:i/>
                                <w:sz w:val="24"/>
                                <w:szCs w:val="24"/>
                              </w:rPr>
                            </w:pPr>
                            <w:r>
                              <w:rPr>
                                <w:rFonts w:asciiTheme="majorHAnsi" w:hAnsiTheme="majorHAnsi" w:cstheme="majorHAnsi"/>
                                <w:b/>
                                <w:i/>
                                <w:sz w:val="24"/>
                                <w:szCs w:val="24"/>
                              </w:rPr>
                              <w:t xml:space="preserve">P2 – </w:t>
                            </w:r>
                            <w:r w:rsidRPr="00147901">
                              <w:rPr>
                                <w:rFonts w:asciiTheme="majorHAnsi" w:hAnsiTheme="majorHAnsi" w:cstheme="majorHAnsi"/>
                                <w:b/>
                                <w:i/>
                                <w:sz w:val="24"/>
                                <w:szCs w:val="24"/>
                              </w:rPr>
                              <w:t>Must support and facilitate services that are clinically safe and efficacious for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C488E6" id="Text Box 21" o:spid="_x0000_s1029" type="#_x0000_t202" style="width:468pt;height:4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" fillcolor="#c2d69b [1942]" strokeweight=".5pt">
                <v:textbox>
                  <w:txbxContent>
                    <w:p w14:paraId="54EDC14F" w14:textId="77777777" w:rsidR="00E338F6" w:rsidRPr="00773743" w:rsidRDefault="00E338F6" w:rsidP="00E338F6">
                      <w:pPr>
                        <w:rPr>
                          <w:rFonts w:asciiTheme="majorHAnsi" w:hAnsiTheme="majorHAnsi" w:cstheme="majorHAnsi"/>
                          <w:b/>
                          <w:i/>
                          <w:sz w:val="24"/>
                          <w:szCs w:val="24"/>
                        </w:rPr>
                      </w:pPr>
                      <w:r>
                        <w:rPr>
                          <w:rFonts w:asciiTheme="majorHAnsi" w:hAnsiTheme="majorHAnsi" w:cstheme="majorHAnsi"/>
                          <w:b/>
                          <w:i/>
                          <w:sz w:val="24"/>
                          <w:szCs w:val="24"/>
                        </w:rPr>
                        <w:t xml:space="preserve">P2 – </w:t>
                      </w:r>
                      <w:r w:rsidRPr="00147901">
                        <w:rPr>
                          <w:rFonts w:asciiTheme="majorHAnsi" w:hAnsiTheme="majorHAnsi" w:cstheme="majorHAnsi"/>
                          <w:b/>
                          <w:i/>
                          <w:sz w:val="24"/>
                          <w:szCs w:val="24"/>
                        </w:rPr>
                        <w:t>Must support and facilitate services that are clinically safe and efficacious for patients.</w:t>
                      </w:r>
                    </w:p>
                  </w:txbxContent>
                </v:textbox>
                <w10:anchorlock/>
              </v:shape>
            </w:pict>
          </mc:Fallback>
        </mc:AlternateContent>
      </w:r>
    </w:p>
    <w:p w14:paraId="4CA9098D" w14:textId="77777777" w:rsidR="00147901" w:rsidRPr="0092506E" w:rsidRDefault="00147901" w:rsidP="00147901">
      <w:pPr>
        <w:spacing w:after="120" w:line="240" w:lineRule="auto"/>
        <w:rPr>
          <w:rFonts w:asciiTheme="majorHAnsi" w:eastAsia="Calibri" w:hAnsiTheme="majorHAnsi" w:cstheme="majorHAnsi"/>
          <w:sz w:val="24"/>
          <w:szCs w:val="24"/>
        </w:rPr>
      </w:pPr>
      <w:r>
        <w:rPr>
          <w:rFonts w:asciiTheme="majorHAnsi" w:eastAsia="Calibri" w:hAnsiTheme="majorHAnsi" w:cstheme="majorHAnsi"/>
          <w:sz w:val="24"/>
          <w:szCs w:val="24"/>
        </w:rPr>
        <w:t>The premise being that t</w:t>
      </w:r>
      <w:r w:rsidRPr="0092506E">
        <w:rPr>
          <w:rFonts w:asciiTheme="majorHAnsi" w:eastAsia="Calibri" w:hAnsiTheme="majorHAnsi" w:cstheme="majorHAnsi"/>
          <w:sz w:val="24"/>
          <w:szCs w:val="24"/>
        </w:rPr>
        <w:t xml:space="preserve">he system enables </w:t>
      </w:r>
      <w:r>
        <w:rPr>
          <w:rFonts w:asciiTheme="majorHAnsi" w:eastAsia="Calibri" w:hAnsiTheme="majorHAnsi" w:cstheme="majorHAnsi"/>
          <w:sz w:val="24"/>
          <w:szCs w:val="24"/>
        </w:rPr>
        <w:t xml:space="preserve">clinically </w:t>
      </w:r>
      <w:r w:rsidRPr="0092506E">
        <w:rPr>
          <w:rFonts w:asciiTheme="majorHAnsi" w:eastAsia="Calibri" w:hAnsiTheme="majorHAnsi" w:cstheme="majorHAnsi"/>
          <w:sz w:val="24"/>
          <w:szCs w:val="24"/>
        </w:rPr>
        <w:t>appropriate health care to be provided via different methods without the method compromising the quality or appropriateness of the health services.</w:t>
      </w:r>
    </w:p>
    <w:p w14:paraId="0BE04E87" w14:textId="77777777" w:rsidR="00147901" w:rsidRDefault="00147901" w:rsidP="00147901">
      <w:pPr>
        <w:spacing w:after="120"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Ongoing review of </w:t>
      </w:r>
      <w:r w:rsidRPr="00773743">
        <w:rPr>
          <w:rFonts w:asciiTheme="majorHAnsi" w:eastAsia="Calibri" w:hAnsiTheme="majorHAnsi" w:cstheme="majorHAnsi"/>
          <w:sz w:val="24"/>
          <w:szCs w:val="24"/>
        </w:rPr>
        <w:t xml:space="preserve">MBS Telehealth </w:t>
      </w:r>
      <w:r>
        <w:rPr>
          <w:rFonts w:asciiTheme="majorHAnsi" w:eastAsia="Calibri" w:hAnsiTheme="majorHAnsi" w:cstheme="majorHAnsi"/>
          <w:sz w:val="24"/>
          <w:szCs w:val="24"/>
        </w:rPr>
        <w:t xml:space="preserve">will be required to confirm that it has resulted in quality clinical outcomes and is acceptable to both patients and providers and </w:t>
      </w:r>
      <w:r w:rsidRPr="00773743">
        <w:rPr>
          <w:rFonts w:asciiTheme="majorHAnsi" w:eastAsia="Calibri" w:hAnsiTheme="majorHAnsi" w:cstheme="majorHAnsi"/>
          <w:sz w:val="24"/>
          <w:szCs w:val="24"/>
        </w:rPr>
        <w:t xml:space="preserve">must have provision for an appropriate compliance framework </w:t>
      </w:r>
      <w:r>
        <w:rPr>
          <w:rFonts w:asciiTheme="majorHAnsi" w:eastAsia="Calibri" w:hAnsiTheme="majorHAnsi" w:cstheme="majorHAnsi"/>
          <w:sz w:val="24"/>
          <w:szCs w:val="24"/>
        </w:rPr>
        <w:t xml:space="preserve">for </w:t>
      </w:r>
      <w:r w:rsidRPr="00773743">
        <w:rPr>
          <w:rFonts w:asciiTheme="majorHAnsi" w:eastAsia="Calibri" w:hAnsiTheme="majorHAnsi" w:cstheme="majorHAnsi"/>
          <w:sz w:val="24"/>
          <w:szCs w:val="24"/>
        </w:rPr>
        <w:t>detection of risk and abuse cases</w:t>
      </w:r>
      <w:r>
        <w:rPr>
          <w:rFonts w:asciiTheme="majorHAnsi" w:eastAsia="Calibri" w:hAnsiTheme="majorHAnsi" w:cstheme="majorHAnsi"/>
          <w:sz w:val="24"/>
          <w:szCs w:val="24"/>
        </w:rPr>
        <w:t>.</w:t>
      </w:r>
      <w:r w:rsidRPr="00773743">
        <w:rPr>
          <w:rFonts w:asciiTheme="majorHAnsi" w:eastAsia="Calibri" w:hAnsiTheme="majorHAnsi" w:cstheme="majorHAnsi"/>
          <w:sz w:val="24"/>
          <w:szCs w:val="24"/>
        </w:rPr>
        <w:t xml:space="preserve"> </w:t>
      </w:r>
    </w:p>
    <w:p w14:paraId="37313E86" w14:textId="77777777" w:rsidR="00147901" w:rsidRPr="00371DCB" w:rsidRDefault="00147901" w:rsidP="00147901">
      <w:pPr>
        <w:spacing w:after="180" w:line="240" w:lineRule="auto"/>
        <w:rPr>
          <w:rFonts w:asciiTheme="majorHAnsi" w:eastAsia="Calibri" w:hAnsiTheme="majorHAnsi" w:cstheme="majorHAnsi"/>
          <w:sz w:val="24"/>
          <w:szCs w:val="24"/>
        </w:rPr>
      </w:pPr>
      <w:r w:rsidRPr="00371DCB">
        <w:rPr>
          <w:rFonts w:asciiTheme="majorHAnsi" w:eastAsia="Calibri" w:hAnsiTheme="majorHAnsi" w:cstheme="majorHAnsi"/>
          <w:sz w:val="24"/>
          <w:szCs w:val="24"/>
        </w:rPr>
        <w:t xml:space="preserve">There could be measures of patient reported outcomes (Proms) and patient reported experience measures (Prems) incorporated into new MBS telehealth service outcomes measures to assess against Value and the Quadruple Aim. </w:t>
      </w:r>
    </w:p>
    <w:p w14:paraId="77387E55" w14:textId="77777777" w:rsidR="00147901" w:rsidRDefault="00147901" w:rsidP="00147901">
      <w:pPr>
        <w:spacing w:after="120" w:line="240" w:lineRule="auto"/>
        <w:rPr>
          <w:rFonts w:asciiTheme="majorHAnsi" w:eastAsia="Calibri" w:hAnsiTheme="majorHAnsi" w:cstheme="majorHAnsi"/>
          <w:sz w:val="24"/>
          <w:szCs w:val="24"/>
        </w:rPr>
      </w:pPr>
      <w:proofErr w:type="spellStart"/>
      <w:r>
        <w:rPr>
          <w:rFonts w:asciiTheme="majorHAnsi" w:eastAsia="Calibri" w:hAnsiTheme="majorHAnsi" w:cstheme="majorHAnsi"/>
          <w:sz w:val="24"/>
          <w:szCs w:val="24"/>
        </w:rPr>
        <w:t>C</w:t>
      </w:r>
      <w:r w:rsidRPr="00AE5B93">
        <w:rPr>
          <w:rFonts w:asciiTheme="majorHAnsi" w:eastAsia="Calibri" w:hAnsiTheme="majorHAnsi" w:cstheme="majorHAnsi"/>
          <w:sz w:val="24"/>
          <w:szCs w:val="24"/>
        </w:rPr>
        <w:t>ognisant</w:t>
      </w:r>
      <w:proofErr w:type="spellEnd"/>
      <w:r w:rsidRPr="00AE5B93">
        <w:rPr>
          <w:rFonts w:asciiTheme="majorHAnsi" w:eastAsia="Calibri" w:hAnsiTheme="majorHAnsi" w:cstheme="majorHAnsi"/>
          <w:sz w:val="24"/>
          <w:szCs w:val="24"/>
        </w:rPr>
        <w:t xml:space="preserve"> of the fact there are a </w:t>
      </w:r>
      <w:r>
        <w:rPr>
          <w:rFonts w:asciiTheme="majorHAnsi" w:eastAsia="Calibri" w:hAnsiTheme="majorHAnsi" w:cstheme="majorHAnsi"/>
          <w:sz w:val="24"/>
          <w:szCs w:val="24"/>
        </w:rPr>
        <w:t xml:space="preserve">range of methods for provision </w:t>
      </w:r>
      <w:r w:rsidRPr="00AE5B93">
        <w:rPr>
          <w:rFonts w:asciiTheme="majorHAnsi" w:eastAsia="Calibri" w:hAnsiTheme="majorHAnsi" w:cstheme="majorHAnsi"/>
          <w:sz w:val="24"/>
          <w:szCs w:val="24"/>
        </w:rPr>
        <w:t>of Telehealth</w:t>
      </w:r>
      <w:r>
        <w:rPr>
          <w:rFonts w:asciiTheme="majorHAnsi" w:eastAsia="Calibri" w:hAnsiTheme="majorHAnsi" w:cstheme="majorHAnsi"/>
          <w:sz w:val="24"/>
          <w:szCs w:val="24"/>
        </w:rPr>
        <w:t xml:space="preserve"> and Telemedicine</w:t>
      </w:r>
      <w:r w:rsidRPr="00AE5B93">
        <w:rPr>
          <w:rFonts w:asciiTheme="majorHAnsi" w:eastAsia="Calibri" w:hAnsiTheme="majorHAnsi" w:cstheme="majorHAnsi"/>
          <w:sz w:val="24"/>
          <w:szCs w:val="24"/>
        </w:rPr>
        <w:t xml:space="preserve"> at present</w:t>
      </w:r>
      <w:r>
        <w:rPr>
          <w:rFonts w:asciiTheme="majorHAnsi" w:eastAsia="Calibri" w:hAnsiTheme="majorHAnsi" w:cstheme="majorHAnsi"/>
          <w:sz w:val="24"/>
          <w:szCs w:val="24"/>
        </w:rPr>
        <w:t>, t</w:t>
      </w:r>
      <w:r w:rsidRPr="00773743">
        <w:rPr>
          <w:rFonts w:asciiTheme="majorHAnsi" w:eastAsia="Calibri" w:hAnsiTheme="majorHAnsi" w:cstheme="majorHAnsi"/>
          <w:sz w:val="24"/>
          <w:szCs w:val="24"/>
        </w:rPr>
        <w:t xml:space="preserve">he Working Group </w:t>
      </w:r>
      <w:r>
        <w:rPr>
          <w:rFonts w:asciiTheme="majorHAnsi" w:eastAsia="Calibri" w:hAnsiTheme="majorHAnsi" w:cstheme="majorHAnsi"/>
          <w:sz w:val="24"/>
          <w:szCs w:val="24"/>
        </w:rPr>
        <w:t xml:space="preserve">is </w:t>
      </w:r>
      <w:r w:rsidRPr="00773743">
        <w:rPr>
          <w:rFonts w:asciiTheme="majorHAnsi" w:eastAsia="Calibri" w:hAnsiTheme="majorHAnsi" w:cstheme="majorHAnsi"/>
          <w:sz w:val="24"/>
          <w:szCs w:val="24"/>
        </w:rPr>
        <w:t>not specif</w:t>
      </w:r>
      <w:r>
        <w:rPr>
          <w:rFonts w:asciiTheme="majorHAnsi" w:eastAsia="Calibri" w:hAnsiTheme="majorHAnsi" w:cstheme="majorHAnsi"/>
          <w:sz w:val="24"/>
          <w:szCs w:val="24"/>
        </w:rPr>
        <w:t>ying</w:t>
      </w:r>
      <w:r w:rsidRPr="00773743">
        <w:rPr>
          <w:rFonts w:asciiTheme="majorHAnsi" w:eastAsia="Calibri" w:hAnsiTheme="majorHAnsi" w:cstheme="majorHAnsi"/>
          <w:sz w:val="24"/>
          <w:szCs w:val="24"/>
        </w:rPr>
        <w:t xml:space="preserve"> </w:t>
      </w:r>
      <w:r>
        <w:rPr>
          <w:rFonts w:asciiTheme="majorHAnsi" w:eastAsia="Calibri" w:hAnsiTheme="majorHAnsi" w:cstheme="majorHAnsi"/>
          <w:sz w:val="24"/>
          <w:szCs w:val="24"/>
        </w:rPr>
        <w:t>the</w:t>
      </w:r>
      <w:r w:rsidRPr="00773743">
        <w:rPr>
          <w:rFonts w:asciiTheme="majorHAnsi" w:eastAsia="Calibri" w:hAnsiTheme="majorHAnsi" w:cstheme="majorHAnsi"/>
          <w:sz w:val="24"/>
          <w:szCs w:val="24"/>
        </w:rPr>
        <w:t xml:space="preserve"> technology platforms </w:t>
      </w:r>
      <w:r>
        <w:rPr>
          <w:rFonts w:asciiTheme="majorHAnsi" w:eastAsia="Calibri" w:hAnsiTheme="majorHAnsi" w:cstheme="majorHAnsi"/>
          <w:sz w:val="24"/>
          <w:szCs w:val="24"/>
        </w:rPr>
        <w:t xml:space="preserve">that should </w:t>
      </w:r>
      <w:r w:rsidRPr="00773743">
        <w:rPr>
          <w:rFonts w:asciiTheme="majorHAnsi" w:eastAsia="Calibri" w:hAnsiTheme="majorHAnsi" w:cstheme="majorHAnsi"/>
          <w:sz w:val="24"/>
          <w:szCs w:val="24"/>
        </w:rPr>
        <w:t>be used for MBS Telehealth</w:t>
      </w:r>
      <w:r>
        <w:rPr>
          <w:rFonts w:asciiTheme="majorHAnsi" w:eastAsia="Calibri" w:hAnsiTheme="majorHAnsi" w:cstheme="majorHAnsi"/>
          <w:sz w:val="24"/>
          <w:szCs w:val="24"/>
        </w:rPr>
        <w:t>,</w:t>
      </w:r>
      <w:r w:rsidRPr="00773743">
        <w:rPr>
          <w:rFonts w:asciiTheme="majorHAnsi" w:eastAsia="Calibri" w:hAnsiTheme="majorHAnsi" w:cstheme="majorHAnsi"/>
          <w:sz w:val="24"/>
          <w:szCs w:val="24"/>
        </w:rPr>
        <w:t xml:space="preserve"> so long as </w:t>
      </w:r>
      <w:r w:rsidRPr="0081278E">
        <w:rPr>
          <w:rFonts w:asciiTheme="majorHAnsi" w:eastAsia="Calibri" w:hAnsiTheme="majorHAnsi" w:cstheme="majorHAnsi"/>
          <w:sz w:val="24"/>
          <w:szCs w:val="24"/>
        </w:rPr>
        <w:t>the technology meet</w:t>
      </w:r>
      <w:r>
        <w:rPr>
          <w:rFonts w:asciiTheme="majorHAnsi" w:eastAsia="Calibri" w:hAnsiTheme="majorHAnsi" w:cstheme="majorHAnsi"/>
          <w:sz w:val="24"/>
          <w:szCs w:val="24"/>
        </w:rPr>
        <w:t>s</w:t>
      </w:r>
      <w:r w:rsidRPr="0081278E">
        <w:rPr>
          <w:rFonts w:asciiTheme="majorHAnsi" w:eastAsia="Calibri" w:hAnsiTheme="majorHAnsi" w:cstheme="majorHAnsi"/>
          <w:sz w:val="24"/>
          <w:szCs w:val="24"/>
        </w:rPr>
        <w:t xml:space="preserve"> legislated clinical, privacy, </w:t>
      </w:r>
      <w:r>
        <w:rPr>
          <w:rFonts w:asciiTheme="majorHAnsi" w:eastAsia="Calibri" w:hAnsiTheme="majorHAnsi" w:cstheme="majorHAnsi"/>
          <w:sz w:val="24"/>
          <w:szCs w:val="24"/>
        </w:rPr>
        <w:t xml:space="preserve">safety, security  and </w:t>
      </w:r>
      <w:r w:rsidRPr="0081278E">
        <w:rPr>
          <w:rFonts w:asciiTheme="majorHAnsi" w:eastAsia="Calibri" w:hAnsiTheme="majorHAnsi" w:cstheme="majorHAnsi"/>
          <w:sz w:val="24"/>
          <w:szCs w:val="24"/>
        </w:rPr>
        <w:t>evidentiary standards.</w:t>
      </w:r>
      <w:r>
        <w:rPr>
          <w:rFonts w:asciiTheme="majorHAnsi" w:eastAsia="Calibri" w:hAnsiTheme="majorHAnsi" w:cstheme="majorHAnsi"/>
          <w:sz w:val="24"/>
          <w:szCs w:val="24"/>
        </w:rPr>
        <w:t xml:space="preserve"> This should </w:t>
      </w:r>
      <w:r w:rsidRPr="00C812AC">
        <w:rPr>
          <w:rFonts w:asciiTheme="majorHAnsi" w:eastAsia="Calibri" w:hAnsiTheme="majorHAnsi" w:cstheme="majorHAnsi"/>
          <w:sz w:val="24"/>
          <w:szCs w:val="24"/>
        </w:rPr>
        <w:t>acknowledge the medico-legal implications of patient data transfer</w:t>
      </w:r>
      <w:r>
        <w:rPr>
          <w:rFonts w:asciiTheme="majorHAnsi" w:eastAsia="Calibri" w:hAnsiTheme="majorHAnsi" w:cstheme="majorHAnsi"/>
          <w:sz w:val="24"/>
          <w:szCs w:val="24"/>
        </w:rPr>
        <w:t xml:space="preserve"> and </w:t>
      </w:r>
      <w:r w:rsidRPr="00C812AC">
        <w:rPr>
          <w:rFonts w:asciiTheme="majorHAnsi" w:eastAsia="Calibri" w:hAnsiTheme="majorHAnsi" w:cstheme="majorHAnsi"/>
          <w:sz w:val="24"/>
          <w:szCs w:val="24"/>
        </w:rPr>
        <w:t xml:space="preserve">adhere to </w:t>
      </w:r>
      <w:r w:rsidRPr="00C812AC">
        <w:rPr>
          <w:rFonts w:asciiTheme="majorHAnsi" w:eastAsia="Calibri" w:hAnsiTheme="majorHAnsi" w:cstheme="majorHAnsi"/>
          <w:i/>
          <w:sz w:val="24"/>
          <w:szCs w:val="24"/>
        </w:rPr>
        <w:t>the MBS Privacy Checklist for Telehealth Services</w:t>
      </w:r>
      <w:r>
        <w:rPr>
          <w:rFonts w:ascii="Calibri" w:eastAsia="Calibri" w:hAnsi="Calibri" w:cs="Calibri"/>
          <w:vertAlign w:val="superscript"/>
        </w:rPr>
        <w:footnoteReference w:id="11"/>
      </w:r>
      <w:r>
        <w:rPr>
          <w:rFonts w:ascii="Calibri" w:eastAsia="Calibri" w:hAnsi="Calibri" w:cs="Calibri"/>
        </w:rPr>
        <w:t>.</w:t>
      </w:r>
    </w:p>
    <w:p w14:paraId="4D53730C" w14:textId="77777777" w:rsidR="00147901" w:rsidRPr="0081278E" w:rsidRDefault="00147901" w:rsidP="00147901">
      <w:pPr>
        <w:spacing w:after="120" w:line="240" w:lineRule="auto"/>
        <w:rPr>
          <w:rFonts w:asciiTheme="majorHAnsi" w:eastAsia="Calibri" w:hAnsiTheme="majorHAnsi" w:cstheme="majorHAnsi"/>
          <w:sz w:val="24"/>
          <w:szCs w:val="24"/>
        </w:rPr>
      </w:pPr>
      <w:r w:rsidRPr="00773743">
        <w:rPr>
          <w:rFonts w:asciiTheme="majorHAnsi" w:eastAsia="Calibri" w:hAnsiTheme="majorHAnsi" w:cstheme="majorHAnsi"/>
          <w:sz w:val="24"/>
          <w:szCs w:val="24"/>
        </w:rPr>
        <w:t xml:space="preserve">All MBS </w:t>
      </w:r>
      <w:r w:rsidRPr="0081278E">
        <w:rPr>
          <w:rFonts w:asciiTheme="majorHAnsi" w:eastAsia="Calibri" w:hAnsiTheme="majorHAnsi" w:cstheme="majorHAnsi"/>
          <w:sz w:val="24"/>
          <w:szCs w:val="24"/>
        </w:rPr>
        <w:t xml:space="preserve">Telehealth items need to include written records and communication consistent with </w:t>
      </w:r>
      <w:hyperlink r:id="rId20" w:history="1">
        <w:r w:rsidRPr="0081278E">
          <w:rPr>
            <w:rFonts w:asciiTheme="majorHAnsi" w:hAnsiTheme="majorHAnsi" w:cstheme="majorHAnsi"/>
            <w:sz w:val="24"/>
            <w:szCs w:val="24"/>
          </w:rPr>
          <w:t>GN.15.39</w:t>
        </w:r>
      </w:hyperlink>
      <w:r w:rsidRPr="0081278E">
        <w:rPr>
          <w:rFonts w:asciiTheme="majorHAnsi" w:hAnsiTheme="majorHAnsi" w:cstheme="majorHAnsi"/>
          <w:sz w:val="24"/>
          <w:szCs w:val="24"/>
        </w:rPr>
        <w:t xml:space="preserve"> of the MBS.</w:t>
      </w:r>
      <w:r w:rsidRPr="0081278E">
        <w:rPr>
          <w:rFonts w:asciiTheme="majorHAnsi" w:eastAsia="Calibri" w:hAnsiTheme="majorHAnsi" w:cstheme="majorHAnsi"/>
          <w:sz w:val="24"/>
          <w:szCs w:val="24"/>
        </w:rPr>
        <w:t xml:space="preserve"> All practitioners who provide, or initiate, a service for which a Medicare benefit is payable, should ensure they maintain </w:t>
      </w:r>
      <w:r w:rsidRPr="0081278E">
        <w:rPr>
          <w:rFonts w:asciiTheme="majorHAnsi" w:eastAsia="Calibri" w:hAnsiTheme="majorHAnsi" w:cstheme="majorHAnsi"/>
          <w:b/>
          <w:bCs/>
          <w:sz w:val="24"/>
          <w:szCs w:val="24"/>
        </w:rPr>
        <w:t>adequate</w:t>
      </w:r>
      <w:r w:rsidRPr="0081278E">
        <w:rPr>
          <w:rFonts w:asciiTheme="majorHAnsi" w:eastAsia="Calibri" w:hAnsiTheme="majorHAnsi" w:cstheme="majorHAnsi"/>
          <w:sz w:val="24"/>
          <w:szCs w:val="24"/>
        </w:rPr>
        <w:t xml:space="preserve"> and </w:t>
      </w:r>
      <w:r w:rsidRPr="0081278E">
        <w:rPr>
          <w:rFonts w:asciiTheme="majorHAnsi" w:eastAsia="Calibri" w:hAnsiTheme="majorHAnsi" w:cstheme="majorHAnsi"/>
          <w:b/>
          <w:bCs/>
          <w:sz w:val="24"/>
          <w:szCs w:val="24"/>
        </w:rPr>
        <w:t>contemporaneous</w:t>
      </w:r>
      <w:r w:rsidRPr="0081278E">
        <w:rPr>
          <w:rFonts w:asciiTheme="majorHAnsi" w:eastAsia="Calibri" w:hAnsiTheme="majorHAnsi" w:cstheme="majorHAnsi"/>
          <w:sz w:val="24"/>
          <w:szCs w:val="24"/>
        </w:rPr>
        <w:t xml:space="preserve"> records. </w:t>
      </w:r>
    </w:p>
    <w:p w14:paraId="4A019182" w14:textId="77777777" w:rsidR="00147901" w:rsidRPr="00F62A6E" w:rsidRDefault="00147901" w:rsidP="00147901">
      <w:pPr>
        <w:spacing w:after="120" w:line="240" w:lineRule="auto"/>
        <w:rPr>
          <w:rFonts w:ascii="Calibri" w:eastAsia="Calibri" w:hAnsi="Calibri" w:cs="Calibri"/>
          <w:b/>
        </w:rPr>
      </w:pPr>
      <w:r w:rsidRPr="00F62A6E">
        <w:rPr>
          <w:rFonts w:ascii="Calibri" w:eastAsia="Calibri" w:hAnsi="Calibri" w:cs="Calibri"/>
          <w:b/>
        </w:rPr>
        <w:t>CASE Example:</w:t>
      </w:r>
    </w:p>
    <w:p w14:paraId="1CCBE8B9" w14:textId="77777777" w:rsidR="00572D6C" w:rsidRDefault="00572D6C" w:rsidP="004E0D87">
      <w:pPr>
        <w:spacing w:after="120" w:line="240" w:lineRule="auto"/>
        <w:rPr>
          <w:rFonts w:asciiTheme="majorHAnsi" w:eastAsia="Calibri" w:hAnsiTheme="majorHAnsi" w:cstheme="majorHAnsi"/>
          <w:sz w:val="24"/>
          <w:szCs w:val="24"/>
        </w:rPr>
      </w:pPr>
      <w:bookmarkStart w:id="30" w:name="_128mczrc3zz7" w:colFirst="0" w:colLast="0"/>
      <w:bookmarkStart w:id="31" w:name="_pycf54o5o9rw" w:colFirst="0" w:colLast="0"/>
      <w:bookmarkStart w:id="32" w:name="_uys08se1hzxz" w:colFirst="0" w:colLast="0"/>
      <w:bookmarkStart w:id="33" w:name="_q25sihq9fzeq" w:colFirst="0" w:colLast="0"/>
      <w:bookmarkEnd w:id="30"/>
      <w:bookmarkEnd w:id="31"/>
      <w:bookmarkEnd w:id="32"/>
      <w:bookmarkEnd w:id="33"/>
      <w:r w:rsidRPr="00276AAC">
        <w:rPr>
          <w:rFonts w:asciiTheme="majorHAnsi" w:eastAsia="Calibri" w:hAnsiTheme="majorHAnsi" w:cstheme="majorHAnsi"/>
          <w:sz w:val="24"/>
          <w:szCs w:val="24"/>
        </w:rPr>
        <w:t xml:space="preserve">A GP provides a GP Management Plan review to a well know patient by a video consultation.  The patient’s blood sugar, blood pressure and weight are shared with the doctor.  The GP </w:t>
      </w:r>
      <w:r w:rsidRPr="00572D6C">
        <w:rPr>
          <w:rFonts w:asciiTheme="majorHAnsi" w:eastAsia="Calibri" w:hAnsiTheme="majorHAnsi" w:cstheme="majorHAnsi"/>
          <w:sz w:val="24"/>
          <w:szCs w:val="24"/>
        </w:rPr>
        <w:t>can</w:t>
      </w:r>
      <w:r w:rsidRPr="00276AAC">
        <w:rPr>
          <w:rFonts w:asciiTheme="majorHAnsi" w:eastAsia="Calibri" w:hAnsiTheme="majorHAnsi" w:cstheme="majorHAnsi"/>
          <w:sz w:val="24"/>
          <w:szCs w:val="24"/>
        </w:rPr>
        <w:t xml:space="preserve"> give appropriate clinical advice and update the practice records, provide prescriptions and updated referral when required.  </w:t>
      </w:r>
    </w:p>
    <w:p w14:paraId="3B50006E" w14:textId="77777777" w:rsidR="00572D6C" w:rsidRDefault="00572D6C" w:rsidP="004E0D87">
      <w:pPr>
        <w:spacing w:after="120" w:line="240" w:lineRule="auto"/>
        <w:rPr>
          <w:rFonts w:asciiTheme="majorHAnsi" w:eastAsia="Calibri" w:hAnsiTheme="majorHAnsi" w:cstheme="majorHAnsi"/>
          <w:sz w:val="24"/>
          <w:szCs w:val="24"/>
        </w:rPr>
      </w:pPr>
    </w:p>
    <w:p w14:paraId="45215EEA" w14:textId="1992A563" w:rsidR="00B26DC6" w:rsidRPr="00276AAC" w:rsidRDefault="00572D6C" w:rsidP="004E0D87">
      <w:pPr>
        <w:spacing w:after="120" w:line="240" w:lineRule="auto"/>
        <w:rPr>
          <w:rFonts w:asciiTheme="majorHAnsi" w:hAnsiTheme="majorHAnsi"/>
          <w:sz w:val="24"/>
        </w:rPr>
      </w:pPr>
      <w:r>
        <w:rPr>
          <w:rFonts w:asciiTheme="majorHAnsi" w:eastAsia="Calibri" w:hAnsiTheme="majorHAnsi" w:cstheme="majorHAnsi"/>
          <w:sz w:val="24"/>
          <w:szCs w:val="24"/>
        </w:rPr>
        <w:t xml:space="preserve">The same patient three months later follows up with their regular </w:t>
      </w:r>
      <w:proofErr w:type="spellStart"/>
      <w:r>
        <w:rPr>
          <w:rFonts w:asciiTheme="majorHAnsi" w:eastAsia="Calibri" w:hAnsiTheme="majorHAnsi" w:cstheme="majorHAnsi"/>
          <w:sz w:val="24"/>
          <w:szCs w:val="24"/>
        </w:rPr>
        <w:t>endocrinologst</w:t>
      </w:r>
      <w:proofErr w:type="spellEnd"/>
      <w:r>
        <w:rPr>
          <w:rFonts w:asciiTheme="majorHAnsi" w:eastAsia="Calibri" w:hAnsiTheme="majorHAnsi" w:cstheme="majorHAnsi"/>
          <w:sz w:val="24"/>
          <w:szCs w:val="24"/>
        </w:rPr>
        <w:t xml:space="preserve"> as recommended in the management plan.  The consultation takes place by telehealth.  The consultant reviews the case provides updated advice and writes a letter back to the GP.</w:t>
      </w:r>
      <w:r w:rsidR="00B26DC6" w:rsidRPr="00276AAC">
        <w:rPr>
          <w:rFonts w:asciiTheme="majorHAnsi" w:eastAsia="Calibri" w:hAnsiTheme="majorHAnsi" w:cstheme="majorHAnsi"/>
          <w:sz w:val="24"/>
          <w:szCs w:val="24"/>
        </w:rPr>
        <w:br w:type="page"/>
      </w:r>
    </w:p>
    <w:p w14:paraId="11DD858C" w14:textId="2F96D0A7" w:rsidR="00DC447A" w:rsidRDefault="004D7CE6" w:rsidP="00A5163A">
      <w:pPr>
        <w:pStyle w:val="Style2"/>
      </w:pPr>
      <w:bookmarkStart w:id="34" w:name="_Toc42764234"/>
      <w:r>
        <w:lastRenderedPageBreak/>
        <w:t>Principle 3</w:t>
      </w:r>
      <w:bookmarkEnd w:id="34"/>
      <w:r w:rsidR="00DC447A">
        <w:t xml:space="preserve"> </w:t>
      </w:r>
      <w:r w:rsidR="00E338F6">
        <w:rPr>
          <w:noProof/>
          <w:lang w:val="en-AU"/>
        </w:rPr>
        <mc:AlternateContent>
          <mc:Choice Requires="wps">
            <w:drawing>
              <wp:inline distT="0" distB="0" distL="0" distR="0" wp14:anchorId="47CF608C" wp14:editId="6C4CEA48">
                <wp:extent cx="5943600" cy="472570"/>
                <wp:effectExtent l="0" t="0" r="12700" b="22860"/>
                <wp:docPr id="14" name="Text Box 14"/>
                <wp:cNvGraphicFramePr/>
                <a:graphic xmlns:a="http://schemas.openxmlformats.org/drawingml/2006/main">
                  <a:graphicData uri="http://schemas.microsoft.com/office/word/2010/wordprocessingShape">
                    <wps:wsp>
                      <wps:cNvSpPr txBox="1"/>
                      <wps:spPr>
                        <a:xfrm>
                          <a:off x="0" y="0"/>
                          <a:ext cx="5943600" cy="472570"/>
                        </a:xfrm>
                        <a:prstGeom prst="rect">
                          <a:avLst/>
                        </a:prstGeom>
                        <a:solidFill>
                          <a:schemeClr val="accent3">
                            <a:lumMod val="60000"/>
                            <a:lumOff val="40000"/>
                          </a:schemeClr>
                        </a:solidFill>
                        <a:ln w="6350">
                          <a:solidFill>
                            <a:prstClr val="black"/>
                          </a:solidFill>
                        </a:ln>
                      </wps:spPr>
                      <wps:txbx>
                        <w:txbxContent>
                          <w:p w14:paraId="55E0E3FA" w14:textId="77777777" w:rsidR="00E338F6" w:rsidRPr="0031134A" w:rsidRDefault="00E338F6" w:rsidP="00E338F6">
                            <w:pPr>
                              <w:spacing w:after="120" w:line="240" w:lineRule="auto"/>
                              <w:rPr>
                                <w:rFonts w:asciiTheme="majorHAnsi" w:eastAsiaTheme="minorHAnsi" w:hAnsiTheme="majorHAnsi" w:cstheme="majorHAnsi"/>
                                <w:b/>
                                <w:i/>
                                <w:sz w:val="24"/>
                                <w:szCs w:val="24"/>
                                <w:lang w:val="en-AU" w:eastAsia="en-US"/>
                              </w:rPr>
                            </w:pPr>
                            <w:r>
                              <w:rPr>
                                <w:rFonts w:asciiTheme="majorHAnsi" w:eastAsiaTheme="minorHAnsi" w:hAnsiTheme="majorHAnsi" w:cstheme="majorHAnsi"/>
                                <w:b/>
                                <w:i/>
                                <w:sz w:val="24"/>
                                <w:szCs w:val="24"/>
                                <w:lang w:val="en-AU" w:eastAsia="en-US"/>
                              </w:rPr>
                              <w:t xml:space="preserve">P3 – </w:t>
                            </w:r>
                            <w:r w:rsidRPr="00147901">
                              <w:rPr>
                                <w:rFonts w:asciiTheme="majorHAnsi" w:eastAsiaTheme="minorHAnsi" w:hAnsiTheme="majorHAnsi" w:cstheme="majorHAnsi"/>
                                <w:b/>
                                <w:i/>
                                <w:sz w:val="24"/>
                                <w:szCs w:val="24"/>
                                <w:lang w:val="en-AU" w:eastAsia="en-US"/>
                              </w:rPr>
                              <w:t>Should be provided in the context of continuity of care between patient and practitioner.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CF608C" id="Text Box 14" o:spid="_x0000_s1030" type="#_x0000_t202" style="width:468pt;height:37.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" fillcolor="#c2d69b [1942]" strokeweight=".5pt">
                <v:textbox>
                  <w:txbxContent>
                    <w:p w14:paraId="55E0E3FA" w14:textId="77777777" w:rsidR="00E338F6" w:rsidRPr="0031134A" w:rsidRDefault="00E338F6" w:rsidP="00E338F6">
                      <w:pPr>
                        <w:spacing w:after="120" w:line="240" w:lineRule="auto"/>
                        <w:rPr>
                          <w:rFonts w:asciiTheme="majorHAnsi" w:eastAsiaTheme="minorHAnsi" w:hAnsiTheme="majorHAnsi" w:cstheme="majorHAnsi"/>
                          <w:b/>
                          <w:i/>
                          <w:sz w:val="24"/>
                          <w:szCs w:val="24"/>
                          <w:lang w:val="en-AU" w:eastAsia="en-US"/>
                        </w:rPr>
                      </w:pPr>
                      <w:r>
                        <w:rPr>
                          <w:rFonts w:asciiTheme="majorHAnsi" w:eastAsiaTheme="minorHAnsi" w:hAnsiTheme="majorHAnsi" w:cstheme="majorHAnsi"/>
                          <w:b/>
                          <w:i/>
                          <w:sz w:val="24"/>
                          <w:szCs w:val="24"/>
                          <w:lang w:val="en-AU" w:eastAsia="en-US"/>
                        </w:rPr>
                        <w:t xml:space="preserve">P3 – </w:t>
                      </w:r>
                      <w:r w:rsidRPr="00147901">
                        <w:rPr>
                          <w:rFonts w:asciiTheme="majorHAnsi" w:eastAsiaTheme="minorHAnsi" w:hAnsiTheme="majorHAnsi" w:cstheme="majorHAnsi"/>
                          <w:b/>
                          <w:i/>
                          <w:sz w:val="24"/>
                          <w:szCs w:val="24"/>
                          <w:lang w:val="en-AU" w:eastAsia="en-US"/>
                        </w:rPr>
                        <w:t>Should be provided in the context of continuity of care between patient and practitioner.</w:t>
                      </w:r>
                    </w:p>
                  </w:txbxContent>
                </v:textbox>
                <w10:anchorlock/>
              </v:shape>
            </w:pict>
          </mc:Fallback>
        </mc:AlternateContent>
      </w:r>
    </w:p>
    <w:p w14:paraId="1A069C98" w14:textId="5135E27C" w:rsidR="00773743" w:rsidRPr="0031134A" w:rsidRDefault="00226572" w:rsidP="00773743">
      <w:pPr>
        <w:spacing w:after="120" w:line="240" w:lineRule="auto"/>
        <w:rPr>
          <w:rFonts w:asciiTheme="majorHAnsi" w:eastAsiaTheme="minorHAnsi" w:hAnsiTheme="majorHAnsi" w:cstheme="majorHAnsi"/>
          <w:sz w:val="24"/>
          <w:szCs w:val="24"/>
          <w:lang w:val="en-AU" w:eastAsia="en-US"/>
        </w:rPr>
      </w:pPr>
      <w:r w:rsidRPr="00226572">
        <w:rPr>
          <w:rFonts w:asciiTheme="majorHAnsi" w:eastAsia="Calibri" w:hAnsiTheme="majorHAnsi" w:cstheme="majorHAnsi"/>
          <w:sz w:val="24"/>
          <w:szCs w:val="24"/>
        </w:rPr>
        <w:t>Continuity of care is a long-standing feature of healthcare, especially of general practice. It is associated with increased patient satisfaction, increased take-up of health promotion, greater adherence to medical advice and decreased use of hospital services</w:t>
      </w:r>
      <w:r w:rsidR="00040A86">
        <w:rPr>
          <w:rFonts w:asciiTheme="majorHAnsi" w:eastAsia="Calibri" w:hAnsiTheme="majorHAnsi" w:cstheme="majorHAnsi"/>
          <w:sz w:val="24"/>
          <w:szCs w:val="24"/>
        </w:rPr>
        <w:t xml:space="preserve"> and lower mortality.</w:t>
      </w:r>
      <w:r w:rsidR="00246622">
        <w:rPr>
          <w:rStyle w:val="FootnoteReference"/>
          <w:rFonts w:asciiTheme="majorHAnsi" w:eastAsia="Calibri" w:hAnsiTheme="majorHAnsi" w:cstheme="majorHAnsi"/>
          <w:sz w:val="24"/>
          <w:szCs w:val="24"/>
        </w:rPr>
        <w:footnoteReference w:id="12"/>
      </w:r>
      <w:r w:rsidR="00773743" w:rsidRPr="0031134A">
        <w:rPr>
          <w:rFonts w:asciiTheme="majorHAnsi" w:eastAsiaTheme="minorHAnsi" w:hAnsiTheme="majorHAnsi" w:cstheme="majorHAnsi"/>
          <w:sz w:val="24"/>
          <w:szCs w:val="24"/>
          <w:lang w:val="en-AU" w:eastAsia="en-US"/>
        </w:rPr>
        <w:t xml:space="preserve">MBS Telehealth should </w:t>
      </w:r>
      <w:r w:rsidR="004F1BA4">
        <w:rPr>
          <w:rFonts w:asciiTheme="majorHAnsi" w:eastAsiaTheme="minorHAnsi" w:hAnsiTheme="majorHAnsi" w:cstheme="majorHAnsi"/>
          <w:sz w:val="24"/>
          <w:szCs w:val="24"/>
          <w:lang w:val="en-AU" w:eastAsia="en-US"/>
        </w:rPr>
        <w:t xml:space="preserve">form part </w:t>
      </w:r>
      <w:r w:rsidR="004D7CAB">
        <w:rPr>
          <w:rFonts w:asciiTheme="majorHAnsi" w:eastAsiaTheme="minorHAnsi" w:hAnsiTheme="majorHAnsi" w:cstheme="majorHAnsi"/>
          <w:sz w:val="24"/>
          <w:szCs w:val="24"/>
          <w:lang w:val="en-AU" w:eastAsia="en-US"/>
        </w:rPr>
        <w:t xml:space="preserve">be part of </w:t>
      </w:r>
      <w:r w:rsidR="00B418E8">
        <w:rPr>
          <w:rFonts w:asciiTheme="majorHAnsi" w:eastAsiaTheme="minorHAnsi" w:hAnsiTheme="majorHAnsi" w:cstheme="majorHAnsi"/>
          <w:sz w:val="24"/>
          <w:szCs w:val="24"/>
          <w:lang w:val="en-AU" w:eastAsia="en-US"/>
        </w:rPr>
        <w:t xml:space="preserve">way providers and consumers </w:t>
      </w:r>
      <w:r w:rsidR="00A557F4">
        <w:rPr>
          <w:rFonts w:asciiTheme="majorHAnsi" w:eastAsiaTheme="minorHAnsi" w:hAnsiTheme="majorHAnsi" w:cstheme="majorHAnsi"/>
          <w:sz w:val="24"/>
          <w:szCs w:val="24"/>
          <w:lang w:val="en-AU" w:eastAsia="en-US"/>
        </w:rPr>
        <w:t xml:space="preserve">interact.  It is recognised that there will be </w:t>
      </w:r>
      <w:r w:rsidR="00773743" w:rsidRPr="0031134A">
        <w:rPr>
          <w:rFonts w:asciiTheme="majorHAnsi" w:eastAsiaTheme="minorHAnsi" w:hAnsiTheme="majorHAnsi" w:cstheme="majorHAnsi"/>
          <w:sz w:val="24"/>
          <w:szCs w:val="24"/>
          <w:lang w:val="en-AU" w:eastAsia="en-US"/>
        </w:rPr>
        <w:t xml:space="preserve">different solutions for different specialties </w:t>
      </w:r>
      <w:r w:rsidR="001E16FE">
        <w:rPr>
          <w:rFonts w:asciiTheme="majorHAnsi" w:eastAsiaTheme="minorHAnsi" w:hAnsiTheme="majorHAnsi" w:cstheme="majorHAnsi"/>
          <w:sz w:val="24"/>
          <w:szCs w:val="24"/>
          <w:lang w:val="en-AU" w:eastAsia="en-US"/>
        </w:rPr>
        <w:t>and classes of providers</w:t>
      </w:r>
      <w:r w:rsidR="00773743" w:rsidRPr="0031134A">
        <w:rPr>
          <w:rFonts w:asciiTheme="majorHAnsi" w:eastAsiaTheme="minorHAnsi" w:hAnsiTheme="majorHAnsi" w:cstheme="majorHAnsi"/>
          <w:sz w:val="24"/>
          <w:szCs w:val="24"/>
          <w:lang w:val="en-AU" w:eastAsia="en-US"/>
        </w:rPr>
        <w:t>.</w:t>
      </w:r>
    </w:p>
    <w:p w14:paraId="0AB22DE4" w14:textId="77777777" w:rsidR="00773743" w:rsidRPr="0031134A" w:rsidRDefault="00773743" w:rsidP="00773743">
      <w:pPr>
        <w:spacing w:after="120" w:line="240" w:lineRule="auto"/>
        <w:rPr>
          <w:rFonts w:asciiTheme="majorHAnsi" w:eastAsiaTheme="minorHAnsi" w:hAnsiTheme="majorHAnsi" w:cstheme="majorHAnsi"/>
          <w:sz w:val="24"/>
          <w:szCs w:val="24"/>
          <w:lang w:val="en-AU" w:eastAsia="en-US"/>
        </w:rPr>
      </w:pPr>
      <w:r w:rsidRPr="0031134A">
        <w:rPr>
          <w:rFonts w:asciiTheme="majorHAnsi" w:eastAsiaTheme="minorHAnsi" w:hAnsiTheme="majorHAnsi" w:cstheme="majorHAnsi"/>
          <w:sz w:val="24"/>
          <w:szCs w:val="24"/>
          <w:lang w:val="en-AU" w:eastAsia="en-US"/>
        </w:rPr>
        <w:t>MBS Telehealth should support integrated care</w:t>
      </w:r>
      <w:r>
        <w:rPr>
          <w:rFonts w:asciiTheme="majorHAnsi" w:eastAsiaTheme="minorHAnsi" w:hAnsiTheme="majorHAnsi" w:cstheme="majorHAnsi"/>
          <w:sz w:val="24"/>
          <w:szCs w:val="24"/>
          <w:lang w:val="en-AU" w:eastAsia="en-US"/>
        </w:rPr>
        <w:t xml:space="preserve"> and informed consent agreement with the patient</w:t>
      </w:r>
      <w:r w:rsidRPr="0031134A">
        <w:rPr>
          <w:rFonts w:asciiTheme="majorHAnsi" w:eastAsiaTheme="minorHAnsi" w:hAnsiTheme="majorHAnsi" w:cstheme="majorHAnsi"/>
          <w:sz w:val="24"/>
          <w:szCs w:val="24"/>
          <w:lang w:val="en-AU" w:eastAsia="en-US"/>
        </w:rPr>
        <w:t>.</w:t>
      </w:r>
    </w:p>
    <w:p w14:paraId="70973FEB" w14:textId="2C452B82" w:rsidR="00773743" w:rsidRPr="0031134A" w:rsidRDefault="00773743" w:rsidP="00773743">
      <w:pPr>
        <w:spacing w:after="120" w:line="240" w:lineRule="auto"/>
        <w:rPr>
          <w:rFonts w:asciiTheme="majorHAnsi" w:hAnsiTheme="majorHAnsi" w:cstheme="majorHAnsi"/>
          <w:sz w:val="24"/>
          <w:szCs w:val="24"/>
          <w:lang w:val="en-AU" w:eastAsia="en-US"/>
        </w:rPr>
      </w:pPr>
      <w:r w:rsidRPr="0031134A">
        <w:rPr>
          <w:rFonts w:asciiTheme="majorHAnsi" w:hAnsiTheme="majorHAnsi" w:cstheme="majorHAnsi"/>
          <w:sz w:val="24"/>
          <w:szCs w:val="24"/>
          <w:lang w:val="en-AU" w:eastAsia="en-US"/>
        </w:rPr>
        <w:t xml:space="preserve">MBS Telehealth is </w:t>
      </w:r>
      <w:r w:rsidR="001E16FE">
        <w:rPr>
          <w:rFonts w:asciiTheme="majorHAnsi" w:hAnsiTheme="majorHAnsi" w:cstheme="majorHAnsi"/>
          <w:sz w:val="24"/>
          <w:szCs w:val="24"/>
          <w:lang w:val="en-AU" w:eastAsia="en-US"/>
        </w:rPr>
        <w:t xml:space="preserve">considered </w:t>
      </w:r>
      <w:r w:rsidRPr="0031134A">
        <w:rPr>
          <w:rFonts w:asciiTheme="majorHAnsi" w:hAnsiTheme="majorHAnsi" w:cstheme="majorHAnsi"/>
          <w:sz w:val="24"/>
          <w:szCs w:val="24"/>
          <w:lang w:val="en-AU" w:eastAsia="en-US"/>
        </w:rPr>
        <w:t>not appropriate for discrete episodes of care.</w:t>
      </w:r>
    </w:p>
    <w:p w14:paraId="06F48D81" w14:textId="349A48AE" w:rsidR="00B9235A" w:rsidRPr="0031134A" w:rsidRDefault="00842E1B" w:rsidP="00B9235A">
      <w:pPr>
        <w:spacing w:after="120" w:line="240" w:lineRule="auto"/>
        <w:rPr>
          <w:rFonts w:asciiTheme="majorHAnsi" w:eastAsiaTheme="minorHAnsi" w:hAnsiTheme="majorHAnsi" w:cstheme="majorHAnsi"/>
          <w:sz w:val="24"/>
          <w:szCs w:val="24"/>
          <w:lang w:val="en-AU" w:eastAsia="en-US"/>
        </w:rPr>
      </w:pPr>
      <w:r>
        <w:rPr>
          <w:rFonts w:asciiTheme="majorHAnsi" w:eastAsiaTheme="minorHAnsi" w:hAnsiTheme="majorHAnsi" w:cstheme="majorHAnsi"/>
          <w:sz w:val="24"/>
          <w:szCs w:val="24"/>
          <w:lang w:val="en-AU" w:eastAsia="en-US"/>
        </w:rPr>
        <w:t xml:space="preserve">The working group recommends </w:t>
      </w:r>
      <w:r w:rsidR="002831B0">
        <w:rPr>
          <w:rFonts w:asciiTheme="majorHAnsi" w:eastAsiaTheme="minorHAnsi" w:hAnsiTheme="majorHAnsi" w:cstheme="majorHAnsi"/>
          <w:sz w:val="24"/>
          <w:szCs w:val="24"/>
          <w:lang w:val="en-AU" w:eastAsia="en-US"/>
        </w:rPr>
        <w:t>the a</w:t>
      </w:r>
      <w:r w:rsidR="00B9235A" w:rsidRPr="0031134A">
        <w:rPr>
          <w:rFonts w:asciiTheme="majorHAnsi" w:eastAsiaTheme="minorHAnsi" w:hAnsiTheme="majorHAnsi" w:cstheme="majorHAnsi"/>
          <w:sz w:val="24"/>
          <w:szCs w:val="24"/>
          <w:lang w:val="en-AU" w:eastAsia="en-US"/>
        </w:rPr>
        <w:t xml:space="preserve">vailability of MBS Telehealth be accessible if: </w:t>
      </w:r>
    </w:p>
    <w:p w14:paraId="6EE54622" w14:textId="51491299" w:rsidR="00B9235A" w:rsidRPr="0031134A" w:rsidRDefault="00495007" w:rsidP="00495007">
      <w:pPr>
        <w:pStyle w:val="ListParagraph"/>
        <w:numPr>
          <w:ilvl w:val="1"/>
          <w:numId w:val="72"/>
        </w:numPr>
        <w:spacing w:after="120" w:line="240" w:lineRule="auto"/>
        <w:ind w:left="709"/>
        <w:contextualSpacing w:val="0"/>
        <w:rPr>
          <w:rFonts w:asciiTheme="majorHAnsi" w:eastAsiaTheme="minorHAnsi" w:hAnsiTheme="majorHAnsi" w:cstheme="majorHAnsi"/>
          <w:sz w:val="24"/>
          <w:szCs w:val="24"/>
          <w:lang w:val="en-AU" w:eastAsia="en-US"/>
        </w:rPr>
      </w:pPr>
      <w:r w:rsidRPr="0031134A">
        <w:rPr>
          <w:rFonts w:asciiTheme="majorHAnsi" w:eastAsiaTheme="minorHAnsi" w:hAnsiTheme="majorHAnsi" w:cstheme="majorHAnsi"/>
          <w:sz w:val="24"/>
          <w:szCs w:val="24"/>
          <w:lang w:val="en-AU" w:eastAsia="en-US"/>
        </w:rPr>
        <w:t>a</w:t>
      </w:r>
      <w:r w:rsidR="00B9235A" w:rsidRPr="0031134A">
        <w:rPr>
          <w:rFonts w:asciiTheme="majorHAnsi" w:eastAsiaTheme="minorHAnsi" w:hAnsiTheme="majorHAnsi" w:cstheme="majorHAnsi"/>
          <w:sz w:val="24"/>
          <w:szCs w:val="24"/>
          <w:lang w:val="en-AU" w:eastAsia="en-US"/>
        </w:rPr>
        <w:t xml:space="preserve"> patient </w:t>
      </w:r>
      <w:r w:rsidRPr="0031134A">
        <w:rPr>
          <w:rFonts w:asciiTheme="majorHAnsi" w:eastAsiaTheme="minorHAnsi" w:hAnsiTheme="majorHAnsi" w:cstheme="majorHAnsi"/>
          <w:sz w:val="24"/>
          <w:szCs w:val="24"/>
          <w:lang w:val="en-AU" w:eastAsia="en-US"/>
        </w:rPr>
        <w:t>meets the definition of an active patient as set out in respective guidelines i.e.</w:t>
      </w:r>
      <w:r w:rsidR="00B9235A" w:rsidRPr="0031134A">
        <w:rPr>
          <w:rFonts w:asciiTheme="majorHAnsi" w:eastAsiaTheme="minorHAnsi" w:hAnsiTheme="majorHAnsi" w:cstheme="majorHAnsi"/>
          <w:sz w:val="24"/>
          <w:szCs w:val="24"/>
          <w:lang w:val="en-AU" w:eastAsia="en-US"/>
        </w:rPr>
        <w:t xml:space="preserve"> the RACGP definition of an ‘active patient’; or,</w:t>
      </w:r>
    </w:p>
    <w:p w14:paraId="6CC07000" w14:textId="58925FCA" w:rsidR="00B9235A" w:rsidRPr="0031134A" w:rsidRDefault="00495007" w:rsidP="00495007">
      <w:pPr>
        <w:pStyle w:val="ListParagraph"/>
        <w:numPr>
          <w:ilvl w:val="1"/>
          <w:numId w:val="72"/>
        </w:numPr>
        <w:spacing w:after="120" w:line="240" w:lineRule="auto"/>
        <w:ind w:left="709"/>
        <w:contextualSpacing w:val="0"/>
        <w:rPr>
          <w:rFonts w:asciiTheme="majorHAnsi" w:eastAsiaTheme="minorHAnsi" w:hAnsiTheme="majorHAnsi" w:cstheme="majorHAnsi"/>
          <w:sz w:val="24"/>
          <w:szCs w:val="24"/>
          <w:lang w:val="en-AU" w:eastAsia="en-US"/>
        </w:rPr>
      </w:pPr>
      <w:r w:rsidRPr="0031134A">
        <w:rPr>
          <w:rFonts w:asciiTheme="majorHAnsi" w:eastAsiaTheme="minorHAnsi" w:hAnsiTheme="majorHAnsi" w:cstheme="majorHAnsi"/>
          <w:sz w:val="24"/>
          <w:szCs w:val="24"/>
          <w:lang w:val="en-AU" w:eastAsia="en-US"/>
        </w:rPr>
        <w:t>t</w:t>
      </w:r>
      <w:r w:rsidR="00B9235A" w:rsidRPr="0031134A">
        <w:rPr>
          <w:rFonts w:asciiTheme="majorHAnsi" w:eastAsiaTheme="minorHAnsi" w:hAnsiTheme="majorHAnsi" w:cstheme="majorHAnsi"/>
          <w:sz w:val="24"/>
          <w:szCs w:val="24"/>
          <w:lang w:val="en-AU" w:eastAsia="en-US"/>
        </w:rPr>
        <w:t xml:space="preserve">he service is provided with the treating health provider and the </w:t>
      </w:r>
      <w:proofErr w:type="spellStart"/>
      <w:r w:rsidR="00B9235A" w:rsidRPr="0031134A">
        <w:rPr>
          <w:rFonts w:asciiTheme="majorHAnsi" w:eastAsiaTheme="minorHAnsi" w:hAnsiTheme="majorHAnsi" w:cstheme="majorHAnsi"/>
          <w:sz w:val="24"/>
          <w:szCs w:val="24"/>
          <w:lang w:val="en-AU" w:eastAsia="en-US"/>
        </w:rPr>
        <w:t>referred</w:t>
      </w:r>
      <w:proofErr w:type="spellEnd"/>
      <w:r w:rsidR="00B9235A" w:rsidRPr="0031134A">
        <w:rPr>
          <w:rFonts w:asciiTheme="majorHAnsi" w:eastAsiaTheme="minorHAnsi" w:hAnsiTheme="majorHAnsi" w:cstheme="majorHAnsi"/>
          <w:sz w:val="24"/>
          <w:szCs w:val="24"/>
          <w:lang w:val="en-AU" w:eastAsia="en-US"/>
        </w:rPr>
        <w:t xml:space="preserve"> health provider present</w:t>
      </w:r>
      <w:r w:rsidR="008C78C0" w:rsidRPr="0031134A">
        <w:rPr>
          <w:rFonts w:asciiTheme="majorHAnsi" w:eastAsiaTheme="minorHAnsi" w:hAnsiTheme="majorHAnsi" w:cstheme="majorHAnsi"/>
          <w:sz w:val="24"/>
          <w:szCs w:val="24"/>
          <w:lang w:val="en-AU" w:eastAsia="en-US"/>
        </w:rPr>
        <w:t>, for handover</w:t>
      </w:r>
      <w:r w:rsidRPr="0031134A">
        <w:rPr>
          <w:rFonts w:asciiTheme="majorHAnsi" w:eastAsiaTheme="minorHAnsi" w:hAnsiTheme="majorHAnsi" w:cstheme="majorHAnsi"/>
          <w:sz w:val="24"/>
          <w:szCs w:val="24"/>
          <w:lang w:val="en-AU" w:eastAsia="en-US"/>
        </w:rPr>
        <w:t>,</w:t>
      </w:r>
      <w:r w:rsidRPr="0031134A">
        <w:rPr>
          <w:rFonts w:asciiTheme="majorHAnsi" w:eastAsia="Calibri" w:hAnsiTheme="majorHAnsi" w:cstheme="majorHAnsi"/>
          <w:sz w:val="24"/>
          <w:szCs w:val="24"/>
        </w:rPr>
        <w:t xml:space="preserve"> </w:t>
      </w:r>
      <w:r w:rsidR="002112D8">
        <w:rPr>
          <w:rFonts w:asciiTheme="majorHAnsi" w:eastAsia="Calibri" w:hAnsiTheme="majorHAnsi" w:cstheme="majorHAnsi"/>
          <w:sz w:val="24"/>
          <w:szCs w:val="24"/>
        </w:rPr>
        <w:t>(</w:t>
      </w:r>
      <w:proofErr w:type="spellStart"/>
      <w:r w:rsidRPr="0031134A">
        <w:rPr>
          <w:rFonts w:asciiTheme="majorHAnsi" w:eastAsia="Calibri" w:hAnsiTheme="majorHAnsi" w:cstheme="majorHAnsi"/>
          <w:sz w:val="24"/>
          <w:szCs w:val="24"/>
        </w:rPr>
        <w:t>recognising</w:t>
      </w:r>
      <w:proofErr w:type="spellEnd"/>
      <w:r w:rsidRPr="0031134A">
        <w:rPr>
          <w:rFonts w:asciiTheme="majorHAnsi" w:eastAsia="Calibri" w:hAnsiTheme="majorHAnsi" w:cstheme="majorHAnsi"/>
          <w:sz w:val="24"/>
          <w:szCs w:val="24"/>
        </w:rPr>
        <w:t xml:space="preserve"> it is not always possible for a patient to</w:t>
      </w:r>
      <w:r w:rsidR="008C78C0" w:rsidRPr="0031134A">
        <w:rPr>
          <w:rFonts w:asciiTheme="majorHAnsi" w:eastAsia="Calibri" w:hAnsiTheme="majorHAnsi" w:cstheme="majorHAnsi"/>
          <w:sz w:val="24"/>
          <w:szCs w:val="24"/>
        </w:rPr>
        <w:t xml:space="preserve"> be an active patient with a referred health provider</w:t>
      </w:r>
      <w:r w:rsidR="002112D8">
        <w:rPr>
          <w:rFonts w:asciiTheme="majorHAnsi" w:eastAsia="Calibri" w:hAnsiTheme="majorHAnsi" w:cstheme="majorHAnsi"/>
          <w:sz w:val="24"/>
          <w:szCs w:val="24"/>
        </w:rPr>
        <w:t>)</w:t>
      </w:r>
      <w:r w:rsidR="00B9235A" w:rsidRPr="0031134A">
        <w:rPr>
          <w:rFonts w:asciiTheme="majorHAnsi" w:eastAsiaTheme="minorHAnsi" w:hAnsiTheme="majorHAnsi" w:cstheme="majorHAnsi"/>
          <w:sz w:val="24"/>
          <w:szCs w:val="24"/>
          <w:lang w:val="en-AU" w:eastAsia="en-US"/>
        </w:rPr>
        <w:t>; or,</w:t>
      </w:r>
    </w:p>
    <w:p w14:paraId="2A0D7427" w14:textId="3E250895" w:rsidR="00495007" w:rsidRPr="0031134A" w:rsidRDefault="00495007" w:rsidP="00495007">
      <w:pPr>
        <w:pStyle w:val="ListParagraph"/>
        <w:numPr>
          <w:ilvl w:val="1"/>
          <w:numId w:val="72"/>
        </w:numPr>
        <w:spacing w:after="120" w:line="240" w:lineRule="auto"/>
        <w:ind w:left="709"/>
        <w:contextualSpacing w:val="0"/>
        <w:rPr>
          <w:rFonts w:asciiTheme="majorHAnsi" w:eastAsiaTheme="minorHAnsi" w:hAnsiTheme="majorHAnsi" w:cstheme="majorHAnsi"/>
          <w:sz w:val="24"/>
          <w:szCs w:val="24"/>
          <w:lang w:val="en-AU" w:eastAsia="en-US"/>
        </w:rPr>
      </w:pPr>
      <w:r w:rsidRPr="0031134A">
        <w:rPr>
          <w:rFonts w:asciiTheme="majorHAnsi" w:eastAsiaTheme="minorHAnsi" w:hAnsiTheme="majorHAnsi" w:cstheme="majorHAnsi"/>
          <w:sz w:val="24"/>
          <w:szCs w:val="24"/>
          <w:lang w:val="en-AU" w:eastAsia="en-US"/>
        </w:rPr>
        <w:t>t</w:t>
      </w:r>
      <w:r w:rsidR="00B9235A" w:rsidRPr="0031134A">
        <w:rPr>
          <w:rFonts w:asciiTheme="majorHAnsi" w:eastAsiaTheme="minorHAnsi" w:hAnsiTheme="majorHAnsi" w:cstheme="majorHAnsi"/>
          <w:sz w:val="24"/>
          <w:szCs w:val="24"/>
          <w:lang w:val="en-AU" w:eastAsia="en-US"/>
        </w:rPr>
        <w:t xml:space="preserve">he patient </w:t>
      </w:r>
      <w:proofErr w:type="gramStart"/>
      <w:r w:rsidR="00B9235A" w:rsidRPr="0031134A">
        <w:rPr>
          <w:rFonts w:asciiTheme="majorHAnsi" w:eastAsiaTheme="minorHAnsi" w:hAnsiTheme="majorHAnsi" w:cstheme="majorHAnsi"/>
          <w:sz w:val="24"/>
          <w:szCs w:val="24"/>
          <w:lang w:val="en-AU" w:eastAsia="en-US"/>
        </w:rPr>
        <w:t>is located in</w:t>
      </w:r>
      <w:proofErr w:type="gramEnd"/>
      <w:r w:rsidR="00B9235A" w:rsidRPr="0031134A">
        <w:rPr>
          <w:rFonts w:asciiTheme="majorHAnsi" w:eastAsiaTheme="minorHAnsi" w:hAnsiTheme="majorHAnsi" w:cstheme="majorHAnsi"/>
          <w:sz w:val="24"/>
          <w:szCs w:val="24"/>
          <w:lang w:val="en-AU" w:eastAsia="en-US"/>
        </w:rPr>
        <w:t xml:space="preserve"> a </w:t>
      </w:r>
      <w:r w:rsidR="008C78C0" w:rsidRPr="0031134A">
        <w:rPr>
          <w:rFonts w:asciiTheme="majorHAnsi" w:eastAsiaTheme="minorHAnsi" w:hAnsiTheme="majorHAnsi" w:cstheme="majorHAnsi"/>
          <w:sz w:val="24"/>
          <w:szCs w:val="24"/>
          <w:lang w:val="en-AU" w:eastAsia="en-US"/>
        </w:rPr>
        <w:t xml:space="preserve">rural </w:t>
      </w:r>
      <w:r w:rsidR="008C78C0">
        <w:rPr>
          <w:rFonts w:asciiTheme="majorHAnsi" w:eastAsiaTheme="minorHAnsi" w:hAnsiTheme="majorHAnsi" w:cstheme="majorHAnsi"/>
          <w:sz w:val="24"/>
          <w:szCs w:val="24"/>
          <w:lang w:val="en-AU" w:eastAsia="en-US"/>
        </w:rPr>
        <w:t xml:space="preserve">location and enables </w:t>
      </w:r>
      <w:r w:rsidR="008C78C0" w:rsidRPr="0031134A">
        <w:rPr>
          <w:rFonts w:asciiTheme="majorHAnsi" w:eastAsiaTheme="minorHAnsi" w:hAnsiTheme="majorHAnsi" w:cstheme="majorHAnsi"/>
          <w:sz w:val="24"/>
          <w:szCs w:val="24"/>
          <w:lang w:val="en-AU" w:eastAsia="en-US"/>
        </w:rPr>
        <w:t xml:space="preserve">patients to access a health professional that operates within their region </w:t>
      </w:r>
      <w:r w:rsidR="008C78C0" w:rsidRPr="008C78C0">
        <w:rPr>
          <w:rFonts w:asciiTheme="majorHAnsi" w:eastAsiaTheme="minorHAnsi" w:hAnsiTheme="majorHAnsi" w:cstheme="majorHAnsi"/>
          <w:sz w:val="24"/>
          <w:szCs w:val="24"/>
          <w:lang w:val="en-AU" w:eastAsia="en-US"/>
        </w:rPr>
        <w:t>i.e. not li</w:t>
      </w:r>
      <w:r w:rsidR="008C78C0">
        <w:rPr>
          <w:rFonts w:asciiTheme="majorHAnsi" w:eastAsiaTheme="minorHAnsi" w:hAnsiTheme="majorHAnsi" w:cstheme="majorHAnsi"/>
          <w:sz w:val="24"/>
          <w:szCs w:val="24"/>
          <w:lang w:val="en-AU" w:eastAsia="en-US"/>
        </w:rPr>
        <w:t>miting</w:t>
      </w:r>
      <w:r w:rsidR="008C78C0" w:rsidRPr="0031134A">
        <w:rPr>
          <w:rFonts w:asciiTheme="majorHAnsi" w:eastAsiaTheme="minorHAnsi" w:hAnsiTheme="majorHAnsi" w:cstheme="majorHAnsi"/>
          <w:sz w:val="24"/>
          <w:szCs w:val="24"/>
          <w:lang w:val="en-AU" w:eastAsia="en-US"/>
        </w:rPr>
        <w:t xml:space="preserve"> to active patient definition and requirements</w:t>
      </w:r>
      <w:r w:rsidR="0051053F">
        <w:rPr>
          <w:rFonts w:asciiTheme="majorHAnsi" w:eastAsiaTheme="minorHAnsi" w:hAnsiTheme="majorHAnsi" w:cstheme="majorHAnsi"/>
          <w:sz w:val="24"/>
          <w:szCs w:val="24"/>
          <w:lang w:val="en-AU" w:eastAsia="en-US"/>
        </w:rPr>
        <w:t>.</w:t>
      </w:r>
      <w:r w:rsidR="008C78C0" w:rsidRPr="0031134A">
        <w:rPr>
          <w:rFonts w:asciiTheme="majorHAnsi" w:eastAsiaTheme="minorHAnsi" w:hAnsiTheme="majorHAnsi" w:cstheme="majorHAnsi"/>
          <w:sz w:val="24"/>
          <w:szCs w:val="24"/>
          <w:lang w:val="en-AU" w:eastAsia="en-US"/>
        </w:rPr>
        <w:t xml:space="preserve"> </w:t>
      </w:r>
    </w:p>
    <w:p w14:paraId="5BA19C01" w14:textId="5BDB5ACA" w:rsidR="00FE76A8" w:rsidRPr="0031134A" w:rsidRDefault="00F8496F" w:rsidP="00C468D4">
      <w:pPr>
        <w:spacing w:after="120" w:line="240" w:lineRule="auto"/>
        <w:rPr>
          <w:rFonts w:asciiTheme="majorHAnsi" w:hAnsiTheme="majorHAnsi" w:cstheme="majorHAnsi"/>
          <w:sz w:val="24"/>
          <w:szCs w:val="24"/>
          <w:lang w:val="en-AU" w:eastAsia="en-US"/>
        </w:rPr>
      </w:pPr>
      <w:r>
        <w:rPr>
          <w:rFonts w:asciiTheme="majorHAnsi" w:hAnsiTheme="majorHAnsi" w:cstheme="majorHAnsi"/>
          <w:sz w:val="24"/>
          <w:szCs w:val="24"/>
          <w:lang w:val="en-AU" w:eastAsia="en-US"/>
        </w:rPr>
        <w:t>T</w:t>
      </w:r>
      <w:r w:rsidR="00FE76A8" w:rsidRPr="0031134A">
        <w:rPr>
          <w:rFonts w:asciiTheme="majorHAnsi" w:hAnsiTheme="majorHAnsi" w:cstheme="majorHAnsi"/>
          <w:sz w:val="24"/>
          <w:szCs w:val="24"/>
          <w:lang w:val="en-AU" w:eastAsia="en-US"/>
        </w:rPr>
        <w:t xml:space="preserve">elehealth is a valuable mechanism for the delivery of </w:t>
      </w:r>
      <w:r w:rsidR="0051053F" w:rsidRPr="0031134A">
        <w:rPr>
          <w:rFonts w:asciiTheme="majorHAnsi" w:hAnsiTheme="majorHAnsi" w:cstheme="majorHAnsi"/>
          <w:sz w:val="24"/>
          <w:szCs w:val="24"/>
          <w:lang w:val="en-AU" w:eastAsia="en-US"/>
        </w:rPr>
        <w:t xml:space="preserve">services such as </w:t>
      </w:r>
      <w:proofErr w:type="spellStart"/>
      <w:proofErr w:type="gramStart"/>
      <w:r w:rsidR="00FE76A8" w:rsidRPr="0031134A">
        <w:rPr>
          <w:rFonts w:asciiTheme="majorHAnsi" w:hAnsiTheme="majorHAnsi" w:cstheme="majorHAnsi"/>
          <w:sz w:val="24"/>
          <w:szCs w:val="24"/>
          <w:lang w:val="en-AU" w:eastAsia="en-US"/>
        </w:rPr>
        <w:t>after hours</w:t>
      </w:r>
      <w:proofErr w:type="spellEnd"/>
      <w:proofErr w:type="gramEnd"/>
      <w:r w:rsidR="00FE76A8" w:rsidRPr="0031134A">
        <w:rPr>
          <w:rFonts w:asciiTheme="majorHAnsi" w:hAnsiTheme="majorHAnsi" w:cstheme="majorHAnsi"/>
          <w:sz w:val="24"/>
          <w:szCs w:val="24"/>
          <w:lang w:val="en-AU" w:eastAsia="en-US"/>
        </w:rPr>
        <w:t xml:space="preserve"> primary care</w:t>
      </w:r>
      <w:r>
        <w:rPr>
          <w:rFonts w:asciiTheme="majorHAnsi" w:hAnsiTheme="majorHAnsi" w:cstheme="majorHAnsi"/>
          <w:sz w:val="24"/>
          <w:szCs w:val="24"/>
          <w:lang w:val="en-AU" w:eastAsia="en-US"/>
        </w:rPr>
        <w:t xml:space="preserve"> particularly from the usual doctor.</w:t>
      </w:r>
      <w:r w:rsidR="00D30344">
        <w:rPr>
          <w:rFonts w:asciiTheme="majorHAnsi" w:hAnsiTheme="majorHAnsi" w:cstheme="majorHAnsi"/>
          <w:sz w:val="24"/>
          <w:szCs w:val="24"/>
          <w:lang w:val="en-AU" w:eastAsia="en-US"/>
        </w:rPr>
        <w:t xml:space="preserve"> </w:t>
      </w:r>
      <w:r w:rsidR="00FE76A8" w:rsidRPr="0031134A">
        <w:rPr>
          <w:rFonts w:asciiTheme="majorHAnsi" w:hAnsiTheme="majorHAnsi" w:cstheme="majorHAnsi"/>
          <w:sz w:val="24"/>
          <w:szCs w:val="24"/>
          <w:lang w:val="en-AU" w:eastAsia="en-US"/>
        </w:rPr>
        <w:t xml:space="preserve"> Where patients are unable to access services from their regular GP after hours (either face-to-face or telehealth) there is the potential for patients to access </w:t>
      </w:r>
      <w:proofErr w:type="spellStart"/>
      <w:r w:rsidR="00FE76A8" w:rsidRPr="0031134A">
        <w:rPr>
          <w:rFonts w:asciiTheme="majorHAnsi" w:hAnsiTheme="majorHAnsi" w:cstheme="majorHAnsi"/>
          <w:sz w:val="24"/>
          <w:szCs w:val="24"/>
          <w:lang w:val="en-AU" w:eastAsia="en-US"/>
        </w:rPr>
        <w:t>after hours</w:t>
      </w:r>
      <w:proofErr w:type="spellEnd"/>
      <w:r w:rsidR="00FE76A8" w:rsidRPr="0031134A">
        <w:rPr>
          <w:rFonts w:asciiTheme="majorHAnsi" w:hAnsiTheme="majorHAnsi" w:cstheme="majorHAnsi"/>
          <w:sz w:val="24"/>
          <w:szCs w:val="24"/>
          <w:lang w:val="en-AU" w:eastAsia="en-US"/>
        </w:rPr>
        <w:t xml:space="preserve"> primary care through a range of face-to-face options and telehealth through</w:t>
      </w:r>
      <w:r w:rsidR="0051053F" w:rsidRPr="0031134A">
        <w:rPr>
          <w:rFonts w:asciiTheme="majorHAnsi" w:hAnsiTheme="majorHAnsi" w:cstheme="majorHAnsi"/>
          <w:sz w:val="24"/>
          <w:szCs w:val="24"/>
          <w:lang w:val="en-AU" w:eastAsia="en-US"/>
        </w:rPr>
        <w:t xml:space="preserve"> </w:t>
      </w:r>
      <w:proofErr w:type="spellStart"/>
      <w:r w:rsidR="00FE76A8" w:rsidRPr="0031134A">
        <w:rPr>
          <w:rFonts w:asciiTheme="majorHAnsi" w:hAnsiTheme="majorHAnsi" w:cstheme="majorHAnsi"/>
          <w:sz w:val="24"/>
          <w:szCs w:val="24"/>
          <w:lang w:val="en-AU" w:eastAsia="en-US"/>
        </w:rPr>
        <w:t>Healthdirect</w:t>
      </w:r>
      <w:proofErr w:type="spellEnd"/>
      <w:r w:rsidR="00FE76A8" w:rsidRPr="0031134A">
        <w:rPr>
          <w:rFonts w:asciiTheme="majorHAnsi" w:hAnsiTheme="majorHAnsi" w:cstheme="majorHAnsi"/>
          <w:sz w:val="24"/>
          <w:szCs w:val="24"/>
          <w:lang w:val="en-AU" w:eastAsia="en-US"/>
        </w:rPr>
        <w:t xml:space="preserve">. </w:t>
      </w:r>
    </w:p>
    <w:p w14:paraId="3250F121" w14:textId="52633BE2" w:rsidR="006D2440" w:rsidRDefault="0031134A" w:rsidP="005466E0">
      <w:pPr>
        <w:spacing w:after="120" w:line="240" w:lineRule="auto"/>
        <w:rPr>
          <w:rFonts w:asciiTheme="majorHAnsi" w:eastAsia="Calibri" w:hAnsiTheme="majorHAnsi" w:cstheme="majorHAnsi"/>
          <w:sz w:val="24"/>
          <w:szCs w:val="24"/>
        </w:rPr>
      </w:pPr>
      <w:r w:rsidRPr="0031134A">
        <w:rPr>
          <w:rFonts w:asciiTheme="majorHAnsi" w:eastAsia="Calibri" w:hAnsiTheme="majorHAnsi" w:cstheme="majorHAnsi"/>
          <w:sz w:val="24"/>
          <w:szCs w:val="24"/>
        </w:rPr>
        <w:t xml:space="preserve">There is a risk of </w:t>
      </w:r>
      <w:r w:rsidR="00CB01D1">
        <w:rPr>
          <w:rFonts w:asciiTheme="majorHAnsi" w:eastAsia="Calibri" w:hAnsiTheme="majorHAnsi" w:cstheme="majorHAnsi"/>
          <w:sz w:val="24"/>
          <w:szCs w:val="24"/>
        </w:rPr>
        <w:t xml:space="preserve">double dipping if </w:t>
      </w:r>
      <w:r w:rsidR="004D7CE6" w:rsidRPr="0031134A">
        <w:rPr>
          <w:rFonts w:asciiTheme="majorHAnsi" w:eastAsia="Calibri" w:hAnsiTheme="majorHAnsi" w:cstheme="majorHAnsi"/>
          <w:sz w:val="24"/>
          <w:szCs w:val="24"/>
        </w:rPr>
        <w:t>telehealth</w:t>
      </w:r>
      <w:r w:rsidR="000319D9">
        <w:rPr>
          <w:rFonts w:asciiTheme="majorHAnsi" w:eastAsia="Calibri" w:hAnsiTheme="majorHAnsi" w:cstheme="majorHAnsi"/>
          <w:sz w:val="24"/>
          <w:szCs w:val="24"/>
        </w:rPr>
        <w:t xml:space="preserve"> is used</w:t>
      </w:r>
      <w:r w:rsidR="004D7CE6" w:rsidRPr="0031134A">
        <w:rPr>
          <w:rFonts w:asciiTheme="majorHAnsi" w:eastAsia="Calibri" w:hAnsiTheme="majorHAnsi" w:cstheme="majorHAnsi"/>
          <w:sz w:val="24"/>
          <w:szCs w:val="24"/>
        </w:rPr>
        <w:t xml:space="preserve"> to contact a patient to </w:t>
      </w:r>
      <w:proofErr w:type="gramStart"/>
      <w:r w:rsidR="004D7CE6" w:rsidRPr="0031134A">
        <w:rPr>
          <w:rFonts w:asciiTheme="majorHAnsi" w:eastAsia="Calibri" w:hAnsiTheme="majorHAnsi" w:cstheme="majorHAnsi"/>
          <w:sz w:val="24"/>
          <w:szCs w:val="24"/>
        </w:rPr>
        <w:t>request</w:t>
      </w:r>
      <w:proofErr w:type="gramEnd"/>
      <w:r w:rsidR="004D7CE6" w:rsidRPr="0031134A">
        <w:rPr>
          <w:rFonts w:asciiTheme="majorHAnsi" w:eastAsia="Calibri" w:hAnsiTheme="majorHAnsi" w:cstheme="majorHAnsi"/>
          <w:sz w:val="24"/>
          <w:szCs w:val="24"/>
        </w:rPr>
        <w:t xml:space="preserve"> they attend a face-to-face </w:t>
      </w:r>
      <w:r w:rsidR="00500AC7" w:rsidRPr="0031134A">
        <w:rPr>
          <w:rFonts w:asciiTheme="majorHAnsi" w:eastAsia="Calibri" w:hAnsiTheme="majorHAnsi" w:cstheme="majorHAnsi"/>
          <w:sz w:val="24"/>
          <w:szCs w:val="24"/>
        </w:rPr>
        <w:t xml:space="preserve">consultation </w:t>
      </w:r>
      <w:r w:rsidR="0089229D">
        <w:rPr>
          <w:rFonts w:asciiTheme="majorHAnsi" w:eastAsia="Calibri" w:hAnsiTheme="majorHAnsi" w:cstheme="majorHAnsi"/>
          <w:sz w:val="24"/>
          <w:szCs w:val="24"/>
        </w:rPr>
        <w:t xml:space="preserve">or if in order to allow a more complete physical examination </w:t>
      </w:r>
      <w:r w:rsidR="00AB22B9">
        <w:rPr>
          <w:rFonts w:asciiTheme="majorHAnsi" w:eastAsia="Calibri" w:hAnsiTheme="majorHAnsi" w:cstheme="majorHAnsi"/>
          <w:sz w:val="24"/>
          <w:szCs w:val="24"/>
        </w:rPr>
        <w:t>the patient is required to attend</w:t>
      </w:r>
      <w:r w:rsidR="00762896">
        <w:rPr>
          <w:rFonts w:asciiTheme="majorHAnsi" w:eastAsia="Calibri" w:hAnsiTheme="majorHAnsi" w:cstheme="majorHAnsi"/>
          <w:sz w:val="24"/>
          <w:szCs w:val="24"/>
        </w:rPr>
        <w:t xml:space="preserve"> face to face</w:t>
      </w:r>
      <w:r w:rsidR="00AB22B9">
        <w:rPr>
          <w:rFonts w:asciiTheme="majorHAnsi" w:eastAsia="Calibri" w:hAnsiTheme="majorHAnsi" w:cstheme="majorHAnsi"/>
          <w:sz w:val="24"/>
          <w:szCs w:val="24"/>
        </w:rPr>
        <w:t xml:space="preserve">. </w:t>
      </w:r>
      <w:r w:rsidR="00762896">
        <w:rPr>
          <w:rFonts w:asciiTheme="majorHAnsi" w:eastAsia="Calibri" w:hAnsiTheme="majorHAnsi" w:cstheme="majorHAnsi"/>
          <w:sz w:val="24"/>
          <w:szCs w:val="24"/>
        </w:rPr>
        <w:t>Neither of these</w:t>
      </w:r>
      <w:r w:rsidR="00AB22B9">
        <w:rPr>
          <w:rFonts w:asciiTheme="majorHAnsi" w:eastAsia="Calibri" w:hAnsiTheme="majorHAnsi" w:cstheme="majorHAnsi"/>
          <w:sz w:val="24"/>
          <w:szCs w:val="24"/>
        </w:rPr>
        <w:t xml:space="preserve"> </w:t>
      </w:r>
      <w:r w:rsidR="004D7CE6" w:rsidRPr="0031134A">
        <w:rPr>
          <w:rFonts w:asciiTheme="majorHAnsi" w:eastAsia="Calibri" w:hAnsiTheme="majorHAnsi" w:cstheme="majorHAnsi"/>
          <w:sz w:val="24"/>
          <w:szCs w:val="24"/>
        </w:rPr>
        <w:t xml:space="preserve">is a new episode of service, and this would only be billable </w:t>
      </w:r>
      <w:r w:rsidR="00446D03">
        <w:rPr>
          <w:rFonts w:asciiTheme="majorHAnsi" w:eastAsia="Calibri" w:hAnsiTheme="majorHAnsi" w:cstheme="majorHAnsi"/>
          <w:sz w:val="24"/>
          <w:szCs w:val="24"/>
        </w:rPr>
        <w:t>under one item number.</w:t>
      </w:r>
      <w:r w:rsidRPr="0031134A">
        <w:rPr>
          <w:rFonts w:asciiTheme="majorHAnsi" w:eastAsia="Calibri" w:hAnsiTheme="majorHAnsi" w:cstheme="majorHAnsi"/>
          <w:sz w:val="24"/>
          <w:szCs w:val="24"/>
        </w:rPr>
        <w:t xml:space="preserve"> Mitigation of this will require </w:t>
      </w:r>
      <w:r w:rsidR="005F4AC0">
        <w:rPr>
          <w:rFonts w:asciiTheme="majorHAnsi" w:eastAsia="Calibri" w:hAnsiTheme="majorHAnsi" w:cstheme="majorHAnsi"/>
          <w:sz w:val="24"/>
          <w:szCs w:val="24"/>
        </w:rPr>
        <w:t xml:space="preserve">clear descriptors, explanatory notes and </w:t>
      </w:r>
      <w:r w:rsidRPr="0031134A">
        <w:rPr>
          <w:rFonts w:asciiTheme="majorHAnsi" w:eastAsia="Calibri" w:hAnsiTheme="majorHAnsi" w:cstheme="majorHAnsi"/>
          <w:sz w:val="24"/>
          <w:szCs w:val="24"/>
        </w:rPr>
        <w:t xml:space="preserve">compliance </w:t>
      </w:r>
      <w:r w:rsidR="004F61C0">
        <w:rPr>
          <w:rFonts w:asciiTheme="majorHAnsi" w:eastAsia="Calibri" w:hAnsiTheme="majorHAnsi" w:cstheme="majorHAnsi"/>
          <w:sz w:val="24"/>
          <w:szCs w:val="24"/>
        </w:rPr>
        <w:t>reviews</w:t>
      </w:r>
      <w:r w:rsidRPr="0031134A">
        <w:rPr>
          <w:rFonts w:asciiTheme="majorHAnsi" w:eastAsia="Calibri" w:hAnsiTheme="majorHAnsi" w:cstheme="majorHAnsi"/>
          <w:sz w:val="24"/>
          <w:szCs w:val="24"/>
        </w:rPr>
        <w:t>.</w:t>
      </w:r>
      <w:r w:rsidR="005E524C" w:rsidRPr="0031134A">
        <w:rPr>
          <w:rFonts w:asciiTheme="majorHAnsi" w:eastAsia="Calibri" w:hAnsiTheme="majorHAnsi" w:cstheme="majorHAnsi"/>
          <w:sz w:val="24"/>
          <w:szCs w:val="24"/>
        </w:rPr>
        <w:t xml:space="preserve">  </w:t>
      </w:r>
    </w:p>
    <w:p w14:paraId="64886A7E" w14:textId="0585E779" w:rsidR="00FE76A8" w:rsidRDefault="0031134A" w:rsidP="00FE76A8">
      <w:pPr>
        <w:spacing w:after="120" w:line="240" w:lineRule="auto"/>
        <w:rPr>
          <w:rFonts w:ascii="Calibri" w:eastAsia="Calibri" w:hAnsi="Calibri" w:cs="Calibri"/>
          <w:b/>
        </w:rPr>
      </w:pPr>
      <w:r>
        <w:rPr>
          <w:rFonts w:ascii="Calibri" w:eastAsia="Calibri" w:hAnsi="Calibri" w:cs="Calibri"/>
          <w:b/>
        </w:rPr>
        <w:t xml:space="preserve">Further </w:t>
      </w:r>
      <w:r w:rsidR="00FE76A8">
        <w:rPr>
          <w:rFonts w:ascii="Calibri" w:eastAsia="Calibri" w:hAnsi="Calibri" w:cs="Calibri"/>
          <w:b/>
        </w:rPr>
        <w:t>Consideration</w:t>
      </w:r>
    </w:p>
    <w:p w14:paraId="606A4195" w14:textId="5EF62ABB" w:rsidR="00FE76A8" w:rsidRDefault="00FE76A8" w:rsidP="00FE76A8">
      <w:pPr>
        <w:spacing w:after="120" w:line="240" w:lineRule="auto"/>
        <w:rPr>
          <w:rFonts w:asciiTheme="majorHAnsi" w:eastAsia="Calibri" w:hAnsiTheme="majorHAnsi" w:cstheme="majorHAnsi"/>
          <w:sz w:val="24"/>
          <w:szCs w:val="24"/>
        </w:rPr>
      </w:pPr>
      <w:r w:rsidRPr="0031134A">
        <w:rPr>
          <w:rFonts w:asciiTheme="majorHAnsi" w:eastAsia="Calibri" w:hAnsiTheme="majorHAnsi" w:cstheme="majorHAnsi"/>
          <w:sz w:val="24"/>
          <w:szCs w:val="24"/>
        </w:rPr>
        <w:t xml:space="preserve">There are likely to be different telehealth solutions for referred specialties and non-referred services, for both telehealth and MBS Telehealth. There are examples of non-referred Telehealth outside of MBS care, for example virtual </w:t>
      </w:r>
      <w:proofErr w:type="spellStart"/>
      <w:r w:rsidRPr="0031134A">
        <w:rPr>
          <w:rFonts w:asciiTheme="majorHAnsi" w:eastAsia="Calibri" w:hAnsiTheme="majorHAnsi" w:cstheme="majorHAnsi"/>
          <w:sz w:val="24"/>
          <w:szCs w:val="24"/>
        </w:rPr>
        <w:t>EDs.</w:t>
      </w:r>
      <w:proofErr w:type="spellEnd"/>
    </w:p>
    <w:p w14:paraId="24D22320" w14:textId="15193BC2" w:rsidR="00F62A6E" w:rsidRPr="0031134A" w:rsidRDefault="00F62A6E" w:rsidP="00FE76A8">
      <w:pPr>
        <w:spacing w:after="120" w:line="240" w:lineRule="auto"/>
        <w:rPr>
          <w:rFonts w:asciiTheme="majorHAnsi" w:eastAsia="Calibri" w:hAnsiTheme="majorHAnsi" w:cstheme="majorHAnsi"/>
          <w:sz w:val="24"/>
          <w:szCs w:val="24"/>
        </w:rPr>
      </w:pPr>
    </w:p>
    <w:p w14:paraId="66D35C9A" w14:textId="3ECEB534" w:rsidR="00147901" w:rsidRDefault="00147901" w:rsidP="00147901">
      <w:pPr>
        <w:pStyle w:val="Style2"/>
      </w:pPr>
      <w:bookmarkStart w:id="35" w:name="_Toc42764235"/>
      <w:r>
        <w:lastRenderedPageBreak/>
        <w:t>Principle 4</w:t>
      </w:r>
      <w:bookmarkEnd w:id="35"/>
      <w:r w:rsidR="00E338F6">
        <w:rPr>
          <w:noProof/>
          <w:lang w:val="en-AU"/>
        </w:rPr>
        <mc:AlternateContent>
          <mc:Choice Requires="wps">
            <w:drawing>
              <wp:inline distT="0" distB="0" distL="0" distR="0" wp14:anchorId="1B0A746B" wp14:editId="055D1AAF">
                <wp:extent cx="5943600" cy="516973"/>
                <wp:effectExtent l="0" t="0" r="19050" b="16510"/>
                <wp:docPr id="22" name="Text Box 22"/>
                <wp:cNvGraphicFramePr/>
                <a:graphic xmlns:a="http://schemas.openxmlformats.org/drawingml/2006/main">
                  <a:graphicData uri="http://schemas.microsoft.com/office/word/2010/wordprocessingShape">
                    <wps:wsp>
                      <wps:cNvSpPr txBox="1"/>
                      <wps:spPr>
                        <a:xfrm>
                          <a:off x="0" y="0"/>
                          <a:ext cx="5943600" cy="516973"/>
                        </a:xfrm>
                        <a:prstGeom prst="rect">
                          <a:avLst/>
                        </a:prstGeom>
                        <a:solidFill>
                          <a:schemeClr val="accent3">
                            <a:lumMod val="60000"/>
                            <a:lumOff val="40000"/>
                          </a:schemeClr>
                        </a:solidFill>
                        <a:ln w="6350">
                          <a:solidFill>
                            <a:prstClr val="black"/>
                          </a:solidFill>
                        </a:ln>
                      </wps:spPr>
                      <wps:txbx>
                        <w:txbxContent>
                          <w:p w14:paraId="6B9B45B9" w14:textId="77777777" w:rsidR="00E338F6" w:rsidRPr="004E4F83" w:rsidRDefault="00E338F6" w:rsidP="00E338F6">
                            <w:pPr>
                              <w:spacing w:after="180" w:line="240" w:lineRule="auto"/>
                              <w:rPr>
                                <w:rFonts w:asciiTheme="majorHAnsi" w:eastAsiaTheme="minorHAnsi" w:hAnsiTheme="majorHAnsi" w:cstheme="majorHAnsi"/>
                                <w:b/>
                                <w:i/>
                                <w:sz w:val="24"/>
                                <w:szCs w:val="24"/>
                                <w:lang w:val="en-AU" w:eastAsia="en-US"/>
                              </w:rPr>
                            </w:pPr>
                            <w:r w:rsidRPr="004E4F83">
                              <w:rPr>
                                <w:rFonts w:asciiTheme="majorHAnsi" w:eastAsiaTheme="minorHAnsi" w:hAnsiTheme="majorHAnsi" w:cstheme="majorHAnsi"/>
                                <w:b/>
                                <w:i/>
                                <w:sz w:val="24"/>
                                <w:szCs w:val="24"/>
                                <w:lang w:val="en-AU" w:eastAsia="en-US"/>
                              </w:rPr>
                              <w:t>P</w:t>
                            </w:r>
                            <w:r>
                              <w:rPr>
                                <w:rFonts w:asciiTheme="majorHAnsi" w:eastAsiaTheme="minorHAnsi" w:hAnsiTheme="majorHAnsi" w:cstheme="majorHAnsi"/>
                                <w:b/>
                                <w:i/>
                                <w:sz w:val="24"/>
                                <w:szCs w:val="24"/>
                                <w:lang w:val="en-AU" w:eastAsia="en-US"/>
                              </w:rPr>
                              <w:t>4</w:t>
                            </w:r>
                            <w:r w:rsidRPr="004E4F83">
                              <w:rPr>
                                <w:rFonts w:asciiTheme="majorHAnsi" w:eastAsiaTheme="minorHAnsi" w:hAnsiTheme="majorHAnsi" w:cstheme="majorHAnsi"/>
                                <w:b/>
                                <w:i/>
                                <w:sz w:val="24"/>
                                <w:szCs w:val="24"/>
                                <w:lang w:val="en-AU" w:eastAsia="en-US"/>
                              </w:rPr>
                              <w:t xml:space="preserve"> –</w:t>
                            </w:r>
                            <w:r>
                              <w:rPr>
                                <w:rFonts w:asciiTheme="majorHAnsi" w:eastAsiaTheme="minorHAnsi" w:hAnsiTheme="majorHAnsi" w:cstheme="majorHAnsi"/>
                                <w:b/>
                                <w:i/>
                                <w:sz w:val="24"/>
                                <w:szCs w:val="24"/>
                                <w:lang w:val="en-AU" w:eastAsia="en-US"/>
                              </w:rPr>
                              <w:t xml:space="preserve"> </w:t>
                            </w:r>
                            <w:r w:rsidRPr="00147901">
                              <w:rPr>
                                <w:rFonts w:asciiTheme="majorHAnsi" w:eastAsiaTheme="minorHAnsi" w:hAnsiTheme="majorHAnsi" w:cstheme="majorHAnsi"/>
                                <w:b/>
                                <w:i/>
                                <w:sz w:val="24"/>
                                <w:szCs w:val="24"/>
                                <w:lang w:val="en-AU" w:eastAsia="en-US"/>
                              </w:rPr>
                              <w:t>Must not create unintended consequences or perverse incentives that undermine the role of face-to-face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0A746B" id="Text Box 22" o:spid="_x0000_s1031" type="#_x0000_t202" style="width:468pt;height:4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" fillcolor="#c2d69b [1942]" strokeweight=".5pt">
                <v:textbox>
                  <w:txbxContent>
                    <w:p w14:paraId="6B9B45B9" w14:textId="77777777" w:rsidR="00E338F6" w:rsidRPr="004E4F83" w:rsidRDefault="00E338F6" w:rsidP="00E338F6">
                      <w:pPr>
                        <w:spacing w:after="180" w:line="240" w:lineRule="auto"/>
                        <w:rPr>
                          <w:rFonts w:asciiTheme="majorHAnsi" w:eastAsiaTheme="minorHAnsi" w:hAnsiTheme="majorHAnsi" w:cstheme="majorHAnsi"/>
                          <w:b/>
                          <w:i/>
                          <w:sz w:val="24"/>
                          <w:szCs w:val="24"/>
                          <w:lang w:val="en-AU" w:eastAsia="en-US"/>
                        </w:rPr>
                      </w:pPr>
                      <w:r w:rsidRPr="004E4F83">
                        <w:rPr>
                          <w:rFonts w:asciiTheme="majorHAnsi" w:eastAsiaTheme="minorHAnsi" w:hAnsiTheme="majorHAnsi" w:cstheme="majorHAnsi"/>
                          <w:b/>
                          <w:i/>
                          <w:sz w:val="24"/>
                          <w:szCs w:val="24"/>
                          <w:lang w:val="en-AU" w:eastAsia="en-US"/>
                        </w:rPr>
                        <w:t>P</w:t>
                      </w:r>
                      <w:r>
                        <w:rPr>
                          <w:rFonts w:asciiTheme="majorHAnsi" w:eastAsiaTheme="minorHAnsi" w:hAnsiTheme="majorHAnsi" w:cstheme="majorHAnsi"/>
                          <w:b/>
                          <w:i/>
                          <w:sz w:val="24"/>
                          <w:szCs w:val="24"/>
                          <w:lang w:val="en-AU" w:eastAsia="en-US"/>
                        </w:rPr>
                        <w:t>4</w:t>
                      </w:r>
                      <w:r w:rsidRPr="004E4F83">
                        <w:rPr>
                          <w:rFonts w:asciiTheme="majorHAnsi" w:eastAsiaTheme="minorHAnsi" w:hAnsiTheme="majorHAnsi" w:cstheme="majorHAnsi"/>
                          <w:b/>
                          <w:i/>
                          <w:sz w:val="24"/>
                          <w:szCs w:val="24"/>
                          <w:lang w:val="en-AU" w:eastAsia="en-US"/>
                        </w:rPr>
                        <w:t xml:space="preserve"> –</w:t>
                      </w:r>
                      <w:r>
                        <w:rPr>
                          <w:rFonts w:asciiTheme="majorHAnsi" w:eastAsiaTheme="minorHAnsi" w:hAnsiTheme="majorHAnsi" w:cstheme="majorHAnsi"/>
                          <w:b/>
                          <w:i/>
                          <w:sz w:val="24"/>
                          <w:szCs w:val="24"/>
                          <w:lang w:val="en-AU" w:eastAsia="en-US"/>
                        </w:rPr>
                        <w:t xml:space="preserve"> </w:t>
                      </w:r>
                      <w:r w:rsidRPr="00147901">
                        <w:rPr>
                          <w:rFonts w:asciiTheme="majorHAnsi" w:eastAsiaTheme="minorHAnsi" w:hAnsiTheme="majorHAnsi" w:cstheme="majorHAnsi"/>
                          <w:b/>
                          <w:i/>
                          <w:sz w:val="24"/>
                          <w:szCs w:val="24"/>
                          <w:lang w:val="en-AU" w:eastAsia="en-US"/>
                        </w:rPr>
                        <w:t>Must not create unintended consequences or perverse incentives that undermine the role of face-to-face care.</w:t>
                      </w:r>
                    </w:p>
                  </w:txbxContent>
                </v:textbox>
                <w10:anchorlock/>
              </v:shape>
            </w:pict>
          </mc:Fallback>
        </mc:AlternateContent>
      </w:r>
    </w:p>
    <w:p w14:paraId="399E0AAA" w14:textId="1DF952F0" w:rsidR="00147901" w:rsidRPr="0055135E" w:rsidRDefault="00147901" w:rsidP="00147901">
      <w:pPr>
        <w:spacing w:after="180" w:line="240" w:lineRule="auto"/>
        <w:rPr>
          <w:rFonts w:ascii="Calibri" w:eastAsia="Calibri" w:hAnsi="Calibri" w:cs="Calibri"/>
          <w:sz w:val="24"/>
          <w:szCs w:val="24"/>
        </w:rPr>
      </w:pPr>
      <w:r w:rsidRPr="0055135E">
        <w:rPr>
          <w:rFonts w:ascii="Calibri" w:eastAsia="Calibri" w:hAnsi="Calibri" w:cs="Calibri"/>
          <w:sz w:val="24"/>
          <w:szCs w:val="24"/>
        </w:rPr>
        <w:t xml:space="preserve">MBS Telehealth must </w:t>
      </w:r>
      <w:r w:rsidRPr="451677D1">
        <w:rPr>
          <w:rFonts w:ascii="Calibri" w:eastAsia="Calibri" w:hAnsi="Calibri" w:cs="Calibri"/>
          <w:sz w:val="24"/>
          <w:szCs w:val="24"/>
        </w:rPr>
        <w:t xml:space="preserve">reflect </w:t>
      </w:r>
      <w:r w:rsidRPr="0055135E">
        <w:rPr>
          <w:rFonts w:ascii="Calibri" w:eastAsia="Calibri" w:hAnsi="Calibri" w:cs="Calibri"/>
          <w:sz w:val="24"/>
          <w:szCs w:val="24"/>
        </w:rPr>
        <w:t>the need for face-to-face care and should not create unintended consequences or incentives that decrease the role of appropriate face-to-face care. MBS Telehealth is not a ‘substitute for service’ but is</w:t>
      </w:r>
      <w:r>
        <w:rPr>
          <w:rFonts w:ascii="Calibri" w:eastAsia="Calibri" w:hAnsi="Calibri" w:cs="Calibri"/>
          <w:sz w:val="24"/>
          <w:szCs w:val="24"/>
        </w:rPr>
        <w:t xml:space="preserve"> intended to be </w:t>
      </w:r>
      <w:r w:rsidRPr="0055135E">
        <w:rPr>
          <w:rFonts w:ascii="Calibri" w:eastAsia="Calibri" w:hAnsi="Calibri" w:cs="Calibri"/>
          <w:sz w:val="24"/>
          <w:szCs w:val="24"/>
        </w:rPr>
        <w:t>a ‘complementary service’ to the normal face-to-face visits</w:t>
      </w:r>
      <w:r>
        <w:rPr>
          <w:rFonts w:ascii="Calibri" w:eastAsia="Calibri" w:hAnsi="Calibri" w:cs="Calibri"/>
          <w:sz w:val="24"/>
          <w:szCs w:val="24"/>
        </w:rPr>
        <w:t xml:space="preserve"> where a </w:t>
      </w:r>
      <w:r w:rsidRPr="0055135E">
        <w:rPr>
          <w:rFonts w:ascii="Calibri" w:eastAsia="Calibri" w:hAnsi="Calibri" w:cs="Calibri"/>
          <w:sz w:val="24"/>
          <w:szCs w:val="24"/>
        </w:rPr>
        <w:t>more comprehensive physical assessments of patients</w:t>
      </w:r>
      <w:r>
        <w:rPr>
          <w:rFonts w:ascii="Calibri" w:eastAsia="Calibri" w:hAnsi="Calibri" w:cs="Calibri"/>
          <w:sz w:val="24"/>
          <w:szCs w:val="24"/>
        </w:rPr>
        <w:t xml:space="preserve"> can be conducted</w:t>
      </w:r>
      <w:r w:rsidRPr="0055135E">
        <w:rPr>
          <w:rFonts w:ascii="Calibri" w:eastAsia="Calibri" w:hAnsi="Calibri" w:cs="Calibri"/>
          <w:sz w:val="24"/>
          <w:szCs w:val="24"/>
        </w:rPr>
        <w:t>, as well as the formation</w:t>
      </w:r>
      <w:r>
        <w:rPr>
          <w:rFonts w:ascii="Calibri" w:eastAsia="Calibri" w:hAnsi="Calibri" w:cs="Calibri"/>
          <w:sz w:val="24"/>
          <w:szCs w:val="24"/>
        </w:rPr>
        <w:t xml:space="preserve"> and consolidation</w:t>
      </w:r>
      <w:r w:rsidRPr="0055135E">
        <w:rPr>
          <w:rFonts w:ascii="Calibri" w:eastAsia="Calibri" w:hAnsi="Calibri" w:cs="Calibri"/>
          <w:sz w:val="24"/>
          <w:szCs w:val="24"/>
        </w:rPr>
        <w:t xml:space="preserve"> of the health professional-patient relationship.</w:t>
      </w:r>
    </w:p>
    <w:p w14:paraId="7F0BE3D6" w14:textId="77777777" w:rsidR="00147901" w:rsidRPr="0055135E" w:rsidRDefault="00147901" w:rsidP="00147901">
      <w:pPr>
        <w:spacing w:after="120" w:line="240" w:lineRule="auto"/>
        <w:rPr>
          <w:rFonts w:ascii="Calibri" w:eastAsia="Calibri" w:hAnsi="Calibri" w:cs="Calibri"/>
          <w:sz w:val="24"/>
          <w:szCs w:val="24"/>
        </w:rPr>
      </w:pPr>
      <w:r w:rsidRPr="0055135E">
        <w:rPr>
          <w:rFonts w:ascii="Calibri" w:eastAsia="Calibri" w:hAnsi="Calibri" w:cs="Calibri"/>
          <w:sz w:val="24"/>
          <w:szCs w:val="24"/>
        </w:rPr>
        <w:t xml:space="preserve">An example of the comparison are the COVID-19 Telehealth items (which are out of scope of the Working Group but serve to demonstrate </w:t>
      </w:r>
      <w:r>
        <w:rPr>
          <w:rFonts w:ascii="Calibri" w:eastAsia="Calibri" w:hAnsi="Calibri" w:cs="Calibri"/>
          <w:sz w:val="24"/>
          <w:szCs w:val="24"/>
        </w:rPr>
        <w:t xml:space="preserve">this </w:t>
      </w:r>
      <w:r w:rsidRPr="0055135E">
        <w:rPr>
          <w:rFonts w:ascii="Calibri" w:eastAsia="Calibri" w:hAnsi="Calibri" w:cs="Calibri"/>
          <w:sz w:val="24"/>
          <w:szCs w:val="24"/>
        </w:rPr>
        <w:t xml:space="preserve">concept). This suite of items was introduced to mirror existing MBS items, but with the provision they can be provided by telehealth. These items were released before the Telehealth Working Group’s report, and therefore were not subject to the Working Group’s Principles </w:t>
      </w:r>
      <w:r>
        <w:rPr>
          <w:rFonts w:ascii="Calibri" w:eastAsia="Calibri" w:hAnsi="Calibri" w:cs="Calibri"/>
          <w:sz w:val="24"/>
          <w:szCs w:val="24"/>
        </w:rPr>
        <w:t>that they be complementary to face to face visits</w:t>
      </w:r>
      <w:r w:rsidRPr="0055135E">
        <w:rPr>
          <w:rFonts w:ascii="Calibri" w:eastAsia="Calibri" w:hAnsi="Calibri" w:cs="Calibri"/>
          <w:sz w:val="24"/>
          <w:szCs w:val="24"/>
        </w:rPr>
        <w:t xml:space="preserve">. </w:t>
      </w:r>
      <w:r>
        <w:rPr>
          <w:rFonts w:ascii="Calibri" w:eastAsia="Calibri" w:hAnsi="Calibri" w:cs="Calibri"/>
          <w:sz w:val="24"/>
          <w:szCs w:val="24"/>
        </w:rPr>
        <w:t xml:space="preserve">There is evidence of high throughput </w:t>
      </w:r>
      <w:r w:rsidR="00572D6C">
        <w:rPr>
          <w:rFonts w:ascii="Calibri" w:eastAsia="Calibri" w:hAnsi="Calibri" w:cs="Calibri"/>
          <w:sz w:val="24"/>
          <w:szCs w:val="24"/>
        </w:rPr>
        <w:t>“</w:t>
      </w:r>
      <w:r>
        <w:rPr>
          <w:rFonts w:ascii="Calibri" w:eastAsia="Calibri" w:hAnsi="Calibri" w:cs="Calibri"/>
          <w:sz w:val="24"/>
          <w:szCs w:val="24"/>
        </w:rPr>
        <w:t>telehealth only services</w:t>
      </w:r>
      <w:r w:rsidR="00572D6C">
        <w:rPr>
          <w:rFonts w:ascii="Calibri" w:eastAsia="Calibri" w:hAnsi="Calibri" w:cs="Calibri"/>
          <w:sz w:val="24"/>
          <w:szCs w:val="24"/>
        </w:rPr>
        <w:t>”</w:t>
      </w:r>
      <w:r>
        <w:rPr>
          <w:rFonts w:ascii="Calibri" w:eastAsia="Calibri" w:hAnsi="Calibri" w:cs="Calibri"/>
          <w:sz w:val="24"/>
          <w:szCs w:val="24"/>
        </w:rPr>
        <w:t xml:space="preserve"> providing care of questionable value</w:t>
      </w:r>
      <w:r w:rsidR="00572D6C">
        <w:rPr>
          <w:rFonts w:ascii="Calibri" w:eastAsia="Calibri" w:hAnsi="Calibri" w:cs="Calibri"/>
          <w:sz w:val="24"/>
          <w:szCs w:val="24"/>
        </w:rPr>
        <w:t xml:space="preserve"> emerging</w:t>
      </w:r>
      <w:r>
        <w:rPr>
          <w:rFonts w:ascii="Calibri" w:eastAsia="Calibri" w:hAnsi="Calibri" w:cs="Calibri"/>
          <w:sz w:val="24"/>
          <w:szCs w:val="24"/>
        </w:rPr>
        <w:t>.</w:t>
      </w:r>
    </w:p>
    <w:p w14:paraId="06307EE8" w14:textId="77777777" w:rsidR="00147901" w:rsidRPr="0055135E" w:rsidRDefault="00147901" w:rsidP="00147901">
      <w:pPr>
        <w:spacing w:after="120" w:line="240" w:lineRule="auto"/>
        <w:rPr>
          <w:rFonts w:ascii="Calibri" w:eastAsia="Calibri" w:hAnsi="Calibri" w:cs="Calibri"/>
          <w:b/>
          <w:bCs/>
          <w:sz w:val="24"/>
          <w:szCs w:val="24"/>
        </w:rPr>
      </w:pPr>
      <w:r w:rsidRPr="0055135E">
        <w:rPr>
          <w:rFonts w:ascii="Calibri" w:eastAsia="Calibri" w:hAnsi="Calibri" w:cs="Calibri"/>
          <w:sz w:val="24"/>
          <w:szCs w:val="24"/>
        </w:rPr>
        <w:t>The Working Group noted the rationales provided by Clinical Committees regarding clinical efficacy. The Working Group acknowledges this evidence has been considered in developing the Principles.</w:t>
      </w:r>
    </w:p>
    <w:p w14:paraId="0D814EFE" w14:textId="77777777" w:rsidR="00147901" w:rsidRPr="0055135E" w:rsidRDefault="00147901" w:rsidP="00147901">
      <w:pPr>
        <w:spacing w:after="120" w:line="240" w:lineRule="auto"/>
        <w:rPr>
          <w:rFonts w:ascii="Calibri" w:eastAsia="Calibri" w:hAnsi="Calibri" w:cs="Calibri"/>
          <w:b/>
          <w:sz w:val="24"/>
          <w:szCs w:val="24"/>
        </w:rPr>
      </w:pPr>
      <w:r w:rsidRPr="0055135E">
        <w:rPr>
          <w:rFonts w:ascii="Calibri" w:eastAsia="Calibri" w:hAnsi="Calibri" w:cs="Calibri"/>
          <w:sz w:val="24"/>
          <w:szCs w:val="24"/>
        </w:rPr>
        <w:t xml:space="preserve">The required standard of care will need to be carefully defined for each professional group offering MBS Telehealth services and an appropriate regulatory framework instituted to ensure standards are met and maintained. </w:t>
      </w:r>
    </w:p>
    <w:p w14:paraId="34C02F68" w14:textId="77777777" w:rsidR="00147901" w:rsidRDefault="00147901" w:rsidP="00147901">
      <w:pPr>
        <w:spacing w:after="120" w:line="240" w:lineRule="auto"/>
        <w:rPr>
          <w:rFonts w:ascii="Calibri" w:eastAsia="Calibri" w:hAnsi="Calibri" w:cs="Calibri"/>
          <w:b/>
        </w:rPr>
      </w:pPr>
      <w:r>
        <w:rPr>
          <w:rFonts w:ascii="Calibri" w:eastAsia="Calibri" w:hAnsi="Calibri" w:cs="Calibri"/>
          <w:b/>
        </w:rPr>
        <w:t>Further Consideration</w:t>
      </w:r>
    </w:p>
    <w:p w14:paraId="4BE7670C" w14:textId="77777777" w:rsidR="00147901" w:rsidRPr="00AA7184" w:rsidRDefault="00147901" w:rsidP="00147901">
      <w:pPr>
        <w:spacing w:after="120" w:line="240" w:lineRule="auto"/>
        <w:rPr>
          <w:rFonts w:ascii="Calibri" w:eastAsia="Calibri" w:hAnsi="Calibri" w:cs="Calibri"/>
          <w:sz w:val="24"/>
          <w:szCs w:val="24"/>
        </w:rPr>
      </w:pPr>
      <w:r w:rsidRPr="0055135E">
        <w:rPr>
          <w:rFonts w:ascii="Calibri" w:eastAsia="Calibri" w:hAnsi="Calibri" w:cs="Calibri"/>
          <w:sz w:val="24"/>
          <w:szCs w:val="24"/>
        </w:rPr>
        <w:t xml:space="preserve">Work will need to be undertaken to </w:t>
      </w:r>
      <w:r>
        <w:rPr>
          <w:rFonts w:ascii="Calibri" w:eastAsia="Calibri" w:hAnsi="Calibri" w:cs="Calibri"/>
          <w:sz w:val="24"/>
          <w:szCs w:val="24"/>
        </w:rPr>
        <w:t xml:space="preserve">further </w:t>
      </w:r>
      <w:r w:rsidRPr="0055135E">
        <w:rPr>
          <w:rFonts w:ascii="Calibri" w:eastAsia="Calibri" w:hAnsi="Calibri" w:cs="Calibri"/>
          <w:sz w:val="24"/>
          <w:szCs w:val="24"/>
        </w:rPr>
        <w:t>define “Clinical efficac</w:t>
      </w:r>
      <w:r>
        <w:rPr>
          <w:rFonts w:ascii="Calibri" w:eastAsia="Calibri" w:hAnsi="Calibri" w:cs="Calibri"/>
          <w:sz w:val="24"/>
          <w:szCs w:val="24"/>
        </w:rPr>
        <w:t>y”</w:t>
      </w:r>
      <w:r w:rsidRPr="00AA7184">
        <w:rPr>
          <w:rFonts w:ascii="Calibri" w:eastAsia="Calibri" w:hAnsi="Calibri" w:cs="Calibri"/>
          <w:sz w:val="24"/>
          <w:szCs w:val="24"/>
        </w:rPr>
        <w:t xml:space="preserve"> </w:t>
      </w:r>
      <w:r>
        <w:rPr>
          <w:rFonts w:ascii="Calibri" w:eastAsia="Calibri" w:hAnsi="Calibri" w:cs="Calibri"/>
          <w:sz w:val="24"/>
          <w:szCs w:val="24"/>
        </w:rPr>
        <w:t xml:space="preserve">and </w:t>
      </w:r>
      <w:r w:rsidRPr="00AA7184">
        <w:rPr>
          <w:rFonts w:ascii="Calibri" w:eastAsia="Calibri" w:hAnsi="Calibri" w:cs="Calibri"/>
          <w:sz w:val="24"/>
          <w:szCs w:val="24"/>
        </w:rPr>
        <w:t xml:space="preserve">will require </w:t>
      </w:r>
      <w:r>
        <w:rPr>
          <w:rFonts w:ascii="Calibri" w:eastAsia="Calibri" w:hAnsi="Calibri" w:cs="Calibri"/>
          <w:sz w:val="24"/>
          <w:szCs w:val="24"/>
        </w:rPr>
        <w:t xml:space="preserve">support from Professional Groups and Colleges </w:t>
      </w:r>
      <w:r w:rsidRPr="00AA7184">
        <w:rPr>
          <w:rFonts w:ascii="Calibri" w:eastAsia="Calibri" w:hAnsi="Calibri" w:cs="Calibri"/>
          <w:sz w:val="24"/>
          <w:szCs w:val="24"/>
        </w:rPr>
        <w:t xml:space="preserve">to </w:t>
      </w:r>
      <w:proofErr w:type="spellStart"/>
      <w:r>
        <w:rPr>
          <w:rFonts w:ascii="Calibri" w:eastAsia="Calibri" w:hAnsi="Calibri" w:cs="Calibri"/>
          <w:sz w:val="24"/>
          <w:szCs w:val="24"/>
        </w:rPr>
        <w:t>maximise</w:t>
      </w:r>
      <w:proofErr w:type="spellEnd"/>
      <w:r>
        <w:rPr>
          <w:rFonts w:ascii="Calibri" w:eastAsia="Calibri" w:hAnsi="Calibri" w:cs="Calibri"/>
          <w:sz w:val="24"/>
          <w:szCs w:val="24"/>
        </w:rPr>
        <w:t xml:space="preserve"> the </w:t>
      </w:r>
      <w:r w:rsidRPr="00AA7184">
        <w:rPr>
          <w:rFonts w:ascii="Calibri" w:eastAsia="Calibri" w:hAnsi="Calibri" w:cs="Calibri"/>
          <w:sz w:val="24"/>
          <w:szCs w:val="24"/>
        </w:rPr>
        <w:t>quality of consultation</w:t>
      </w:r>
      <w:r>
        <w:rPr>
          <w:rFonts w:ascii="Calibri" w:eastAsia="Calibri" w:hAnsi="Calibri" w:cs="Calibri"/>
          <w:sz w:val="24"/>
          <w:szCs w:val="24"/>
        </w:rPr>
        <w:t>s</w:t>
      </w:r>
      <w:r w:rsidRPr="00AA7184">
        <w:rPr>
          <w:rFonts w:ascii="Calibri" w:eastAsia="Calibri" w:hAnsi="Calibri" w:cs="Calibri"/>
          <w:sz w:val="24"/>
          <w:szCs w:val="24"/>
        </w:rPr>
        <w:t xml:space="preserve"> deliver</w:t>
      </w:r>
      <w:r>
        <w:rPr>
          <w:rFonts w:ascii="Calibri" w:eastAsia="Calibri" w:hAnsi="Calibri" w:cs="Calibri"/>
          <w:sz w:val="24"/>
          <w:szCs w:val="24"/>
        </w:rPr>
        <w:t>ed</w:t>
      </w:r>
      <w:r w:rsidRPr="00AA7184">
        <w:rPr>
          <w:rFonts w:ascii="Calibri" w:eastAsia="Calibri" w:hAnsi="Calibri" w:cs="Calibri"/>
          <w:sz w:val="24"/>
          <w:szCs w:val="24"/>
        </w:rPr>
        <w:t xml:space="preserve"> via a telehealth modality. </w:t>
      </w:r>
    </w:p>
    <w:p w14:paraId="07690F07" w14:textId="77777777" w:rsidR="00147901" w:rsidRPr="00AA7184" w:rsidRDefault="00147901" w:rsidP="00147901">
      <w:pPr>
        <w:spacing w:after="120" w:line="240" w:lineRule="auto"/>
        <w:rPr>
          <w:rFonts w:ascii="Calibri" w:eastAsia="Calibri" w:hAnsi="Calibri" w:cs="Calibri"/>
          <w:sz w:val="24"/>
          <w:szCs w:val="24"/>
        </w:rPr>
      </w:pPr>
      <w:r w:rsidRPr="00AA7184">
        <w:rPr>
          <w:rFonts w:ascii="Calibri" w:eastAsia="Calibri" w:hAnsi="Calibri" w:cs="Calibri"/>
          <w:sz w:val="24"/>
          <w:szCs w:val="24"/>
          <w:u w:val="single"/>
        </w:rPr>
        <w:t>Risk</w:t>
      </w:r>
      <w:r w:rsidRPr="00AA7184">
        <w:rPr>
          <w:rFonts w:ascii="Calibri" w:eastAsia="Calibri" w:hAnsi="Calibri" w:cs="Calibri"/>
          <w:sz w:val="24"/>
          <w:szCs w:val="24"/>
        </w:rPr>
        <w:t xml:space="preserve">: The Working Group is </w:t>
      </w:r>
      <w:proofErr w:type="spellStart"/>
      <w:r w:rsidRPr="00AA7184">
        <w:rPr>
          <w:rFonts w:ascii="Calibri" w:eastAsia="Calibri" w:hAnsi="Calibri" w:cs="Calibri"/>
          <w:sz w:val="24"/>
          <w:szCs w:val="24"/>
        </w:rPr>
        <w:t>cognisant</w:t>
      </w:r>
      <w:proofErr w:type="spellEnd"/>
      <w:r w:rsidRPr="00AA7184">
        <w:rPr>
          <w:rFonts w:ascii="Calibri" w:eastAsia="Calibri" w:hAnsi="Calibri" w:cs="Calibri"/>
          <w:sz w:val="24"/>
          <w:szCs w:val="24"/>
        </w:rPr>
        <w:t xml:space="preserve"> that low value and </w:t>
      </w:r>
      <w:r>
        <w:rPr>
          <w:rFonts w:ascii="Calibri" w:eastAsia="Calibri" w:hAnsi="Calibri" w:cs="Calibri"/>
          <w:sz w:val="24"/>
          <w:szCs w:val="24"/>
        </w:rPr>
        <w:t xml:space="preserve">high throughput </w:t>
      </w:r>
      <w:r w:rsidRPr="00AA7184">
        <w:rPr>
          <w:rFonts w:ascii="Calibri" w:eastAsia="Calibri" w:hAnsi="Calibri" w:cs="Calibri"/>
          <w:sz w:val="24"/>
          <w:szCs w:val="24"/>
        </w:rPr>
        <w:t>models of care can be facilitated by telehealth</w:t>
      </w:r>
      <w:r>
        <w:rPr>
          <w:rFonts w:ascii="Calibri" w:eastAsia="Calibri" w:hAnsi="Calibri" w:cs="Calibri"/>
          <w:sz w:val="24"/>
          <w:szCs w:val="24"/>
        </w:rPr>
        <w:t xml:space="preserve"> and the need to </w:t>
      </w:r>
      <w:proofErr w:type="spellStart"/>
      <w:r>
        <w:rPr>
          <w:rFonts w:ascii="Calibri" w:eastAsia="Calibri" w:hAnsi="Calibri" w:cs="Calibri"/>
          <w:sz w:val="24"/>
          <w:szCs w:val="24"/>
        </w:rPr>
        <w:t>minimise</w:t>
      </w:r>
      <w:proofErr w:type="spellEnd"/>
      <w:r>
        <w:rPr>
          <w:rFonts w:ascii="Calibri" w:eastAsia="Calibri" w:hAnsi="Calibri" w:cs="Calibri"/>
          <w:sz w:val="24"/>
          <w:szCs w:val="24"/>
        </w:rPr>
        <w:t xml:space="preserve"> this risk.</w:t>
      </w:r>
    </w:p>
    <w:p w14:paraId="647246F3" w14:textId="77777777" w:rsidR="00147901" w:rsidRPr="00AA7184" w:rsidRDefault="00147901" w:rsidP="00147901">
      <w:pPr>
        <w:spacing w:after="120" w:line="240" w:lineRule="auto"/>
        <w:rPr>
          <w:rFonts w:ascii="Calibri" w:eastAsia="Calibri" w:hAnsi="Calibri" w:cs="Calibri"/>
          <w:sz w:val="24"/>
          <w:szCs w:val="24"/>
        </w:rPr>
      </w:pPr>
      <w:r w:rsidRPr="00AA7184">
        <w:rPr>
          <w:rFonts w:ascii="Calibri" w:eastAsia="Calibri" w:hAnsi="Calibri" w:cs="Calibri"/>
          <w:sz w:val="24"/>
          <w:szCs w:val="24"/>
          <w:u w:val="single"/>
        </w:rPr>
        <w:t>Consent to telehealth services:</w:t>
      </w:r>
      <w:r w:rsidRPr="00AA7184">
        <w:rPr>
          <w:rFonts w:ascii="Calibri" w:eastAsia="Calibri" w:hAnsi="Calibri" w:cs="Calibri"/>
          <w:sz w:val="24"/>
          <w:szCs w:val="24"/>
        </w:rPr>
        <w:t xml:space="preserve"> After clinical appropriateness is confirmed there needs to be</w:t>
      </w:r>
      <w:r>
        <w:rPr>
          <w:rFonts w:ascii="Calibri" w:eastAsia="Calibri" w:hAnsi="Calibri" w:cs="Calibri"/>
          <w:sz w:val="24"/>
          <w:szCs w:val="24"/>
        </w:rPr>
        <w:t xml:space="preserve"> informed </w:t>
      </w:r>
      <w:r w:rsidRPr="00AA7184">
        <w:rPr>
          <w:rFonts w:ascii="Calibri" w:eastAsia="Calibri" w:hAnsi="Calibri" w:cs="Calibri"/>
          <w:sz w:val="24"/>
          <w:szCs w:val="24"/>
        </w:rPr>
        <w:t>agreement</w:t>
      </w:r>
      <w:r>
        <w:rPr>
          <w:rFonts w:ascii="Calibri" w:eastAsia="Calibri" w:hAnsi="Calibri" w:cs="Calibri"/>
          <w:sz w:val="24"/>
          <w:szCs w:val="24"/>
        </w:rPr>
        <w:t xml:space="preserve"> </w:t>
      </w:r>
      <w:r w:rsidRPr="00AA7184">
        <w:rPr>
          <w:rFonts w:ascii="Calibri" w:eastAsia="Calibri" w:hAnsi="Calibri" w:cs="Calibri"/>
          <w:sz w:val="24"/>
          <w:szCs w:val="24"/>
        </w:rPr>
        <w:t>by both the patient and clinician that the service will be provided via an appropriate telehealth modality</w:t>
      </w:r>
      <w:r w:rsidRPr="000F0582">
        <w:rPr>
          <w:rFonts w:ascii="Calibri" w:eastAsia="Calibri" w:hAnsi="Calibri" w:cs="Calibri"/>
          <w:sz w:val="24"/>
          <w:szCs w:val="24"/>
        </w:rPr>
        <w:t xml:space="preserve">. </w:t>
      </w:r>
    </w:p>
    <w:p w14:paraId="0F18B617" w14:textId="77777777" w:rsidR="00147901" w:rsidRDefault="00147901" w:rsidP="00147901">
      <w:pPr>
        <w:spacing w:after="120" w:line="240" w:lineRule="auto"/>
        <w:rPr>
          <w:rFonts w:ascii="Calibri" w:eastAsia="Calibri" w:hAnsi="Calibri" w:cs="Calibri"/>
          <w:b/>
        </w:rPr>
      </w:pPr>
      <w:r>
        <w:rPr>
          <w:rFonts w:ascii="Calibri" w:eastAsia="Calibri" w:hAnsi="Calibri" w:cs="Calibri"/>
          <w:b/>
        </w:rPr>
        <w:t>Case Example 1</w:t>
      </w:r>
    </w:p>
    <w:p w14:paraId="420E53B7" w14:textId="77777777" w:rsidR="00147901" w:rsidRPr="004E0D87" w:rsidRDefault="00147901" w:rsidP="00147901">
      <w:pPr>
        <w:spacing w:after="120" w:line="240" w:lineRule="auto"/>
        <w:rPr>
          <w:rFonts w:asciiTheme="majorHAnsi" w:eastAsia="Calibri" w:hAnsiTheme="majorHAnsi" w:cstheme="majorHAnsi"/>
          <w:sz w:val="24"/>
          <w:szCs w:val="24"/>
        </w:rPr>
      </w:pPr>
      <w:r w:rsidRPr="004E0D87">
        <w:rPr>
          <w:rFonts w:asciiTheme="majorHAnsi" w:eastAsia="Calibri" w:hAnsiTheme="majorHAnsi" w:cstheme="majorHAnsi"/>
          <w:sz w:val="24"/>
          <w:szCs w:val="24"/>
        </w:rPr>
        <w:t>Antenatal care provided should be consistent with the Pregnancy Care Guidelines (</w:t>
      </w:r>
      <w:hyperlink r:id="rId21">
        <w:r w:rsidRPr="004E0D87">
          <w:rPr>
            <w:rFonts w:asciiTheme="majorHAnsi" w:eastAsia="Calibri" w:hAnsiTheme="majorHAnsi" w:cstheme="majorHAnsi"/>
            <w:color w:val="1155CC"/>
            <w:sz w:val="24"/>
            <w:szCs w:val="24"/>
            <w:u w:val="single"/>
          </w:rPr>
          <w:t>www.health.gov.au/pregnancycareguidelines</w:t>
        </w:r>
      </w:hyperlink>
      <w:r w:rsidRPr="004E0D87">
        <w:rPr>
          <w:rFonts w:asciiTheme="majorHAnsi" w:eastAsia="Calibri" w:hAnsiTheme="majorHAnsi" w:cstheme="majorHAnsi"/>
          <w:sz w:val="24"/>
          <w:szCs w:val="24"/>
        </w:rPr>
        <w:t xml:space="preserve">) and many of the activities that are recommended to be undertaken at antenatal appointments such as measuring blood pressure, assessing </w:t>
      </w:r>
      <w:proofErr w:type="spellStart"/>
      <w:r w:rsidRPr="004E0D87">
        <w:rPr>
          <w:rFonts w:asciiTheme="majorHAnsi" w:eastAsia="Calibri" w:hAnsiTheme="majorHAnsi" w:cstheme="majorHAnsi"/>
          <w:sz w:val="24"/>
          <w:szCs w:val="24"/>
        </w:rPr>
        <w:t>foetal</w:t>
      </w:r>
      <w:proofErr w:type="spellEnd"/>
      <w:r w:rsidRPr="004E0D87">
        <w:rPr>
          <w:rFonts w:asciiTheme="majorHAnsi" w:eastAsia="Calibri" w:hAnsiTheme="majorHAnsi" w:cstheme="majorHAnsi"/>
          <w:sz w:val="24"/>
          <w:szCs w:val="24"/>
        </w:rPr>
        <w:t xml:space="preserve"> growth, and testing for </w:t>
      </w:r>
      <w:proofErr w:type="spellStart"/>
      <w:r w:rsidRPr="004E0D87">
        <w:rPr>
          <w:rFonts w:asciiTheme="majorHAnsi" w:eastAsia="Calibri" w:hAnsiTheme="majorHAnsi" w:cstheme="majorHAnsi"/>
          <w:sz w:val="24"/>
          <w:szCs w:val="24"/>
        </w:rPr>
        <w:t>hyperglycaemia</w:t>
      </w:r>
      <w:proofErr w:type="spellEnd"/>
      <w:r w:rsidRPr="004E0D87">
        <w:rPr>
          <w:rFonts w:asciiTheme="majorHAnsi" w:eastAsia="Calibri" w:hAnsiTheme="majorHAnsi" w:cstheme="majorHAnsi"/>
          <w:sz w:val="24"/>
          <w:szCs w:val="24"/>
        </w:rPr>
        <w:t xml:space="preserve"> and </w:t>
      </w:r>
      <w:proofErr w:type="spellStart"/>
      <w:r w:rsidRPr="004E0D87">
        <w:rPr>
          <w:rFonts w:asciiTheme="majorHAnsi" w:eastAsia="Calibri" w:hAnsiTheme="majorHAnsi" w:cstheme="majorHAnsi"/>
          <w:sz w:val="24"/>
          <w:szCs w:val="24"/>
        </w:rPr>
        <w:t>anaemia</w:t>
      </w:r>
      <w:proofErr w:type="spellEnd"/>
      <w:r w:rsidRPr="004E0D87">
        <w:rPr>
          <w:rFonts w:asciiTheme="majorHAnsi" w:eastAsia="Calibri" w:hAnsiTheme="majorHAnsi" w:cstheme="majorHAnsi"/>
          <w:sz w:val="24"/>
          <w:szCs w:val="24"/>
        </w:rPr>
        <w:t xml:space="preserve"> </w:t>
      </w:r>
      <w:r>
        <w:rPr>
          <w:rFonts w:asciiTheme="majorHAnsi" w:eastAsia="Calibri" w:hAnsiTheme="majorHAnsi" w:cstheme="majorHAnsi"/>
          <w:sz w:val="24"/>
          <w:szCs w:val="24"/>
        </w:rPr>
        <w:t>would not be clinically appropriate</w:t>
      </w:r>
      <w:r w:rsidRPr="004E0D87">
        <w:rPr>
          <w:rFonts w:asciiTheme="majorHAnsi" w:eastAsia="Calibri" w:hAnsiTheme="majorHAnsi" w:cstheme="majorHAnsi"/>
          <w:sz w:val="24"/>
          <w:szCs w:val="24"/>
        </w:rPr>
        <w:t xml:space="preserve"> to be provided via telehealth.</w:t>
      </w:r>
    </w:p>
    <w:p w14:paraId="3AAE78A2" w14:textId="77777777" w:rsidR="00147901" w:rsidRDefault="00147901" w:rsidP="00147901">
      <w:pPr>
        <w:spacing w:after="120" w:line="240" w:lineRule="auto"/>
        <w:rPr>
          <w:rFonts w:ascii="Calibri" w:eastAsia="Calibri" w:hAnsi="Calibri" w:cs="Calibri"/>
        </w:rPr>
      </w:pPr>
      <w:r>
        <w:rPr>
          <w:rFonts w:ascii="Calibri" w:eastAsia="Calibri" w:hAnsi="Calibri" w:cs="Calibri"/>
          <w:b/>
        </w:rPr>
        <w:t>Case Example 2</w:t>
      </w:r>
    </w:p>
    <w:p w14:paraId="3B031005" w14:textId="77777777" w:rsidR="00147901" w:rsidRDefault="00147901" w:rsidP="00147901">
      <w:pPr>
        <w:spacing w:after="120" w:line="240" w:lineRule="auto"/>
        <w:rPr>
          <w:rFonts w:ascii="Calibri" w:eastAsia="Calibri" w:hAnsi="Calibri" w:cs="Calibri"/>
          <w:sz w:val="24"/>
          <w:szCs w:val="24"/>
        </w:rPr>
      </w:pPr>
      <w:r w:rsidRPr="004E0D87">
        <w:rPr>
          <w:rFonts w:ascii="Calibri" w:eastAsia="Calibri" w:hAnsi="Calibri" w:cs="Calibri"/>
          <w:sz w:val="24"/>
          <w:szCs w:val="24"/>
        </w:rPr>
        <w:t xml:space="preserve">A proposed model for telehealth provided by the Mental Health Reference Group notes consultations might include patients with physical disability, severe agoraphobia, and other health conditions whereby attending face-to-face consultations is not practical or for patients </w:t>
      </w:r>
      <w:r w:rsidRPr="004E0D87">
        <w:rPr>
          <w:rFonts w:ascii="Calibri" w:eastAsia="Calibri" w:hAnsi="Calibri" w:cs="Calibri"/>
          <w:sz w:val="24"/>
          <w:szCs w:val="24"/>
        </w:rPr>
        <w:lastRenderedPageBreak/>
        <w:t>who require treatment from a psychiatrist located in another city</w:t>
      </w:r>
      <w:r>
        <w:rPr>
          <w:rFonts w:ascii="Calibri" w:eastAsia="Calibri" w:hAnsi="Calibri" w:cs="Calibri"/>
          <w:sz w:val="24"/>
          <w:szCs w:val="24"/>
        </w:rPr>
        <w:t xml:space="preserve">, and </w:t>
      </w:r>
      <w:r w:rsidRPr="004E0D87">
        <w:rPr>
          <w:rFonts w:ascii="Calibri" w:eastAsia="Calibri" w:hAnsi="Calibri" w:cs="Calibri"/>
          <w:sz w:val="24"/>
          <w:szCs w:val="24"/>
        </w:rPr>
        <w:t>th</w:t>
      </w:r>
      <w:r>
        <w:rPr>
          <w:rFonts w:ascii="Calibri" w:eastAsia="Calibri" w:hAnsi="Calibri" w:cs="Calibri"/>
          <w:sz w:val="24"/>
          <w:szCs w:val="24"/>
        </w:rPr>
        <w:t>at</w:t>
      </w:r>
      <w:r w:rsidRPr="004E0D87">
        <w:rPr>
          <w:rFonts w:ascii="Calibri" w:eastAsia="Calibri" w:hAnsi="Calibri" w:cs="Calibri"/>
          <w:sz w:val="24"/>
          <w:szCs w:val="24"/>
        </w:rPr>
        <w:t xml:space="preserve"> report provided evidence demonstrating clinical efficaciousness for these consultations.</w:t>
      </w:r>
    </w:p>
    <w:p w14:paraId="0D74E89E" w14:textId="7DD1DC33" w:rsidR="00147901" w:rsidRDefault="00147901" w:rsidP="00147901">
      <w:pPr>
        <w:pStyle w:val="Style2"/>
      </w:pPr>
      <w:bookmarkStart w:id="36" w:name="_Toc42764236"/>
      <w:r>
        <w:t>Principle 5</w:t>
      </w:r>
      <w:bookmarkEnd w:id="36"/>
    </w:p>
    <w:p w14:paraId="590CA2A7" w14:textId="77777777" w:rsidR="00147901" w:rsidRDefault="00147901" w:rsidP="00147901">
      <w:pPr>
        <w:spacing w:after="180" w:line="240" w:lineRule="auto"/>
        <w:rPr>
          <w:rFonts w:ascii="Calibri" w:eastAsia="Calibri" w:hAnsi="Calibri" w:cs="Calibri"/>
        </w:rPr>
      </w:pPr>
      <w:r>
        <w:rPr>
          <w:rFonts w:ascii="Calibri" w:eastAsia="Calibri" w:hAnsi="Calibri" w:cs="Calibri"/>
          <w:noProof/>
          <w:lang w:val="en-AU"/>
        </w:rPr>
        <mc:AlternateContent>
          <mc:Choice Requires="wps">
            <w:drawing>
              <wp:inline distT="0" distB="0" distL="0" distR="0" wp14:anchorId="56F15E76" wp14:editId="04C1BD19">
                <wp:extent cx="6081623" cy="664234"/>
                <wp:effectExtent l="0" t="0" r="14605" b="21590"/>
                <wp:docPr id="23" name="Text Box 23"/>
                <wp:cNvGraphicFramePr/>
                <a:graphic xmlns:a="http://schemas.openxmlformats.org/drawingml/2006/main">
                  <a:graphicData uri="http://schemas.microsoft.com/office/word/2010/wordprocessingShape">
                    <wps:wsp>
                      <wps:cNvSpPr txBox="1"/>
                      <wps:spPr>
                        <a:xfrm>
                          <a:off x="0" y="0"/>
                          <a:ext cx="6081623" cy="664234"/>
                        </a:xfrm>
                        <a:prstGeom prst="rect">
                          <a:avLst/>
                        </a:prstGeom>
                        <a:solidFill>
                          <a:schemeClr val="accent3">
                            <a:lumMod val="60000"/>
                            <a:lumOff val="40000"/>
                          </a:schemeClr>
                        </a:solidFill>
                        <a:ln w="6350">
                          <a:solidFill>
                            <a:prstClr val="black"/>
                          </a:solidFill>
                        </a:ln>
                      </wps:spPr>
                      <wps:txbx>
                        <w:txbxContent>
                          <w:p w14:paraId="378F6196" w14:textId="0C5DFF4B" w:rsidR="00D15367" w:rsidRPr="004E4F83" w:rsidRDefault="00D15367" w:rsidP="00147901">
                            <w:pPr>
                              <w:rPr>
                                <w:b/>
                                <w:bCs/>
                                <w:i/>
                                <w:iCs/>
                                <w:lang w:val="en-AU"/>
                              </w:rPr>
                            </w:pPr>
                            <w:r>
                              <w:rPr>
                                <w:b/>
                                <w:bCs/>
                                <w:i/>
                                <w:iCs/>
                                <w:lang w:val="en-AU"/>
                              </w:rPr>
                              <w:t xml:space="preserve">P5 - </w:t>
                            </w:r>
                            <w:r w:rsidRPr="00147901">
                              <w:rPr>
                                <w:b/>
                                <w:bCs/>
                                <w:i/>
                                <w:iCs/>
                                <w:lang w:val="en-AU"/>
                              </w:rPr>
                              <w:t>Should not be specific to the technology used but video offers richer information transfer and should be favoured over phone with fewer exceptions being allowed over time.</w:t>
                            </w:r>
                          </w:p>
                          <w:p w14:paraId="129F89C4" w14:textId="77777777" w:rsidR="00D15367" w:rsidRDefault="00D15367" w:rsidP="001479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F15E76" id="Text Box 23" o:spid="_x0000_s1032" type="#_x0000_t202" style="width:478.85pt;height: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" fillcolor="#c2d69b [1942]" strokeweight=".5pt">
                <v:textbox>
                  <w:txbxContent>
                    <w:p w14:paraId="378F6196" w14:textId="0C5DFF4B" w:rsidR="00D15367" w:rsidRPr="004E4F83" w:rsidRDefault="00D15367" w:rsidP="00147901">
                      <w:pPr>
                        <w:rPr>
                          <w:b/>
                          <w:bCs/>
                          <w:i/>
                          <w:iCs/>
                          <w:lang w:val="en-AU"/>
                        </w:rPr>
                      </w:pPr>
                      <w:r>
                        <w:rPr>
                          <w:b/>
                          <w:bCs/>
                          <w:i/>
                          <w:iCs/>
                          <w:lang w:val="en-AU"/>
                        </w:rPr>
                        <w:t xml:space="preserve">P5 - </w:t>
                      </w:r>
                      <w:r w:rsidRPr="00147901">
                        <w:rPr>
                          <w:b/>
                          <w:bCs/>
                          <w:i/>
                          <w:iCs/>
                          <w:lang w:val="en-AU"/>
                        </w:rPr>
                        <w:t>Should not be specific to the technology used but video offers richer information transfer and should be favoured over phone with fewer exceptions being allowed over time.</w:t>
                      </w:r>
                    </w:p>
                    <w:p w14:paraId="129F89C4" w14:textId="77777777" w:rsidR="00D15367" w:rsidRDefault="00D15367" w:rsidP="00147901"/>
                  </w:txbxContent>
                </v:textbox>
                <w10:anchorlock/>
              </v:shape>
            </w:pict>
          </mc:Fallback>
        </mc:AlternateContent>
      </w:r>
    </w:p>
    <w:p w14:paraId="54C8D5C8" w14:textId="77777777" w:rsidR="00147901" w:rsidRPr="009C6AB0" w:rsidRDefault="00147901" w:rsidP="00147901">
      <w:pPr>
        <w:spacing w:after="180" w:line="240" w:lineRule="auto"/>
        <w:rPr>
          <w:rFonts w:ascii="Calibri" w:eastAsia="Calibri" w:hAnsi="Calibri" w:cs="Calibri"/>
          <w:sz w:val="24"/>
          <w:szCs w:val="24"/>
          <w:lang w:val="en-AU"/>
        </w:rPr>
      </w:pPr>
      <w:r w:rsidRPr="009C6AB0">
        <w:rPr>
          <w:rFonts w:ascii="Calibri" w:eastAsia="Calibri" w:hAnsi="Calibri" w:cs="Calibri"/>
          <w:sz w:val="24"/>
          <w:szCs w:val="24"/>
          <w:lang w:val="en-AU"/>
        </w:rPr>
        <w:t xml:space="preserve">A) Text and email, image storing and </w:t>
      </w:r>
      <w:proofErr w:type="gramStart"/>
      <w:r w:rsidRPr="009C6AB0">
        <w:rPr>
          <w:rFonts w:ascii="Calibri" w:eastAsia="Calibri" w:hAnsi="Calibri" w:cs="Calibri"/>
          <w:sz w:val="24"/>
          <w:szCs w:val="24"/>
          <w:lang w:val="en-AU"/>
        </w:rPr>
        <w:t>forwarding</w:t>
      </w:r>
      <w:proofErr w:type="gramEnd"/>
      <w:r w:rsidRPr="009C6AB0">
        <w:rPr>
          <w:rFonts w:ascii="Calibri" w:eastAsia="Calibri" w:hAnsi="Calibri" w:cs="Calibri"/>
          <w:sz w:val="24"/>
          <w:szCs w:val="24"/>
          <w:lang w:val="en-AU"/>
        </w:rPr>
        <w:t xml:space="preserve"> and remote monitoring are examples of Telehealth modes </w:t>
      </w:r>
      <w:r w:rsidRPr="00276AAC">
        <w:rPr>
          <w:rFonts w:ascii="Calibri" w:hAnsi="Calibri"/>
          <w:sz w:val="24"/>
          <w:lang w:val="en-AU"/>
        </w:rPr>
        <w:t>of</w:t>
      </w:r>
      <w:r w:rsidRPr="009C6AB0">
        <w:rPr>
          <w:rFonts w:ascii="Calibri" w:eastAsia="Calibri" w:hAnsi="Calibri" w:cs="Calibri"/>
          <w:sz w:val="24"/>
          <w:szCs w:val="24"/>
          <w:lang w:val="en-AU"/>
        </w:rPr>
        <w:t xml:space="preserve"> delivery that are not appropriate as MBS Telehealth subsidised models of delivery.</w:t>
      </w:r>
    </w:p>
    <w:p w14:paraId="37BE2FD3" w14:textId="30A63DB9" w:rsidR="00147901" w:rsidRPr="009C6AB0" w:rsidRDefault="00147901" w:rsidP="00147901">
      <w:pPr>
        <w:spacing w:after="180" w:line="240" w:lineRule="auto"/>
        <w:rPr>
          <w:rFonts w:ascii="Calibri" w:eastAsia="Calibri" w:hAnsi="Calibri" w:cs="Calibri"/>
          <w:sz w:val="24"/>
          <w:szCs w:val="24"/>
        </w:rPr>
      </w:pPr>
      <w:r w:rsidRPr="009C6AB0">
        <w:rPr>
          <w:rFonts w:ascii="Calibri" w:eastAsia="Calibri" w:hAnsi="Calibri" w:cs="Calibri"/>
          <w:sz w:val="24"/>
          <w:szCs w:val="24"/>
          <w:lang w:val="en-AU"/>
        </w:rPr>
        <w:t>B) Video consultation is the preferred mode of delivery for MBS Telehealth with phone consultations being the exception.</w:t>
      </w:r>
    </w:p>
    <w:p w14:paraId="163D8726" w14:textId="77777777" w:rsidR="00147901" w:rsidRPr="009C6AB0" w:rsidRDefault="00147901" w:rsidP="00147901">
      <w:pPr>
        <w:spacing w:after="180" w:line="240" w:lineRule="auto"/>
        <w:rPr>
          <w:rFonts w:ascii="Calibri" w:eastAsia="Calibri" w:hAnsi="Calibri" w:cs="Calibri"/>
          <w:i/>
          <w:sz w:val="24"/>
          <w:szCs w:val="24"/>
        </w:rPr>
      </w:pPr>
      <w:r w:rsidRPr="009C6AB0">
        <w:rPr>
          <w:rFonts w:ascii="Calibri" w:eastAsia="Calibri" w:hAnsi="Calibri" w:cs="Calibri"/>
          <w:sz w:val="24"/>
          <w:szCs w:val="24"/>
        </w:rPr>
        <w:t>This Principle is linked to Principle 4, any technology modality will need to be adequately secure as per that Principle.</w:t>
      </w:r>
    </w:p>
    <w:p w14:paraId="517679F2" w14:textId="52F7975F" w:rsidR="00147901" w:rsidRPr="009C6AB0" w:rsidRDefault="00147901" w:rsidP="00147901">
      <w:pPr>
        <w:spacing w:after="180" w:line="240" w:lineRule="auto"/>
        <w:rPr>
          <w:rFonts w:ascii="Calibri" w:eastAsia="Calibri" w:hAnsi="Calibri" w:cs="Calibri"/>
          <w:sz w:val="24"/>
          <w:szCs w:val="24"/>
        </w:rPr>
      </w:pPr>
      <w:r w:rsidRPr="009C6AB0">
        <w:rPr>
          <w:rFonts w:ascii="Calibri" w:eastAsia="Calibri" w:hAnsi="Calibri" w:cs="Calibri"/>
          <w:sz w:val="24"/>
          <w:szCs w:val="24"/>
        </w:rPr>
        <w:t>This Principle draws another distinction between Virtual Health and MBS Telehealth. While text and emails are alternative communication tools, the Working Group does not recommend implementing a fee-for-service model such as the MBS for these episodes of service.</w:t>
      </w:r>
    </w:p>
    <w:p w14:paraId="49311B25" w14:textId="77777777" w:rsidR="00147901" w:rsidRPr="009C6AB0" w:rsidRDefault="00147901" w:rsidP="00147901">
      <w:pPr>
        <w:spacing w:after="180" w:line="240" w:lineRule="auto"/>
        <w:rPr>
          <w:rFonts w:ascii="Calibri" w:eastAsia="Calibri" w:hAnsi="Calibri" w:cs="Calibri"/>
          <w:sz w:val="24"/>
          <w:szCs w:val="24"/>
        </w:rPr>
      </w:pPr>
      <w:r w:rsidRPr="009C6AB0">
        <w:rPr>
          <w:rFonts w:ascii="Calibri" w:eastAsia="Calibri" w:hAnsi="Calibri" w:cs="Calibri"/>
          <w:sz w:val="24"/>
          <w:szCs w:val="24"/>
        </w:rPr>
        <w:t xml:space="preserve">The Working Group also notes that video consultations offer richer information transfer and should be </w:t>
      </w:r>
      <w:proofErr w:type="spellStart"/>
      <w:r w:rsidRPr="009C6AB0">
        <w:rPr>
          <w:rFonts w:ascii="Calibri" w:eastAsia="Calibri" w:hAnsi="Calibri" w:cs="Calibri"/>
          <w:sz w:val="24"/>
          <w:szCs w:val="24"/>
        </w:rPr>
        <w:t>favoured</w:t>
      </w:r>
      <w:proofErr w:type="spellEnd"/>
      <w:r w:rsidRPr="009C6AB0">
        <w:rPr>
          <w:rFonts w:ascii="Calibri" w:eastAsia="Calibri" w:hAnsi="Calibri" w:cs="Calibri"/>
          <w:sz w:val="24"/>
          <w:szCs w:val="24"/>
        </w:rPr>
        <w:t xml:space="preserve"> over phone consultations with fewer exceptions being allowed over time.</w:t>
      </w:r>
    </w:p>
    <w:p w14:paraId="3328E10B" w14:textId="0A8CF36A" w:rsidR="006D2440" w:rsidRDefault="004D7CE6" w:rsidP="008E7FF0">
      <w:pPr>
        <w:pStyle w:val="Style2"/>
      </w:pPr>
      <w:bookmarkStart w:id="37" w:name="_Toc42764237"/>
      <w:r>
        <w:t xml:space="preserve">Principle </w:t>
      </w:r>
      <w:r w:rsidR="009C6AB0">
        <w:t>6</w:t>
      </w:r>
      <w:bookmarkEnd w:id="37"/>
      <w:r w:rsidR="00E338F6">
        <w:rPr>
          <w:noProof/>
          <w:lang w:val="en-AU"/>
        </w:rPr>
        <mc:AlternateContent>
          <mc:Choice Requires="wps">
            <w:drawing>
              <wp:inline distT="0" distB="0" distL="0" distR="0" wp14:anchorId="5C62D33E" wp14:editId="6A85A076">
                <wp:extent cx="5943600" cy="566539"/>
                <wp:effectExtent l="0" t="0" r="19050" b="24130"/>
                <wp:docPr id="18" name="Text Box 18"/>
                <wp:cNvGraphicFramePr/>
                <a:graphic xmlns:a="http://schemas.openxmlformats.org/drawingml/2006/main">
                  <a:graphicData uri="http://schemas.microsoft.com/office/word/2010/wordprocessingShape">
                    <wps:wsp>
                      <wps:cNvSpPr txBox="1"/>
                      <wps:spPr>
                        <a:xfrm>
                          <a:off x="0" y="0"/>
                          <a:ext cx="5943600" cy="566539"/>
                        </a:xfrm>
                        <a:prstGeom prst="rect">
                          <a:avLst/>
                        </a:prstGeom>
                        <a:solidFill>
                          <a:schemeClr val="accent3">
                            <a:lumMod val="60000"/>
                            <a:lumOff val="40000"/>
                          </a:schemeClr>
                        </a:solidFill>
                        <a:ln w="6350">
                          <a:solidFill>
                            <a:prstClr val="black"/>
                          </a:solidFill>
                        </a:ln>
                      </wps:spPr>
                      <wps:txbx>
                        <w:txbxContent>
                          <w:p w14:paraId="388CBF20" w14:textId="77777777" w:rsidR="00E338F6" w:rsidRPr="0081278E" w:rsidRDefault="00E338F6" w:rsidP="00E338F6">
                            <w:pPr>
                              <w:rPr>
                                <w:b/>
                                <w:i/>
                              </w:rPr>
                            </w:pPr>
                            <w:r w:rsidRPr="0081278E">
                              <w:rPr>
                                <w:rFonts w:asciiTheme="majorHAnsi" w:hAnsiTheme="majorHAnsi" w:cstheme="majorHAnsi"/>
                                <w:b/>
                                <w:i/>
                                <w:sz w:val="24"/>
                                <w:szCs w:val="24"/>
                              </w:rPr>
                              <w:t>P</w:t>
                            </w:r>
                            <w:r>
                              <w:rPr>
                                <w:rFonts w:asciiTheme="majorHAnsi" w:hAnsiTheme="majorHAnsi" w:cstheme="majorHAnsi"/>
                                <w:b/>
                                <w:i/>
                                <w:sz w:val="24"/>
                                <w:szCs w:val="24"/>
                              </w:rPr>
                              <w:t>6</w:t>
                            </w:r>
                            <w:r w:rsidRPr="0081278E">
                              <w:rPr>
                                <w:rFonts w:asciiTheme="majorHAnsi" w:hAnsiTheme="majorHAnsi" w:cstheme="majorHAnsi"/>
                                <w:b/>
                                <w:i/>
                                <w:sz w:val="24"/>
                                <w:szCs w:val="24"/>
                              </w:rPr>
                              <w:t xml:space="preserve"> </w:t>
                            </w:r>
                            <w:r>
                              <w:rPr>
                                <w:rFonts w:asciiTheme="majorHAnsi" w:hAnsiTheme="majorHAnsi" w:cstheme="majorHAnsi"/>
                                <w:b/>
                                <w:i/>
                                <w:sz w:val="24"/>
                                <w:szCs w:val="24"/>
                              </w:rPr>
                              <w:t>–</w:t>
                            </w:r>
                            <w:r w:rsidRPr="0081278E">
                              <w:rPr>
                                <w:rFonts w:asciiTheme="majorHAnsi" w:hAnsiTheme="majorHAnsi" w:cstheme="majorHAnsi"/>
                                <w:b/>
                                <w:i/>
                                <w:sz w:val="24"/>
                                <w:szCs w:val="24"/>
                              </w:rPr>
                              <w:t xml:space="preserve"> </w:t>
                            </w:r>
                            <w:r w:rsidRPr="009C6AB0">
                              <w:rPr>
                                <w:rFonts w:asciiTheme="majorHAnsi" w:hAnsiTheme="majorHAnsi" w:cstheme="majorHAnsi"/>
                                <w:b/>
                                <w:i/>
                                <w:sz w:val="24"/>
                                <w:szCs w:val="24"/>
                              </w:rPr>
                              <w:t>Should encourage clinicians where they are required at both ends of the interaction with the patient to support optimal clinical interchange.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62D33E" id="Text Box 18" o:spid="_x0000_s1033" type="#_x0000_t202" style="width:468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" fillcolor="#c2d69b [1942]" strokeweight=".5pt">
                <v:textbox>
                  <w:txbxContent>
                    <w:p w14:paraId="388CBF20" w14:textId="77777777" w:rsidR="00E338F6" w:rsidRPr="0081278E" w:rsidRDefault="00E338F6" w:rsidP="00E338F6">
                      <w:pPr>
                        <w:rPr>
                          <w:b/>
                          <w:i/>
                        </w:rPr>
                      </w:pPr>
                      <w:r w:rsidRPr="0081278E">
                        <w:rPr>
                          <w:rFonts w:asciiTheme="majorHAnsi" w:hAnsiTheme="majorHAnsi" w:cstheme="majorHAnsi"/>
                          <w:b/>
                          <w:i/>
                          <w:sz w:val="24"/>
                          <w:szCs w:val="24"/>
                        </w:rPr>
                        <w:t>P</w:t>
                      </w:r>
                      <w:r>
                        <w:rPr>
                          <w:rFonts w:asciiTheme="majorHAnsi" w:hAnsiTheme="majorHAnsi" w:cstheme="majorHAnsi"/>
                          <w:b/>
                          <w:i/>
                          <w:sz w:val="24"/>
                          <w:szCs w:val="24"/>
                        </w:rPr>
                        <w:t>6</w:t>
                      </w:r>
                      <w:r w:rsidRPr="0081278E">
                        <w:rPr>
                          <w:rFonts w:asciiTheme="majorHAnsi" w:hAnsiTheme="majorHAnsi" w:cstheme="majorHAnsi"/>
                          <w:b/>
                          <w:i/>
                          <w:sz w:val="24"/>
                          <w:szCs w:val="24"/>
                        </w:rPr>
                        <w:t xml:space="preserve"> </w:t>
                      </w:r>
                      <w:r>
                        <w:rPr>
                          <w:rFonts w:asciiTheme="majorHAnsi" w:hAnsiTheme="majorHAnsi" w:cstheme="majorHAnsi"/>
                          <w:b/>
                          <w:i/>
                          <w:sz w:val="24"/>
                          <w:szCs w:val="24"/>
                        </w:rPr>
                        <w:t>–</w:t>
                      </w:r>
                      <w:r w:rsidRPr="0081278E">
                        <w:rPr>
                          <w:rFonts w:asciiTheme="majorHAnsi" w:hAnsiTheme="majorHAnsi" w:cstheme="majorHAnsi"/>
                          <w:b/>
                          <w:i/>
                          <w:sz w:val="24"/>
                          <w:szCs w:val="24"/>
                        </w:rPr>
                        <w:t xml:space="preserve"> </w:t>
                      </w:r>
                      <w:r w:rsidRPr="009C6AB0">
                        <w:rPr>
                          <w:rFonts w:asciiTheme="majorHAnsi" w:hAnsiTheme="majorHAnsi" w:cstheme="majorHAnsi"/>
                          <w:b/>
                          <w:i/>
                          <w:sz w:val="24"/>
                          <w:szCs w:val="24"/>
                        </w:rPr>
                        <w:t>Should encourage clinicians where they are required at both ends of the interaction with the patient to support optimal clinical interchange.</w:t>
                      </w:r>
                    </w:p>
                  </w:txbxContent>
                </v:textbox>
                <w10:anchorlock/>
              </v:shape>
            </w:pict>
          </mc:Fallback>
        </mc:AlternateContent>
      </w:r>
    </w:p>
    <w:p w14:paraId="51FC3577" w14:textId="77777777" w:rsidR="000F2E65" w:rsidRDefault="005D673F" w:rsidP="00F94F9F">
      <w:pPr>
        <w:spacing w:after="180"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MBS payments are available to patients now for </w:t>
      </w:r>
      <w:r w:rsidR="0018240E" w:rsidRPr="0018240E">
        <w:rPr>
          <w:rFonts w:asciiTheme="majorHAnsi" w:eastAsia="Calibri" w:hAnsiTheme="majorHAnsi" w:cstheme="majorHAnsi"/>
          <w:sz w:val="24"/>
          <w:szCs w:val="24"/>
        </w:rPr>
        <w:t>Telehealth Patient-end Support Services by Health Professionals</w:t>
      </w:r>
      <w:r w:rsidR="00150AA1">
        <w:rPr>
          <w:rFonts w:asciiTheme="majorHAnsi" w:eastAsia="Calibri" w:hAnsiTheme="majorHAnsi" w:cstheme="majorHAnsi"/>
          <w:sz w:val="24"/>
          <w:szCs w:val="24"/>
        </w:rPr>
        <w:t xml:space="preserve"> f</w:t>
      </w:r>
      <w:r w:rsidR="0038081D">
        <w:rPr>
          <w:rFonts w:asciiTheme="majorHAnsi" w:eastAsia="Calibri" w:hAnsiTheme="majorHAnsi" w:cstheme="majorHAnsi"/>
          <w:sz w:val="24"/>
          <w:szCs w:val="24"/>
        </w:rPr>
        <w:t>rom geographically eligi</w:t>
      </w:r>
      <w:r w:rsidR="00150AA1">
        <w:rPr>
          <w:rFonts w:asciiTheme="majorHAnsi" w:eastAsia="Calibri" w:hAnsiTheme="majorHAnsi" w:cstheme="majorHAnsi"/>
          <w:sz w:val="24"/>
          <w:szCs w:val="24"/>
        </w:rPr>
        <w:t>ble locations</w:t>
      </w:r>
      <w:r w:rsidR="00463F08">
        <w:rPr>
          <w:rFonts w:asciiTheme="majorHAnsi" w:eastAsia="Calibri" w:hAnsiTheme="majorHAnsi" w:cstheme="majorHAnsi"/>
          <w:sz w:val="24"/>
          <w:szCs w:val="24"/>
        </w:rPr>
        <w:t xml:space="preserve">.  </w:t>
      </w:r>
      <w:r w:rsidR="000F2E65" w:rsidRPr="000F2E65">
        <w:rPr>
          <w:rFonts w:asciiTheme="majorHAnsi" w:eastAsia="Calibri" w:hAnsiTheme="majorHAnsi" w:cstheme="majorHAnsi"/>
          <w:sz w:val="24"/>
          <w:szCs w:val="24"/>
        </w:rPr>
        <w:t>A video consultation will involve a single specialist or consultant physician attending to the patient, with the participation of another general practitioner, specialist or consultant physician, at the patient end</w:t>
      </w:r>
      <w:r w:rsidR="000F2E65">
        <w:rPr>
          <w:rFonts w:asciiTheme="majorHAnsi" w:eastAsia="Calibri" w:hAnsiTheme="majorHAnsi" w:cstheme="majorHAnsi"/>
          <w:sz w:val="24"/>
          <w:szCs w:val="24"/>
        </w:rPr>
        <w:t>.</w:t>
      </w:r>
    </w:p>
    <w:p w14:paraId="27C9B575" w14:textId="787D1DB7" w:rsidR="000F2E65" w:rsidRDefault="000F2E65" w:rsidP="000F2E65">
      <w:pPr>
        <w:spacing w:after="180" w:line="240" w:lineRule="auto"/>
        <w:rPr>
          <w:rFonts w:asciiTheme="majorHAnsi" w:eastAsia="Calibri" w:hAnsiTheme="majorHAnsi" w:cstheme="majorHAnsi"/>
          <w:sz w:val="24"/>
          <w:szCs w:val="24"/>
        </w:rPr>
      </w:pPr>
      <w:r>
        <w:rPr>
          <w:rFonts w:asciiTheme="majorHAnsi" w:eastAsia="Calibri" w:hAnsiTheme="majorHAnsi" w:cstheme="majorHAnsi"/>
          <w:sz w:val="24"/>
          <w:szCs w:val="24"/>
        </w:rPr>
        <w:t>I</w:t>
      </w:r>
      <w:r w:rsidRPr="002A2F05">
        <w:rPr>
          <w:rFonts w:asciiTheme="majorHAnsi" w:eastAsia="Calibri" w:hAnsiTheme="majorHAnsi" w:cstheme="majorHAnsi"/>
          <w:sz w:val="24"/>
          <w:szCs w:val="24"/>
        </w:rPr>
        <w:t>nput from several</w:t>
      </w:r>
      <w:r>
        <w:rPr>
          <w:rFonts w:asciiTheme="majorHAnsi" w:eastAsia="Calibri" w:hAnsiTheme="majorHAnsi" w:cstheme="majorHAnsi"/>
          <w:sz w:val="24"/>
          <w:szCs w:val="24"/>
        </w:rPr>
        <w:t xml:space="preserve"> of the clinical </w:t>
      </w:r>
      <w:r w:rsidRPr="002A2F05">
        <w:rPr>
          <w:rFonts w:asciiTheme="majorHAnsi" w:eastAsia="Calibri" w:hAnsiTheme="majorHAnsi" w:cstheme="majorHAnsi"/>
          <w:sz w:val="24"/>
          <w:szCs w:val="24"/>
        </w:rPr>
        <w:t xml:space="preserve">committees and experts </w:t>
      </w:r>
      <w:r>
        <w:rPr>
          <w:rFonts w:asciiTheme="majorHAnsi" w:eastAsia="Calibri" w:hAnsiTheme="majorHAnsi" w:cstheme="majorHAnsi"/>
          <w:sz w:val="24"/>
          <w:szCs w:val="24"/>
        </w:rPr>
        <w:t xml:space="preserve">are </w:t>
      </w:r>
      <w:r w:rsidRPr="002A2F05">
        <w:rPr>
          <w:rFonts w:asciiTheme="majorHAnsi" w:eastAsia="Calibri" w:hAnsiTheme="majorHAnsi" w:cstheme="majorHAnsi"/>
          <w:sz w:val="24"/>
          <w:szCs w:val="24"/>
        </w:rPr>
        <w:t>recommending an expansion of telehealth services</w:t>
      </w:r>
      <w:r>
        <w:rPr>
          <w:rFonts w:asciiTheme="majorHAnsi" w:eastAsia="Calibri" w:hAnsiTheme="majorHAnsi" w:cstheme="majorHAnsi"/>
          <w:sz w:val="24"/>
          <w:szCs w:val="24"/>
        </w:rPr>
        <w:t>,</w:t>
      </w:r>
      <w:r w:rsidRPr="002A2F05">
        <w:rPr>
          <w:rFonts w:asciiTheme="majorHAnsi" w:eastAsia="Calibri" w:hAnsiTheme="majorHAnsi" w:cstheme="majorHAnsi"/>
          <w:sz w:val="24"/>
          <w:szCs w:val="24"/>
        </w:rPr>
        <w:t xml:space="preserve"> where a GP would act as the consultant when allied health, nurse practitioner or eligible midwives are patient-side.</w:t>
      </w:r>
      <w:r w:rsidR="00A80E24">
        <w:rPr>
          <w:rFonts w:asciiTheme="majorHAnsi" w:eastAsia="Calibri" w:hAnsiTheme="majorHAnsi" w:cstheme="majorHAnsi"/>
          <w:sz w:val="24"/>
          <w:szCs w:val="24"/>
        </w:rPr>
        <w:t xml:space="preserve">  The working group agrees that this would provide</w:t>
      </w:r>
      <w:r w:rsidR="000B010E">
        <w:rPr>
          <w:rFonts w:asciiTheme="majorHAnsi" w:eastAsia="Calibri" w:hAnsiTheme="majorHAnsi" w:cstheme="majorHAnsi"/>
          <w:sz w:val="24"/>
          <w:szCs w:val="24"/>
        </w:rPr>
        <w:t xml:space="preserve"> a clinically appropriate service and is supported.</w:t>
      </w:r>
    </w:p>
    <w:p w14:paraId="72E9FB60" w14:textId="6C599155" w:rsidR="000B010E" w:rsidRPr="002A2F05" w:rsidRDefault="00863ED3" w:rsidP="000F2E65">
      <w:pPr>
        <w:spacing w:after="180" w:line="240" w:lineRule="auto"/>
        <w:rPr>
          <w:rFonts w:asciiTheme="majorHAnsi" w:eastAsia="Calibri" w:hAnsiTheme="majorHAnsi" w:cstheme="majorHAnsi"/>
          <w:sz w:val="24"/>
          <w:szCs w:val="24"/>
        </w:rPr>
      </w:pPr>
      <w:r>
        <w:rPr>
          <w:rFonts w:asciiTheme="majorHAnsi" w:eastAsia="Calibri" w:hAnsiTheme="majorHAnsi" w:cstheme="majorHAnsi"/>
          <w:sz w:val="24"/>
          <w:szCs w:val="24"/>
        </w:rPr>
        <w:t>At present no claiming is allowed unless the provider at both ends of the video</w:t>
      </w:r>
      <w:r w:rsidR="005376F1">
        <w:rPr>
          <w:rFonts w:asciiTheme="majorHAnsi" w:eastAsia="Calibri" w:hAnsiTheme="majorHAnsi" w:cstheme="majorHAnsi"/>
          <w:sz w:val="24"/>
          <w:szCs w:val="24"/>
        </w:rPr>
        <w:t xml:space="preserve"> conference are </w:t>
      </w:r>
      <w:r w:rsidR="00D934D0">
        <w:rPr>
          <w:rFonts w:asciiTheme="majorHAnsi" w:eastAsia="Calibri" w:hAnsiTheme="majorHAnsi" w:cstheme="majorHAnsi"/>
          <w:sz w:val="24"/>
          <w:szCs w:val="24"/>
        </w:rPr>
        <w:t>MBS Rebate</w:t>
      </w:r>
      <w:r w:rsidR="005376F1">
        <w:rPr>
          <w:rFonts w:asciiTheme="majorHAnsi" w:eastAsia="Calibri" w:hAnsiTheme="majorHAnsi" w:cstheme="majorHAnsi"/>
          <w:sz w:val="24"/>
          <w:szCs w:val="24"/>
        </w:rPr>
        <w:t xml:space="preserve"> eligible.  The working group supports </w:t>
      </w:r>
      <w:r w:rsidR="00D934D0">
        <w:rPr>
          <w:rFonts w:asciiTheme="majorHAnsi" w:eastAsia="Calibri" w:hAnsiTheme="majorHAnsi" w:cstheme="majorHAnsi"/>
          <w:sz w:val="24"/>
          <w:szCs w:val="24"/>
        </w:rPr>
        <w:t xml:space="preserve">expansion of the </w:t>
      </w:r>
      <w:r w:rsidR="009C6AB0">
        <w:rPr>
          <w:rFonts w:asciiTheme="majorHAnsi" w:eastAsia="Calibri" w:hAnsiTheme="majorHAnsi" w:cstheme="majorHAnsi"/>
          <w:sz w:val="24"/>
          <w:szCs w:val="24"/>
        </w:rPr>
        <w:t>eligibility</w:t>
      </w:r>
      <w:r w:rsidR="00D934D0">
        <w:rPr>
          <w:rFonts w:asciiTheme="majorHAnsi" w:eastAsia="Calibri" w:hAnsiTheme="majorHAnsi" w:cstheme="majorHAnsi"/>
          <w:sz w:val="24"/>
          <w:szCs w:val="24"/>
        </w:rPr>
        <w:t xml:space="preserve"> </w:t>
      </w:r>
      <w:r w:rsidR="00D1328C">
        <w:rPr>
          <w:rFonts w:asciiTheme="majorHAnsi" w:eastAsia="Calibri" w:hAnsiTheme="majorHAnsi" w:cstheme="majorHAnsi"/>
          <w:sz w:val="24"/>
          <w:szCs w:val="24"/>
        </w:rPr>
        <w:t xml:space="preserve">so that if one of the clinicians either at the patient end or the consultant end </w:t>
      </w:r>
      <w:r w:rsidR="005B0AD5">
        <w:rPr>
          <w:rFonts w:asciiTheme="majorHAnsi" w:eastAsia="Calibri" w:hAnsiTheme="majorHAnsi" w:cstheme="majorHAnsi"/>
          <w:sz w:val="24"/>
          <w:szCs w:val="24"/>
        </w:rPr>
        <w:t xml:space="preserve">are MBS Rebate eligible then a rebate is available.  This would allow an allied health professional or aboriginal health </w:t>
      </w:r>
      <w:proofErr w:type="gramStart"/>
      <w:r w:rsidR="005B0AD5">
        <w:rPr>
          <w:rFonts w:asciiTheme="majorHAnsi" w:eastAsia="Calibri" w:hAnsiTheme="majorHAnsi" w:cstheme="majorHAnsi"/>
          <w:sz w:val="24"/>
          <w:szCs w:val="24"/>
        </w:rPr>
        <w:t>worker</w:t>
      </w:r>
      <w:proofErr w:type="gramEnd"/>
      <w:r w:rsidR="005B0AD5">
        <w:rPr>
          <w:rFonts w:asciiTheme="majorHAnsi" w:eastAsia="Calibri" w:hAnsiTheme="majorHAnsi" w:cstheme="majorHAnsi"/>
          <w:sz w:val="24"/>
          <w:szCs w:val="24"/>
        </w:rPr>
        <w:t xml:space="preserve"> </w:t>
      </w:r>
      <w:r w:rsidR="00B71B74">
        <w:rPr>
          <w:rFonts w:asciiTheme="majorHAnsi" w:eastAsia="Calibri" w:hAnsiTheme="majorHAnsi" w:cstheme="majorHAnsi"/>
          <w:sz w:val="24"/>
          <w:szCs w:val="24"/>
        </w:rPr>
        <w:t>or a nurse funded by different means to consult with a GP acting as a consultant.  It would also allow a rebate for a GP at the patient end consulting with a specialist in a public hospital outpatient department.</w:t>
      </w:r>
      <w:r w:rsidR="00D934D0">
        <w:rPr>
          <w:rFonts w:asciiTheme="majorHAnsi" w:eastAsia="Calibri" w:hAnsiTheme="majorHAnsi" w:cstheme="majorHAnsi"/>
          <w:sz w:val="24"/>
          <w:szCs w:val="24"/>
        </w:rPr>
        <w:t xml:space="preserve"> </w:t>
      </w:r>
    </w:p>
    <w:p w14:paraId="67A5EC81" w14:textId="3D2C094F" w:rsidR="006D2440" w:rsidRPr="002A2F05" w:rsidRDefault="004D7CE6">
      <w:pPr>
        <w:spacing w:after="180" w:line="240" w:lineRule="auto"/>
        <w:rPr>
          <w:rFonts w:asciiTheme="majorHAnsi" w:eastAsia="Calibri" w:hAnsiTheme="majorHAnsi" w:cstheme="majorHAnsi"/>
          <w:sz w:val="24"/>
          <w:szCs w:val="24"/>
        </w:rPr>
      </w:pPr>
      <w:r w:rsidRPr="002A2F05">
        <w:rPr>
          <w:rFonts w:asciiTheme="majorHAnsi" w:eastAsia="Calibri" w:hAnsiTheme="majorHAnsi" w:cstheme="majorHAnsi"/>
          <w:sz w:val="24"/>
          <w:szCs w:val="24"/>
        </w:rPr>
        <w:t xml:space="preserve">This </w:t>
      </w:r>
      <w:r w:rsidR="008D38FA">
        <w:rPr>
          <w:rFonts w:asciiTheme="majorHAnsi" w:eastAsia="Calibri" w:hAnsiTheme="majorHAnsi" w:cstheme="majorHAnsi"/>
          <w:sz w:val="24"/>
          <w:szCs w:val="24"/>
        </w:rPr>
        <w:t xml:space="preserve">provision </w:t>
      </w:r>
      <w:r w:rsidRPr="002A2F05">
        <w:rPr>
          <w:rFonts w:asciiTheme="majorHAnsi" w:eastAsia="Calibri" w:hAnsiTheme="majorHAnsi" w:cstheme="majorHAnsi"/>
          <w:sz w:val="24"/>
          <w:szCs w:val="24"/>
        </w:rPr>
        <w:t>links in with the goal of affordable and universal access.</w:t>
      </w:r>
    </w:p>
    <w:p w14:paraId="3D340275" w14:textId="7B8E5874" w:rsidR="005D673F" w:rsidRDefault="005D673F" w:rsidP="005D673F">
      <w:pPr>
        <w:spacing w:after="180" w:line="240" w:lineRule="auto"/>
        <w:rPr>
          <w:rFonts w:asciiTheme="majorHAnsi" w:eastAsia="Calibri" w:hAnsiTheme="majorHAnsi" w:cstheme="majorHAnsi"/>
          <w:sz w:val="24"/>
          <w:szCs w:val="24"/>
        </w:rPr>
      </w:pPr>
      <w:r w:rsidRPr="00392F28">
        <w:rPr>
          <w:rFonts w:asciiTheme="majorHAnsi" w:hAnsiTheme="majorHAnsi" w:cstheme="majorHAnsi"/>
          <w:iCs/>
          <w:sz w:val="24"/>
          <w:szCs w:val="24"/>
        </w:rPr>
        <w:lastRenderedPageBreak/>
        <w:t xml:space="preserve">MBS payments are for </w:t>
      </w:r>
      <w:r w:rsidR="00691810">
        <w:rPr>
          <w:rFonts w:asciiTheme="majorHAnsi" w:hAnsiTheme="majorHAnsi" w:cstheme="majorHAnsi"/>
          <w:iCs/>
          <w:sz w:val="24"/>
          <w:szCs w:val="24"/>
        </w:rPr>
        <w:t xml:space="preserve">clinically appropriate </w:t>
      </w:r>
      <w:r w:rsidRPr="00392F28">
        <w:rPr>
          <w:rFonts w:asciiTheme="majorHAnsi" w:hAnsiTheme="majorHAnsi" w:cstheme="majorHAnsi"/>
          <w:iCs/>
          <w:sz w:val="24"/>
          <w:szCs w:val="24"/>
        </w:rPr>
        <w:t>services provided directly to patients</w:t>
      </w:r>
      <w:r w:rsidR="00691810">
        <w:rPr>
          <w:rFonts w:asciiTheme="majorHAnsi" w:hAnsiTheme="majorHAnsi" w:cstheme="majorHAnsi"/>
          <w:iCs/>
          <w:sz w:val="24"/>
          <w:szCs w:val="24"/>
        </w:rPr>
        <w:t xml:space="preserve">.  </w:t>
      </w:r>
      <w:r w:rsidR="00650DB1">
        <w:rPr>
          <w:rFonts w:asciiTheme="majorHAnsi" w:hAnsiTheme="majorHAnsi" w:cstheme="majorHAnsi"/>
          <w:iCs/>
          <w:sz w:val="24"/>
          <w:szCs w:val="24"/>
        </w:rPr>
        <w:t>I</w:t>
      </w:r>
      <w:r w:rsidRPr="00392F28">
        <w:rPr>
          <w:rFonts w:asciiTheme="majorHAnsi" w:hAnsiTheme="majorHAnsi" w:cstheme="majorHAnsi"/>
          <w:iCs/>
          <w:sz w:val="24"/>
          <w:szCs w:val="24"/>
        </w:rPr>
        <w:t>nformal clinician communications by telephone</w:t>
      </w:r>
      <w:r w:rsidR="00650DB1">
        <w:rPr>
          <w:rFonts w:asciiTheme="majorHAnsi" w:hAnsiTheme="majorHAnsi" w:cstheme="majorHAnsi"/>
          <w:iCs/>
          <w:sz w:val="24"/>
          <w:szCs w:val="24"/>
        </w:rPr>
        <w:t xml:space="preserve"> between clinicians</w:t>
      </w:r>
      <w:r w:rsidRPr="00392F28">
        <w:rPr>
          <w:rFonts w:asciiTheme="majorHAnsi" w:hAnsiTheme="majorHAnsi" w:cstheme="majorHAnsi"/>
          <w:iCs/>
          <w:sz w:val="24"/>
          <w:szCs w:val="24"/>
        </w:rPr>
        <w:t xml:space="preserve"> without the patient present </w:t>
      </w:r>
      <w:r w:rsidR="00650DB1">
        <w:rPr>
          <w:rFonts w:asciiTheme="majorHAnsi" w:hAnsiTheme="majorHAnsi" w:cstheme="majorHAnsi"/>
          <w:iCs/>
          <w:sz w:val="24"/>
          <w:szCs w:val="24"/>
        </w:rPr>
        <w:t>are not eligible for MBS Rebates</w:t>
      </w:r>
      <w:r w:rsidRPr="00392F28">
        <w:rPr>
          <w:rFonts w:asciiTheme="majorHAnsi" w:hAnsiTheme="majorHAnsi" w:cstheme="majorHAnsi"/>
          <w:iCs/>
          <w:sz w:val="24"/>
          <w:szCs w:val="24"/>
        </w:rPr>
        <w:t xml:space="preserve">.   </w:t>
      </w:r>
    </w:p>
    <w:p w14:paraId="19EE3CB7" w14:textId="77777777" w:rsidR="00392F28" w:rsidRDefault="00392F28" w:rsidP="00392F28">
      <w:pPr>
        <w:spacing w:after="120" w:line="240" w:lineRule="auto"/>
        <w:rPr>
          <w:rFonts w:ascii="Calibri" w:eastAsia="Calibri" w:hAnsi="Calibri" w:cs="Calibri"/>
          <w:b/>
        </w:rPr>
      </w:pPr>
      <w:r>
        <w:rPr>
          <w:rFonts w:ascii="Calibri" w:eastAsia="Calibri" w:hAnsi="Calibri" w:cs="Calibri"/>
          <w:b/>
        </w:rPr>
        <w:t>Further Consideration</w:t>
      </w:r>
    </w:p>
    <w:p w14:paraId="6BC76EC2" w14:textId="7CE504B2" w:rsidR="00392F28" w:rsidRDefault="0019159C" w:rsidP="00392F28">
      <w:pPr>
        <w:spacing w:after="180" w:line="240" w:lineRule="auto"/>
        <w:rPr>
          <w:rFonts w:asciiTheme="majorHAnsi" w:eastAsia="Calibri" w:hAnsiTheme="majorHAnsi" w:cstheme="majorHAnsi"/>
          <w:sz w:val="24"/>
          <w:szCs w:val="24"/>
        </w:rPr>
      </w:pPr>
      <w:r w:rsidRPr="0055135E">
        <w:rPr>
          <w:rFonts w:ascii="Calibri" w:eastAsia="Calibri" w:hAnsi="Calibri" w:cs="Calibri"/>
          <w:sz w:val="24"/>
          <w:szCs w:val="24"/>
        </w:rPr>
        <w:t xml:space="preserve">Work will need to be undertaken to </w:t>
      </w:r>
      <w:r>
        <w:rPr>
          <w:rFonts w:ascii="Calibri" w:eastAsia="Calibri" w:hAnsi="Calibri" w:cs="Calibri"/>
          <w:sz w:val="24"/>
          <w:szCs w:val="24"/>
        </w:rPr>
        <w:t>further consider if t</w:t>
      </w:r>
      <w:r w:rsidR="00392F28" w:rsidRPr="00F94F9F">
        <w:rPr>
          <w:rFonts w:asciiTheme="majorHAnsi" w:eastAsia="Calibri" w:hAnsiTheme="majorHAnsi" w:cstheme="majorHAnsi"/>
          <w:sz w:val="24"/>
          <w:szCs w:val="24"/>
        </w:rPr>
        <w:t>here should be a set of items for a clinician providing a patient-end service as part of MBS Telehealth</w:t>
      </w:r>
      <w:r>
        <w:rPr>
          <w:rFonts w:asciiTheme="majorHAnsi" w:eastAsia="Calibri" w:hAnsiTheme="majorHAnsi" w:cstheme="majorHAnsi"/>
          <w:sz w:val="24"/>
          <w:szCs w:val="24"/>
        </w:rPr>
        <w:t xml:space="preserve"> or if there is a more effective funding model for these services and meeting the community need</w:t>
      </w:r>
      <w:r w:rsidR="00392F28" w:rsidRPr="00F94F9F">
        <w:rPr>
          <w:rFonts w:asciiTheme="majorHAnsi" w:eastAsia="Calibri" w:hAnsiTheme="majorHAnsi" w:cstheme="majorHAnsi"/>
          <w:sz w:val="24"/>
          <w:szCs w:val="24"/>
        </w:rPr>
        <w:t>.</w:t>
      </w:r>
      <w:r w:rsidR="00392F28" w:rsidRPr="002A2F05">
        <w:rPr>
          <w:rFonts w:asciiTheme="majorHAnsi" w:eastAsia="Calibri" w:hAnsiTheme="majorHAnsi" w:cstheme="majorHAnsi"/>
          <w:sz w:val="24"/>
          <w:szCs w:val="24"/>
        </w:rPr>
        <w:t xml:space="preserve"> </w:t>
      </w:r>
    </w:p>
    <w:p w14:paraId="639C08E0" w14:textId="77777777" w:rsidR="00392F28" w:rsidRDefault="00392F28" w:rsidP="00392F28">
      <w:pPr>
        <w:spacing w:after="120" w:line="240" w:lineRule="auto"/>
        <w:rPr>
          <w:rFonts w:ascii="Calibri" w:eastAsia="Calibri" w:hAnsi="Calibri" w:cs="Calibri"/>
          <w:b/>
        </w:rPr>
      </w:pPr>
    </w:p>
    <w:p w14:paraId="740D75C1" w14:textId="77777777" w:rsidR="00392F28" w:rsidRPr="00F62A6E" w:rsidRDefault="00392F28" w:rsidP="00392F28">
      <w:pPr>
        <w:spacing w:after="120" w:line="240" w:lineRule="auto"/>
        <w:rPr>
          <w:rFonts w:ascii="Calibri" w:eastAsia="Calibri" w:hAnsi="Calibri" w:cs="Calibri"/>
          <w:b/>
        </w:rPr>
      </w:pPr>
      <w:r w:rsidRPr="00F62A6E">
        <w:rPr>
          <w:rFonts w:ascii="Calibri" w:eastAsia="Calibri" w:hAnsi="Calibri" w:cs="Calibri"/>
          <w:b/>
        </w:rPr>
        <w:t>CASE Example:</w:t>
      </w:r>
    </w:p>
    <w:p w14:paraId="341A2B70" w14:textId="1568C06D" w:rsidR="006D2440" w:rsidRPr="000078EC" w:rsidRDefault="00876727">
      <w:pPr>
        <w:spacing w:after="180" w:line="240" w:lineRule="auto"/>
        <w:rPr>
          <w:rFonts w:ascii="Calibri" w:eastAsia="Calibri" w:hAnsi="Calibri" w:cs="Calibri"/>
          <w:sz w:val="24"/>
          <w:szCs w:val="24"/>
        </w:rPr>
      </w:pPr>
      <w:r w:rsidRPr="000078EC">
        <w:rPr>
          <w:rFonts w:ascii="Calibri" w:eastAsia="Calibri" w:hAnsi="Calibri" w:cs="Calibri"/>
          <w:sz w:val="24"/>
          <w:szCs w:val="24"/>
        </w:rPr>
        <w:t>Salaried Midwife</w:t>
      </w:r>
      <w:r w:rsidR="00F41758" w:rsidRPr="000078EC">
        <w:rPr>
          <w:rFonts w:ascii="Calibri" w:eastAsia="Calibri" w:hAnsi="Calibri" w:cs="Calibri"/>
          <w:sz w:val="24"/>
          <w:szCs w:val="24"/>
        </w:rPr>
        <w:t xml:space="preserve"> at the patient end</w:t>
      </w:r>
      <w:r w:rsidRPr="000078EC">
        <w:rPr>
          <w:rFonts w:ascii="Calibri" w:eastAsia="Calibri" w:hAnsi="Calibri" w:cs="Calibri"/>
          <w:sz w:val="24"/>
          <w:szCs w:val="24"/>
        </w:rPr>
        <w:t xml:space="preserve"> consulting a GP obstetrician about a medical issue with one of the </w:t>
      </w:r>
      <w:proofErr w:type="gramStart"/>
      <w:r w:rsidRPr="000078EC">
        <w:rPr>
          <w:rFonts w:ascii="Calibri" w:eastAsia="Calibri" w:hAnsi="Calibri" w:cs="Calibri"/>
          <w:sz w:val="24"/>
          <w:szCs w:val="24"/>
        </w:rPr>
        <w:t>midwives</w:t>
      </w:r>
      <w:proofErr w:type="gramEnd"/>
      <w:r w:rsidRPr="000078EC">
        <w:rPr>
          <w:rFonts w:ascii="Calibri" w:eastAsia="Calibri" w:hAnsi="Calibri" w:cs="Calibri"/>
          <w:sz w:val="24"/>
          <w:szCs w:val="24"/>
        </w:rPr>
        <w:t xml:space="preserve"> patients.</w:t>
      </w:r>
    </w:p>
    <w:p w14:paraId="219B6152" w14:textId="77777777" w:rsidR="006D2440" w:rsidRDefault="004D7CE6">
      <w:pPr>
        <w:spacing w:after="180" w:line="240" w:lineRule="auto"/>
        <w:rPr>
          <w:rFonts w:ascii="Calibri" w:eastAsia="Calibri" w:hAnsi="Calibri" w:cs="Calibri"/>
        </w:rPr>
      </w:pPr>
      <w:r>
        <w:br w:type="page"/>
      </w:r>
    </w:p>
    <w:p w14:paraId="1ECF558F" w14:textId="77777777" w:rsidR="000078EC" w:rsidRDefault="004D7CE6" w:rsidP="008E7FF0">
      <w:pPr>
        <w:pStyle w:val="Style2"/>
      </w:pPr>
      <w:bookmarkStart w:id="38" w:name="_Toc42764238"/>
      <w:r>
        <w:lastRenderedPageBreak/>
        <w:t>Principle 7</w:t>
      </w:r>
      <w:bookmarkEnd w:id="38"/>
    </w:p>
    <w:p w14:paraId="6B748DE1" w14:textId="7E5393D9" w:rsidR="000078EC" w:rsidRDefault="000078EC">
      <w:pPr>
        <w:spacing w:after="180" w:line="240" w:lineRule="auto"/>
        <w:rPr>
          <w:rFonts w:ascii="Calibri" w:eastAsia="Calibri" w:hAnsi="Calibri" w:cs="Calibri"/>
          <w:sz w:val="24"/>
          <w:szCs w:val="24"/>
        </w:rPr>
      </w:pPr>
      <w:r>
        <w:rPr>
          <w:noProof/>
          <w:lang w:val="en-AU"/>
        </w:rPr>
        <mc:AlternateContent>
          <mc:Choice Requires="wps">
            <w:drawing>
              <wp:inline distT="0" distB="0" distL="0" distR="0" wp14:anchorId="675BE91C" wp14:editId="5976D1A7">
                <wp:extent cx="5943600" cy="291465"/>
                <wp:effectExtent l="0" t="0" r="19050" b="13335"/>
                <wp:docPr id="25" name="Text Box 25"/>
                <wp:cNvGraphicFramePr/>
                <a:graphic xmlns:a="http://schemas.openxmlformats.org/drawingml/2006/main">
                  <a:graphicData uri="http://schemas.microsoft.com/office/word/2010/wordprocessingShape">
                    <wps:wsp>
                      <wps:cNvSpPr txBox="1"/>
                      <wps:spPr>
                        <a:xfrm>
                          <a:off x="0" y="0"/>
                          <a:ext cx="5943600" cy="291465"/>
                        </a:xfrm>
                        <a:prstGeom prst="rect">
                          <a:avLst/>
                        </a:prstGeom>
                        <a:solidFill>
                          <a:schemeClr val="accent3">
                            <a:lumMod val="60000"/>
                            <a:lumOff val="40000"/>
                          </a:schemeClr>
                        </a:solidFill>
                        <a:ln w="6350">
                          <a:solidFill>
                            <a:prstClr val="black"/>
                          </a:solidFill>
                        </a:ln>
                      </wps:spPr>
                      <wps:txbx>
                        <w:txbxContent>
                          <w:p w14:paraId="56F8DDBD" w14:textId="77777777" w:rsidR="00D15367" w:rsidRPr="000078EC" w:rsidRDefault="00D15367" w:rsidP="000078EC">
                            <w:pPr>
                              <w:rPr>
                                <w:rFonts w:asciiTheme="majorHAnsi" w:hAnsiTheme="majorHAnsi" w:cstheme="majorHAnsi"/>
                                <w:b/>
                                <w:sz w:val="24"/>
                                <w:szCs w:val="24"/>
                              </w:rPr>
                            </w:pPr>
                            <w:r w:rsidRPr="000078EC">
                              <w:rPr>
                                <w:rFonts w:asciiTheme="majorHAnsi" w:hAnsiTheme="majorHAnsi" w:cstheme="majorHAnsi"/>
                                <w:b/>
                                <w:sz w:val="24"/>
                                <w:szCs w:val="24"/>
                              </w:rPr>
                              <w:t>P7 - Should be implemented and modified through time limited transition arrangements.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5BE91C" id="Text Box 25" o:spid="_x0000_s1034" type="#_x0000_t202" style="width:468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" fillcolor="#c2d69b [1942]" strokeweight=".5pt">
                <v:textbox>
                  <w:txbxContent>
                    <w:p w14:paraId="56F8DDBD" w14:textId="77777777" w:rsidR="00D15367" w:rsidRPr="000078EC" w:rsidRDefault="00D15367" w:rsidP="000078EC">
                      <w:pPr>
                        <w:rPr>
                          <w:rFonts w:asciiTheme="majorHAnsi" w:hAnsiTheme="majorHAnsi" w:cstheme="majorHAnsi"/>
                          <w:b/>
                          <w:sz w:val="24"/>
                          <w:szCs w:val="24"/>
                        </w:rPr>
                      </w:pPr>
                      <w:r w:rsidRPr="000078EC">
                        <w:rPr>
                          <w:rFonts w:asciiTheme="majorHAnsi" w:hAnsiTheme="majorHAnsi" w:cstheme="majorHAnsi"/>
                          <w:b/>
                          <w:sz w:val="24"/>
                          <w:szCs w:val="24"/>
                        </w:rPr>
                        <w:t>P7 - Should be implemented and modified through time limited transition arrangements.</w:t>
                      </w:r>
                    </w:p>
                  </w:txbxContent>
                </v:textbox>
                <w10:anchorlock/>
              </v:shape>
            </w:pict>
          </mc:Fallback>
        </mc:AlternateContent>
      </w:r>
    </w:p>
    <w:p w14:paraId="5CD4C9CB" w14:textId="3ACD1289" w:rsidR="006764AA" w:rsidRPr="009C6AB0" w:rsidRDefault="004D7CE6">
      <w:pPr>
        <w:spacing w:after="180" w:line="240" w:lineRule="auto"/>
        <w:rPr>
          <w:rFonts w:ascii="Calibri" w:eastAsia="Calibri" w:hAnsi="Calibri" w:cs="Calibri"/>
          <w:sz w:val="24"/>
          <w:szCs w:val="24"/>
        </w:rPr>
      </w:pPr>
      <w:r w:rsidRPr="009C6AB0">
        <w:rPr>
          <w:rFonts w:ascii="Calibri" w:eastAsia="Calibri" w:hAnsi="Calibri" w:cs="Calibri"/>
          <w:sz w:val="24"/>
          <w:szCs w:val="24"/>
        </w:rPr>
        <w:t>Telehealth, especially after the effects of the COVID-19 pandemic, is a rapidly changing area of health provision.</w:t>
      </w:r>
      <w:r w:rsidR="005168F1" w:rsidRPr="009C6AB0">
        <w:rPr>
          <w:rFonts w:ascii="Calibri" w:eastAsia="Calibri" w:hAnsi="Calibri" w:cs="Calibri"/>
          <w:sz w:val="24"/>
          <w:szCs w:val="24"/>
        </w:rPr>
        <w:t xml:space="preserve"> </w:t>
      </w:r>
      <w:r w:rsidR="00882465" w:rsidRPr="009C6AB0">
        <w:rPr>
          <w:rFonts w:ascii="Calibri" w:eastAsia="Calibri" w:hAnsi="Calibri" w:cs="Calibri"/>
          <w:sz w:val="24"/>
          <w:szCs w:val="24"/>
        </w:rPr>
        <w:t>Telehealth through telephone consultation has been one of the most</w:t>
      </w:r>
      <w:r w:rsidR="00B97823" w:rsidRPr="009C6AB0">
        <w:rPr>
          <w:rFonts w:ascii="Calibri" w:eastAsia="Calibri" w:hAnsi="Calibri" w:cs="Calibri"/>
          <w:sz w:val="24"/>
          <w:szCs w:val="24"/>
        </w:rPr>
        <w:t xml:space="preserve"> successful and</w:t>
      </w:r>
      <w:r w:rsidR="00882465" w:rsidRPr="009C6AB0">
        <w:rPr>
          <w:rFonts w:ascii="Calibri" w:eastAsia="Calibri" w:hAnsi="Calibri" w:cs="Calibri"/>
          <w:sz w:val="24"/>
          <w:szCs w:val="24"/>
        </w:rPr>
        <w:t xml:space="preserve"> rapid adoption of</w:t>
      </w:r>
      <w:r w:rsidR="00B97823" w:rsidRPr="009C6AB0">
        <w:rPr>
          <w:rFonts w:ascii="Calibri" w:eastAsia="Calibri" w:hAnsi="Calibri" w:cs="Calibri"/>
          <w:sz w:val="24"/>
          <w:szCs w:val="24"/>
        </w:rPr>
        <w:t xml:space="preserve"> a change in clinical workflow that we have seen in this country.  </w:t>
      </w:r>
      <w:r w:rsidR="00B44554" w:rsidRPr="009C6AB0">
        <w:rPr>
          <w:rFonts w:ascii="Calibri" w:eastAsia="Calibri" w:hAnsi="Calibri" w:cs="Calibri"/>
          <w:sz w:val="24"/>
          <w:szCs w:val="24"/>
        </w:rPr>
        <w:t xml:space="preserve">Despite this the working group recommends that </w:t>
      </w:r>
      <w:r w:rsidR="005B7F34" w:rsidRPr="009C6AB0">
        <w:rPr>
          <w:rFonts w:ascii="Calibri" w:eastAsia="Calibri" w:hAnsi="Calibri" w:cs="Calibri"/>
          <w:sz w:val="24"/>
          <w:szCs w:val="24"/>
        </w:rPr>
        <w:t>we return to transition arrangements that are introduced over time</w:t>
      </w:r>
      <w:r w:rsidR="000B4843" w:rsidRPr="009C6AB0">
        <w:rPr>
          <w:rFonts w:ascii="Calibri" w:eastAsia="Calibri" w:hAnsi="Calibri" w:cs="Calibri"/>
          <w:sz w:val="24"/>
          <w:szCs w:val="24"/>
        </w:rPr>
        <w:t xml:space="preserve"> with subsidies and changes </w:t>
      </w:r>
      <w:r w:rsidRPr="009C6AB0">
        <w:rPr>
          <w:rFonts w:ascii="Calibri" w:eastAsia="Calibri" w:hAnsi="Calibri" w:cs="Calibri"/>
          <w:sz w:val="24"/>
          <w:szCs w:val="24"/>
        </w:rPr>
        <w:t>phase</w:t>
      </w:r>
      <w:r w:rsidR="000B4843" w:rsidRPr="009C6AB0">
        <w:rPr>
          <w:rFonts w:ascii="Calibri" w:eastAsia="Calibri" w:hAnsi="Calibri" w:cs="Calibri"/>
          <w:sz w:val="24"/>
          <w:szCs w:val="24"/>
        </w:rPr>
        <w:t>d</w:t>
      </w:r>
      <w:r w:rsidRPr="009C6AB0">
        <w:rPr>
          <w:rFonts w:ascii="Calibri" w:eastAsia="Calibri" w:hAnsi="Calibri" w:cs="Calibri"/>
          <w:sz w:val="24"/>
          <w:szCs w:val="24"/>
        </w:rPr>
        <w:t xml:space="preserve"> in and out</w:t>
      </w:r>
      <w:r w:rsidR="000B4843" w:rsidRPr="009C6AB0">
        <w:rPr>
          <w:rFonts w:ascii="Calibri" w:eastAsia="Calibri" w:hAnsi="Calibri" w:cs="Calibri"/>
          <w:sz w:val="24"/>
          <w:szCs w:val="24"/>
        </w:rPr>
        <w:t xml:space="preserve"> over time</w:t>
      </w:r>
      <w:r w:rsidR="00AF0241" w:rsidRPr="009C6AB0">
        <w:rPr>
          <w:rFonts w:ascii="Calibri" w:eastAsia="Calibri" w:hAnsi="Calibri" w:cs="Calibri"/>
          <w:sz w:val="24"/>
          <w:szCs w:val="24"/>
        </w:rPr>
        <w:t xml:space="preserve"> with ongoing monitoring </w:t>
      </w:r>
      <w:r w:rsidRPr="009C6AB0">
        <w:rPr>
          <w:rFonts w:ascii="Calibri" w:eastAsia="Calibri" w:hAnsi="Calibri" w:cs="Calibri"/>
          <w:sz w:val="24"/>
          <w:szCs w:val="24"/>
        </w:rPr>
        <w:t xml:space="preserve">to </w:t>
      </w:r>
      <w:r w:rsidR="006764AA" w:rsidRPr="009C6AB0">
        <w:rPr>
          <w:rFonts w:ascii="Calibri" w:eastAsia="Calibri" w:hAnsi="Calibri" w:cs="Calibri"/>
          <w:sz w:val="24"/>
          <w:szCs w:val="24"/>
        </w:rPr>
        <w:t xml:space="preserve">assess the impact of these changes. </w:t>
      </w:r>
    </w:p>
    <w:p w14:paraId="1A40ADB0" w14:textId="77777777" w:rsidR="006764AA" w:rsidRPr="009C6AB0" w:rsidRDefault="004D7CE6">
      <w:pPr>
        <w:spacing w:after="180" w:line="240" w:lineRule="auto"/>
        <w:rPr>
          <w:rFonts w:ascii="Calibri" w:eastAsia="Calibri" w:hAnsi="Calibri" w:cs="Calibri"/>
          <w:sz w:val="24"/>
          <w:szCs w:val="24"/>
        </w:rPr>
      </w:pPr>
      <w:r w:rsidRPr="009C6AB0">
        <w:rPr>
          <w:rFonts w:ascii="Calibri" w:eastAsia="Calibri" w:hAnsi="Calibri" w:cs="Calibri"/>
          <w:sz w:val="24"/>
          <w:szCs w:val="24"/>
        </w:rPr>
        <w:t xml:space="preserve">This Principle links with Principle 10, for ongoing research into telehealth provision. </w:t>
      </w:r>
    </w:p>
    <w:p w14:paraId="000A32CD" w14:textId="77777777" w:rsidR="00612ADC" w:rsidRPr="009C6AB0" w:rsidRDefault="00E87AC2" w:rsidP="00C468D4">
      <w:pPr>
        <w:spacing w:after="180" w:line="240" w:lineRule="auto"/>
        <w:rPr>
          <w:rFonts w:ascii="Calibri" w:eastAsia="Calibri" w:hAnsi="Calibri" w:cs="Calibri"/>
          <w:sz w:val="24"/>
          <w:szCs w:val="24"/>
        </w:rPr>
      </w:pPr>
      <w:r w:rsidRPr="009C6AB0">
        <w:rPr>
          <w:rFonts w:ascii="Calibri" w:eastAsia="Calibri" w:hAnsi="Calibri" w:cs="Calibri"/>
          <w:sz w:val="24"/>
          <w:szCs w:val="24"/>
        </w:rPr>
        <w:t xml:space="preserve">In </w:t>
      </w:r>
      <w:r w:rsidR="003A150C" w:rsidRPr="009C6AB0">
        <w:rPr>
          <w:rFonts w:ascii="Calibri" w:eastAsia="Calibri" w:hAnsi="Calibri" w:cs="Calibri"/>
          <w:sz w:val="24"/>
          <w:szCs w:val="24"/>
        </w:rPr>
        <w:t>addition,</w:t>
      </w:r>
      <w:r w:rsidRPr="009C6AB0">
        <w:rPr>
          <w:rFonts w:ascii="Calibri" w:eastAsia="Calibri" w:hAnsi="Calibri" w:cs="Calibri"/>
          <w:sz w:val="24"/>
          <w:szCs w:val="24"/>
        </w:rPr>
        <w:t xml:space="preserve"> p</w:t>
      </w:r>
      <w:r w:rsidR="00C468D4" w:rsidRPr="009C6AB0">
        <w:rPr>
          <w:rFonts w:ascii="Calibri" w:eastAsia="Calibri" w:hAnsi="Calibri" w:cs="Calibri"/>
          <w:sz w:val="24"/>
          <w:szCs w:val="24"/>
        </w:rPr>
        <w:t>roviding support for transitioning gradually to telehealth services will allow the introduction of technology in those areas who have not previously used telehealth</w:t>
      </w:r>
      <w:r w:rsidR="003A150C" w:rsidRPr="009C6AB0">
        <w:rPr>
          <w:rFonts w:ascii="Calibri" w:eastAsia="Calibri" w:hAnsi="Calibri" w:cs="Calibri"/>
          <w:sz w:val="24"/>
          <w:szCs w:val="24"/>
        </w:rPr>
        <w:t xml:space="preserve"> like allied health services</w:t>
      </w:r>
      <w:r w:rsidR="00C468D4" w:rsidRPr="009C6AB0">
        <w:rPr>
          <w:rFonts w:ascii="Calibri" w:eastAsia="Calibri" w:hAnsi="Calibri" w:cs="Calibri"/>
          <w:sz w:val="24"/>
          <w:szCs w:val="24"/>
        </w:rPr>
        <w:t xml:space="preserve">.  </w:t>
      </w:r>
    </w:p>
    <w:p w14:paraId="37F0AA0A" w14:textId="77777777" w:rsidR="00785778" w:rsidRPr="009C6AB0" w:rsidRDefault="00E3583B" w:rsidP="00C468D4">
      <w:pPr>
        <w:spacing w:after="180" w:line="240" w:lineRule="auto"/>
        <w:rPr>
          <w:rFonts w:ascii="Calibri" w:eastAsia="Calibri" w:hAnsi="Calibri" w:cs="Calibri"/>
          <w:sz w:val="24"/>
          <w:szCs w:val="24"/>
        </w:rPr>
      </w:pPr>
      <w:r w:rsidRPr="009C6AB0">
        <w:rPr>
          <w:rFonts w:ascii="Calibri" w:eastAsia="Calibri" w:hAnsi="Calibri" w:cs="Calibri"/>
          <w:sz w:val="24"/>
          <w:szCs w:val="24"/>
        </w:rPr>
        <w:t>When</w:t>
      </w:r>
      <w:r w:rsidR="00612ADC" w:rsidRPr="009C6AB0">
        <w:rPr>
          <w:rFonts w:ascii="Calibri" w:eastAsia="Calibri" w:hAnsi="Calibri" w:cs="Calibri"/>
          <w:sz w:val="24"/>
          <w:szCs w:val="24"/>
        </w:rPr>
        <w:t xml:space="preserve"> there is f</w:t>
      </w:r>
      <w:r w:rsidR="00C468D4" w:rsidRPr="009C6AB0">
        <w:rPr>
          <w:rFonts w:ascii="Calibri" w:eastAsia="Calibri" w:hAnsi="Calibri" w:cs="Calibri"/>
          <w:sz w:val="24"/>
          <w:szCs w:val="24"/>
        </w:rPr>
        <w:t xml:space="preserve">unding to support implementation costs </w:t>
      </w:r>
      <w:r w:rsidR="00612ADC" w:rsidRPr="009C6AB0">
        <w:rPr>
          <w:rFonts w:ascii="Calibri" w:eastAsia="Calibri" w:hAnsi="Calibri" w:cs="Calibri"/>
          <w:sz w:val="24"/>
          <w:szCs w:val="24"/>
        </w:rPr>
        <w:t xml:space="preserve">it </w:t>
      </w:r>
      <w:r w:rsidR="00C468D4" w:rsidRPr="009C6AB0">
        <w:rPr>
          <w:rFonts w:ascii="Calibri" w:eastAsia="Calibri" w:hAnsi="Calibri" w:cs="Calibri"/>
          <w:sz w:val="24"/>
          <w:szCs w:val="24"/>
        </w:rPr>
        <w:t>should be gradually phased out</w:t>
      </w:r>
      <w:r w:rsidR="00612ADC" w:rsidRPr="009C6AB0">
        <w:rPr>
          <w:rFonts w:ascii="Calibri" w:eastAsia="Calibri" w:hAnsi="Calibri" w:cs="Calibri"/>
          <w:sz w:val="24"/>
          <w:szCs w:val="24"/>
        </w:rPr>
        <w:t xml:space="preserve"> over time to avoid </w:t>
      </w:r>
      <w:r w:rsidR="00C41D30" w:rsidRPr="009C6AB0">
        <w:rPr>
          <w:rFonts w:ascii="Calibri" w:eastAsia="Calibri" w:hAnsi="Calibri" w:cs="Calibri"/>
          <w:sz w:val="24"/>
          <w:szCs w:val="24"/>
        </w:rPr>
        <w:t>locking in perverse incentives</w:t>
      </w:r>
      <w:r w:rsidR="007B456B" w:rsidRPr="009C6AB0">
        <w:rPr>
          <w:rFonts w:ascii="Calibri" w:eastAsia="Calibri" w:hAnsi="Calibri" w:cs="Calibri"/>
          <w:sz w:val="24"/>
          <w:szCs w:val="24"/>
        </w:rPr>
        <w:t>.</w:t>
      </w:r>
      <w:r w:rsidR="00C468D4" w:rsidRPr="009C6AB0">
        <w:rPr>
          <w:rFonts w:ascii="Calibri" w:eastAsia="Calibri" w:hAnsi="Calibri" w:cs="Calibri"/>
          <w:sz w:val="24"/>
          <w:szCs w:val="24"/>
        </w:rPr>
        <w:t xml:space="preserve">  </w:t>
      </w:r>
      <w:r w:rsidR="007B456B" w:rsidRPr="009C6AB0">
        <w:rPr>
          <w:rFonts w:ascii="Calibri" w:eastAsia="Calibri" w:hAnsi="Calibri" w:cs="Calibri"/>
          <w:sz w:val="24"/>
          <w:szCs w:val="24"/>
        </w:rPr>
        <w:t>Prac</w:t>
      </w:r>
      <w:r w:rsidR="00C468D4" w:rsidRPr="009C6AB0">
        <w:rPr>
          <w:rFonts w:ascii="Calibri" w:eastAsia="Calibri" w:hAnsi="Calibri" w:cs="Calibri"/>
          <w:sz w:val="24"/>
          <w:szCs w:val="24"/>
        </w:rPr>
        <w:t xml:space="preserve">tices </w:t>
      </w:r>
      <w:r w:rsidR="007B456B" w:rsidRPr="009C6AB0">
        <w:rPr>
          <w:rFonts w:ascii="Calibri" w:eastAsia="Calibri" w:hAnsi="Calibri" w:cs="Calibri"/>
          <w:sz w:val="24"/>
          <w:szCs w:val="24"/>
        </w:rPr>
        <w:t xml:space="preserve">should be </w:t>
      </w:r>
      <w:r w:rsidR="00C468D4" w:rsidRPr="009C6AB0">
        <w:rPr>
          <w:rFonts w:ascii="Calibri" w:eastAsia="Calibri" w:hAnsi="Calibri" w:cs="Calibri"/>
          <w:sz w:val="24"/>
          <w:szCs w:val="24"/>
        </w:rPr>
        <w:t>advised that funding for implementation is only available for a limited time</w:t>
      </w:r>
      <w:r w:rsidR="007B456B" w:rsidRPr="009C6AB0">
        <w:rPr>
          <w:rFonts w:ascii="Calibri" w:eastAsia="Calibri" w:hAnsi="Calibri" w:cs="Calibri"/>
          <w:sz w:val="24"/>
          <w:szCs w:val="24"/>
        </w:rPr>
        <w:t xml:space="preserve"> so </w:t>
      </w:r>
      <w:r w:rsidR="00C468D4" w:rsidRPr="009C6AB0">
        <w:rPr>
          <w:rFonts w:ascii="Calibri" w:eastAsia="Calibri" w:hAnsi="Calibri" w:cs="Calibri"/>
          <w:sz w:val="24"/>
          <w:szCs w:val="24"/>
        </w:rPr>
        <w:t xml:space="preserve">they can take action to ensure they are positioned to </w:t>
      </w:r>
      <w:r w:rsidR="00785778" w:rsidRPr="009C6AB0">
        <w:rPr>
          <w:rFonts w:ascii="Calibri" w:eastAsia="Calibri" w:hAnsi="Calibri" w:cs="Calibri"/>
          <w:sz w:val="24"/>
          <w:szCs w:val="24"/>
        </w:rPr>
        <w:t xml:space="preserve">benefit from </w:t>
      </w:r>
      <w:r w:rsidR="00C468D4" w:rsidRPr="009C6AB0">
        <w:rPr>
          <w:rFonts w:ascii="Calibri" w:eastAsia="Calibri" w:hAnsi="Calibri" w:cs="Calibri"/>
          <w:sz w:val="24"/>
          <w:szCs w:val="24"/>
        </w:rPr>
        <w:t xml:space="preserve">this funding.  </w:t>
      </w:r>
      <w:r w:rsidR="00785778" w:rsidRPr="009C6AB0">
        <w:rPr>
          <w:rFonts w:ascii="Calibri" w:eastAsia="Calibri" w:hAnsi="Calibri" w:cs="Calibri"/>
          <w:sz w:val="24"/>
          <w:szCs w:val="24"/>
        </w:rPr>
        <w:t xml:space="preserve"> </w:t>
      </w:r>
    </w:p>
    <w:p w14:paraId="4FBD9343" w14:textId="489A67E3" w:rsidR="00C468D4" w:rsidRPr="009C6AB0" w:rsidRDefault="00785778" w:rsidP="00C468D4">
      <w:pPr>
        <w:spacing w:after="180" w:line="240" w:lineRule="auto"/>
        <w:rPr>
          <w:rFonts w:ascii="Calibri" w:eastAsia="Calibri" w:hAnsi="Calibri" w:cs="Calibri"/>
          <w:sz w:val="24"/>
          <w:szCs w:val="24"/>
        </w:rPr>
      </w:pPr>
      <w:r w:rsidRPr="009C6AB0">
        <w:rPr>
          <w:rFonts w:ascii="Calibri" w:eastAsia="Calibri" w:hAnsi="Calibri" w:cs="Calibri"/>
          <w:sz w:val="24"/>
          <w:szCs w:val="24"/>
        </w:rPr>
        <w:t xml:space="preserve">In General Practice </w:t>
      </w:r>
      <w:proofErr w:type="gramStart"/>
      <w:r w:rsidRPr="009C6AB0">
        <w:rPr>
          <w:rFonts w:ascii="Calibri" w:eastAsia="Calibri" w:hAnsi="Calibri" w:cs="Calibri"/>
          <w:sz w:val="24"/>
          <w:szCs w:val="24"/>
        </w:rPr>
        <w:t>non MBS</w:t>
      </w:r>
      <w:proofErr w:type="gramEnd"/>
      <w:r w:rsidRPr="009C6AB0">
        <w:rPr>
          <w:rFonts w:ascii="Calibri" w:eastAsia="Calibri" w:hAnsi="Calibri" w:cs="Calibri"/>
          <w:sz w:val="24"/>
          <w:szCs w:val="24"/>
        </w:rPr>
        <w:t xml:space="preserve"> mechanisms such as the </w:t>
      </w:r>
      <w:r w:rsidR="00C468D4" w:rsidRPr="009C6AB0">
        <w:rPr>
          <w:rFonts w:ascii="Calibri" w:eastAsia="Calibri" w:hAnsi="Calibri" w:cs="Calibri"/>
          <w:sz w:val="24"/>
          <w:szCs w:val="24"/>
        </w:rPr>
        <w:t xml:space="preserve">PIP </w:t>
      </w:r>
      <w:r w:rsidR="0097286C" w:rsidRPr="009C6AB0">
        <w:rPr>
          <w:rFonts w:ascii="Calibri" w:eastAsia="Calibri" w:hAnsi="Calibri" w:cs="Calibri"/>
          <w:sz w:val="24"/>
          <w:szCs w:val="24"/>
        </w:rPr>
        <w:t>may</w:t>
      </w:r>
      <w:r w:rsidRPr="009C6AB0">
        <w:rPr>
          <w:rFonts w:ascii="Calibri" w:eastAsia="Calibri" w:hAnsi="Calibri" w:cs="Calibri"/>
          <w:sz w:val="24"/>
          <w:szCs w:val="24"/>
        </w:rPr>
        <w:t xml:space="preserve"> </w:t>
      </w:r>
      <w:r w:rsidR="00C468D4" w:rsidRPr="009C6AB0">
        <w:rPr>
          <w:rFonts w:ascii="Calibri" w:eastAsia="Calibri" w:hAnsi="Calibri" w:cs="Calibri"/>
          <w:sz w:val="24"/>
          <w:szCs w:val="24"/>
        </w:rPr>
        <w:t xml:space="preserve">be used to </w:t>
      </w:r>
      <w:r w:rsidR="0097286C" w:rsidRPr="009C6AB0">
        <w:rPr>
          <w:rFonts w:ascii="Calibri" w:eastAsia="Calibri" w:hAnsi="Calibri" w:cs="Calibri"/>
          <w:sz w:val="24"/>
          <w:szCs w:val="24"/>
        </w:rPr>
        <w:t xml:space="preserve">support </w:t>
      </w:r>
      <w:r w:rsidR="00C468D4" w:rsidRPr="009C6AB0">
        <w:rPr>
          <w:rFonts w:ascii="Calibri" w:eastAsia="Calibri" w:hAnsi="Calibri" w:cs="Calibri"/>
          <w:sz w:val="24"/>
          <w:szCs w:val="24"/>
        </w:rPr>
        <w:t>GPs</w:t>
      </w:r>
      <w:r w:rsidR="0097286C" w:rsidRPr="009C6AB0">
        <w:rPr>
          <w:rFonts w:ascii="Calibri" w:eastAsia="Calibri" w:hAnsi="Calibri" w:cs="Calibri"/>
          <w:sz w:val="24"/>
          <w:szCs w:val="24"/>
        </w:rPr>
        <w:t xml:space="preserve"> to adopt </w:t>
      </w:r>
      <w:r w:rsidR="00C468D4" w:rsidRPr="009C6AB0">
        <w:rPr>
          <w:rFonts w:ascii="Calibri" w:eastAsia="Calibri" w:hAnsi="Calibri" w:cs="Calibri"/>
          <w:sz w:val="24"/>
          <w:szCs w:val="24"/>
        </w:rPr>
        <w:t>products that more closely integrate into their clinical software</w:t>
      </w:r>
      <w:r w:rsidR="009F6EA7" w:rsidRPr="009C6AB0">
        <w:rPr>
          <w:rFonts w:ascii="Calibri" w:eastAsia="Calibri" w:hAnsi="Calibri" w:cs="Calibri"/>
          <w:sz w:val="24"/>
          <w:szCs w:val="24"/>
        </w:rPr>
        <w:t xml:space="preserve"> over time</w:t>
      </w:r>
      <w:r w:rsidR="00C468D4" w:rsidRPr="009C6AB0">
        <w:rPr>
          <w:rFonts w:ascii="Calibri" w:eastAsia="Calibri" w:hAnsi="Calibri" w:cs="Calibri"/>
          <w:sz w:val="24"/>
          <w:szCs w:val="24"/>
        </w:rPr>
        <w:t>.</w:t>
      </w:r>
    </w:p>
    <w:p w14:paraId="36C74D94" w14:textId="77777777" w:rsidR="00C468D4" w:rsidRPr="009C6AB0" w:rsidRDefault="00C468D4" w:rsidP="00C468D4">
      <w:pPr>
        <w:spacing w:after="180" w:line="240" w:lineRule="auto"/>
        <w:rPr>
          <w:rFonts w:ascii="Calibri" w:eastAsia="Calibri" w:hAnsi="Calibri" w:cs="Calibri"/>
          <w:sz w:val="24"/>
          <w:szCs w:val="24"/>
        </w:rPr>
      </w:pPr>
      <w:r w:rsidRPr="009C6AB0">
        <w:rPr>
          <w:rFonts w:ascii="Calibri" w:eastAsia="Calibri" w:hAnsi="Calibri" w:cs="Calibri"/>
          <w:sz w:val="24"/>
          <w:szCs w:val="24"/>
        </w:rPr>
        <w:t xml:space="preserve">Further, it is recommended that the phased approach to introduce new models for telehealth make use of and incorporate digital mediums including My Health Records, secure messaging and </w:t>
      </w:r>
      <w:proofErr w:type="spellStart"/>
      <w:r w:rsidRPr="009C6AB0">
        <w:rPr>
          <w:rFonts w:ascii="Calibri" w:eastAsia="Calibri" w:hAnsi="Calibri" w:cs="Calibri"/>
          <w:sz w:val="24"/>
          <w:szCs w:val="24"/>
        </w:rPr>
        <w:t>ePrescribing</w:t>
      </w:r>
      <w:proofErr w:type="spellEnd"/>
      <w:r w:rsidRPr="009C6AB0">
        <w:rPr>
          <w:rFonts w:ascii="Calibri" w:eastAsia="Calibri" w:hAnsi="Calibri" w:cs="Calibri"/>
          <w:sz w:val="24"/>
          <w:szCs w:val="24"/>
        </w:rPr>
        <w:t xml:space="preserve"> to improve provider workflows and therefore productivity.</w:t>
      </w:r>
    </w:p>
    <w:p w14:paraId="6AEC4C38" w14:textId="77777777" w:rsidR="00C15A1C" w:rsidRPr="009C6AB0" w:rsidRDefault="00C15A1C" w:rsidP="00C15A1C">
      <w:pPr>
        <w:spacing w:after="120" w:line="240" w:lineRule="auto"/>
        <w:rPr>
          <w:rFonts w:ascii="Calibri" w:eastAsia="Calibri" w:hAnsi="Calibri" w:cs="Calibri"/>
          <w:b/>
          <w:sz w:val="24"/>
          <w:szCs w:val="24"/>
        </w:rPr>
      </w:pPr>
    </w:p>
    <w:p w14:paraId="0634EE7F" w14:textId="77777777" w:rsidR="00C15A1C" w:rsidRPr="009C6AB0" w:rsidRDefault="00C15A1C" w:rsidP="00C15A1C">
      <w:pPr>
        <w:spacing w:after="120" w:line="240" w:lineRule="auto"/>
        <w:rPr>
          <w:rFonts w:ascii="Calibri" w:eastAsia="Calibri" w:hAnsi="Calibri" w:cs="Calibri"/>
          <w:b/>
          <w:sz w:val="24"/>
          <w:szCs w:val="24"/>
        </w:rPr>
      </w:pPr>
      <w:r w:rsidRPr="009C6AB0">
        <w:rPr>
          <w:rFonts w:ascii="Calibri" w:eastAsia="Calibri" w:hAnsi="Calibri" w:cs="Calibri"/>
          <w:b/>
          <w:sz w:val="24"/>
          <w:szCs w:val="24"/>
        </w:rPr>
        <w:t>CASE Example:</w:t>
      </w:r>
    </w:p>
    <w:p w14:paraId="51142E5C" w14:textId="506F47F1" w:rsidR="006D2440" w:rsidRPr="000078EC" w:rsidRDefault="001548C2">
      <w:pPr>
        <w:spacing w:after="180" w:line="240" w:lineRule="auto"/>
        <w:rPr>
          <w:rFonts w:ascii="Calibri" w:eastAsia="Calibri" w:hAnsi="Calibri" w:cs="Calibri"/>
          <w:sz w:val="24"/>
          <w:szCs w:val="24"/>
        </w:rPr>
      </w:pPr>
      <w:r w:rsidRPr="000078EC">
        <w:rPr>
          <w:rFonts w:ascii="Calibri" w:eastAsia="Calibri" w:hAnsi="Calibri" w:cs="Calibri"/>
          <w:sz w:val="24"/>
          <w:szCs w:val="24"/>
        </w:rPr>
        <w:t xml:space="preserve">The </w:t>
      </w:r>
      <w:r w:rsidR="008E6B65">
        <w:rPr>
          <w:rFonts w:ascii="Calibri" w:eastAsia="Calibri" w:hAnsi="Calibri" w:cs="Calibri"/>
          <w:sz w:val="24"/>
          <w:szCs w:val="24"/>
        </w:rPr>
        <w:t xml:space="preserve">recommendation to </w:t>
      </w:r>
      <w:r w:rsidRPr="000078EC">
        <w:rPr>
          <w:rFonts w:ascii="Calibri" w:eastAsia="Calibri" w:hAnsi="Calibri" w:cs="Calibri"/>
          <w:sz w:val="24"/>
          <w:szCs w:val="24"/>
        </w:rPr>
        <w:t>gradual</w:t>
      </w:r>
      <w:r w:rsidR="008E6B65">
        <w:rPr>
          <w:rFonts w:ascii="Calibri" w:eastAsia="Calibri" w:hAnsi="Calibri" w:cs="Calibri"/>
          <w:sz w:val="24"/>
          <w:szCs w:val="24"/>
        </w:rPr>
        <w:t xml:space="preserve">ly </w:t>
      </w:r>
      <w:r w:rsidRPr="000078EC">
        <w:rPr>
          <w:rFonts w:ascii="Calibri" w:eastAsia="Calibri" w:hAnsi="Calibri" w:cs="Calibri"/>
          <w:sz w:val="24"/>
          <w:szCs w:val="24"/>
        </w:rPr>
        <w:t>reduc</w:t>
      </w:r>
      <w:r w:rsidR="008E6B65">
        <w:rPr>
          <w:rFonts w:ascii="Calibri" w:eastAsia="Calibri" w:hAnsi="Calibri" w:cs="Calibri"/>
          <w:sz w:val="24"/>
          <w:szCs w:val="24"/>
        </w:rPr>
        <w:t xml:space="preserve">e the loading </w:t>
      </w:r>
      <w:r w:rsidRPr="000078EC">
        <w:rPr>
          <w:rFonts w:ascii="Calibri" w:eastAsia="Calibri" w:hAnsi="Calibri" w:cs="Calibri"/>
          <w:sz w:val="24"/>
          <w:szCs w:val="24"/>
        </w:rPr>
        <w:t>for psychiatry telehe</w:t>
      </w:r>
      <w:r w:rsidR="009D2514" w:rsidRPr="000078EC">
        <w:rPr>
          <w:rFonts w:ascii="Calibri" w:eastAsia="Calibri" w:hAnsi="Calibri" w:cs="Calibri"/>
          <w:sz w:val="24"/>
          <w:szCs w:val="24"/>
        </w:rPr>
        <w:t xml:space="preserve">alth </w:t>
      </w:r>
      <w:r w:rsidR="00005AE6" w:rsidRPr="000078EC">
        <w:rPr>
          <w:rFonts w:ascii="Calibri" w:eastAsia="Calibri" w:hAnsi="Calibri" w:cs="Calibri"/>
          <w:sz w:val="24"/>
          <w:szCs w:val="24"/>
        </w:rPr>
        <w:t xml:space="preserve">as </w:t>
      </w:r>
      <w:r w:rsidR="008E6B65">
        <w:rPr>
          <w:rFonts w:ascii="Calibri" w:eastAsia="Calibri" w:hAnsi="Calibri" w:cs="Calibri"/>
          <w:sz w:val="24"/>
          <w:szCs w:val="24"/>
        </w:rPr>
        <w:t>detailed in</w:t>
      </w:r>
      <w:r w:rsidR="00005AE6" w:rsidRPr="000078EC">
        <w:rPr>
          <w:rFonts w:ascii="Calibri" w:eastAsia="Calibri" w:hAnsi="Calibri" w:cs="Calibri"/>
          <w:sz w:val="24"/>
          <w:szCs w:val="24"/>
        </w:rPr>
        <w:t xml:space="preserve"> their report</w:t>
      </w:r>
      <w:r w:rsidR="004C4F5B">
        <w:rPr>
          <w:rFonts w:ascii="Calibri" w:eastAsia="Calibri" w:hAnsi="Calibri" w:cs="Calibri"/>
          <w:sz w:val="24"/>
          <w:szCs w:val="24"/>
        </w:rPr>
        <w:t xml:space="preserve"> at recommendation 2 and at recommendation 13 of </w:t>
      </w:r>
      <w:r w:rsidR="008E6B65">
        <w:rPr>
          <w:rFonts w:ascii="Calibri" w:eastAsia="Calibri" w:hAnsi="Calibri" w:cs="Calibri"/>
          <w:sz w:val="24"/>
          <w:szCs w:val="24"/>
        </w:rPr>
        <w:t xml:space="preserve">the </w:t>
      </w:r>
      <w:r w:rsidR="004C4F5B">
        <w:rPr>
          <w:rFonts w:ascii="Calibri" w:eastAsia="Calibri" w:hAnsi="Calibri" w:cs="Calibri"/>
          <w:sz w:val="24"/>
          <w:szCs w:val="24"/>
        </w:rPr>
        <w:t>21 referred recommendations to this working group for consideration.</w:t>
      </w:r>
      <w:r w:rsidR="00005AE6" w:rsidRPr="000078EC">
        <w:rPr>
          <w:rFonts w:ascii="Calibri" w:eastAsia="Calibri" w:hAnsi="Calibri" w:cs="Calibri"/>
          <w:sz w:val="24"/>
          <w:szCs w:val="24"/>
        </w:rPr>
        <w:t xml:space="preserve"> </w:t>
      </w:r>
    </w:p>
    <w:p w14:paraId="47195F4B" w14:textId="7E7BC2B9" w:rsidR="006D2440" w:rsidRPr="004C4F5B" w:rsidRDefault="004D7CE6" w:rsidP="004C4F5B">
      <w:pPr>
        <w:pStyle w:val="Style2"/>
      </w:pPr>
      <w:bookmarkStart w:id="39" w:name="_yj1qqpcsb28b" w:colFirst="0" w:colLast="0"/>
      <w:bookmarkEnd w:id="39"/>
      <w:r w:rsidRPr="009C6AB0">
        <w:rPr>
          <w:sz w:val="24"/>
          <w:szCs w:val="24"/>
        </w:rPr>
        <w:br w:type="page"/>
      </w:r>
      <w:bookmarkStart w:id="40" w:name="_Toc42764239"/>
      <w:r>
        <w:lastRenderedPageBreak/>
        <w:t>Principle 8</w:t>
      </w:r>
      <w:bookmarkEnd w:id="40"/>
      <w:r w:rsidR="00E338F6" w:rsidRPr="004C4F5B">
        <w:rPr>
          <w:noProof/>
          <w:lang w:val="en-AU"/>
        </w:rPr>
        <mc:AlternateContent>
          <mc:Choice Requires="wps">
            <w:drawing>
              <wp:inline distT="0" distB="0" distL="0" distR="0" wp14:anchorId="6CEA3C79" wp14:editId="743502FB">
                <wp:extent cx="5943600" cy="271013"/>
                <wp:effectExtent l="0" t="0" r="19050" b="15240"/>
                <wp:docPr id="9" name="Text Box 9"/>
                <wp:cNvGraphicFramePr/>
                <a:graphic xmlns:a="http://schemas.openxmlformats.org/drawingml/2006/main">
                  <a:graphicData uri="http://schemas.microsoft.com/office/word/2010/wordprocessingShape">
                    <wps:wsp>
                      <wps:cNvSpPr txBox="1"/>
                      <wps:spPr>
                        <a:xfrm>
                          <a:off x="0" y="0"/>
                          <a:ext cx="5943600" cy="271013"/>
                        </a:xfrm>
                        <a:prstGeom prst="rect">
                          <a:avLst/>
                        </a:prstGeom>
                        <a:solidFill>
                          <a:schemeClr val="accent3">
                            <a:lumMod val="60000"/>
                            <a:lumOff val="40000"/>
                          </a:schemeClr>
                        </a:solidFill>
                        <a:ln w="6350">
                          <a:solidFill>
                            <a:prstClr val="black"/>
                          </a:solidFill>
                        </a:ln>
                      </wps:spPr>
                      <wps:txbx>
                        <w:txbxContent>
                          <w:p w14:paraId="48624EF4" w14:textId="77777777" w:rsidR="00E338F6" w:rsidRPr="004C4F5B" w:rsidRDefault="00E338F6" w:rsidP="00E338F6">
                            <w:pPr>
                              <w:rPr>
                                <w:rFonts w:asciiTheme="majorHAnsi" w:hAnsiTheme="majorHAnsi" w:cstheme="majorHAnsi"/>
                                <w:b/>
                                <w:i/>
                              </w:rPr>
                            </w:pPr>
                            <w:r w:rsidRPr="004C4F5B">
                              <w:rPr>
                                <w:rFonts w:asciiTheme="majorHAnsi" w:hAnsiTheme="majorHAnsi" w:cstheme="majorHAnsi"/>
                                <w:b/>
                                <w:i/>
                              </w:rPr>
                              <w:t>P8 – Funding solutions will vary depending on patient need, specialty, craft group and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EA3C79" id="Text Box 9" o:spid="_x0000_s1035" type="#_x0000_t202" style="width:468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" fillcolor="#c2d69b [1942]" strokeweight=".5pt">
                <v:textbox>
                  <w:txbxContent>
                    <w:p w14:paraId="48624EF4" w14:textId="77777777" w:rsidR="00E338F6" w:rsidRPr="004C4F5B" w:rsidRDefault="00E338F6" w:rsidP="00E338F6">
                      <w:pPr>
                        <w:rPr>
                          <w:rFonts w:asciiTheme="majorHAnsi" w:hAnsiTheme="majorHAnsi" w:cstheme="majorHAnsi"/>
                          <w:b/>
                          <w:i/>
                        </w:rPr>
                      </w:pPr>
                      <w:r w:rsidRPr="004C4F5B">
                        <w:rPr>
                          <w:rFonts w:asciiTheme="majorHAnsi" w:hAnsiTheme="majorHAnsi" w:cstheme="majorHAnsi"/>
                          <w:b/>
                          <w:i/>
                        </w:rPr>
                        <w:t>P8 – Funding solutions will vary depending on patient need, specialty, craft group and purpose.</w:t>
                      </w:r>
                    </w:p>
                  </w:txbxContent>
                </v:textbox>
                <w10:anchorlock/>
              </v:shape>
            </w:pict>
          </mc:Fallback>
        </mc:AlternateContent>
      </w:r>
    </w:p>
    <w:p w14:paraId="441196C9" w14:textId="3E20F9DD" w:rsidR="008E6B65" w:rsidRDefault="006764AA" w:rsidP="004C4F5B">
      <w:pPr>
        <w:spacing w:before="120" w:after="120" w:line="240" w:lineRule="auto"/>
        <w:rPr>
          <w:rFonts w:ascii="Calibri" w:eastAsia="Calibri" w:hAnsi="Calibri" w:cs="Calibri"/>
        </w:rPr>
      </w:pPr>
      <w:r>
        <w:rPr>
          <w:rFonts w:ascii="Calibri" w:eastAsia="Calibri" w:hAnsi="Calibri" w:cs="Calibri"/>
          <w:b/>
        </w:rPr>
        <w:t>Different funding models</w:t>
      </w:r>
      <w:r w:rsidR="000078EC">
        <w:rPr>
          <w:rFonts w:ascii="Calibri" w:eastAsia="Calibri" w:hAnsi="Calibri" w:cs="Calibri"/>
          <w:b/>
        </w:rPr>
        <w:t>:</w:t>
      </w:r>
      <w:r>
        <w:rPr>
          <w:rFonts w:ascii="Calibri" w:eastAsia="Calibri" w:hAnsi="Calibri" w:cs="Calibri"/>
          <w:b/>
        </w:rPr>
        <w:t xml:space="preserve"> </w:t>
      </w:r>
      <w:r w:rsidR="004D7CE6">
        <w:rPr>
          <w:rFonts w:ascii="Calibri" w:eastAsia="Calibri" w:hAnsi="Calibri" w:cs="Calibri"/>
        </w:rPr>
        <w:t>The MBS Schedule will be appropriate for some of these</w:t>
      </w:r>
      <w:r w:rsidR="008E6B65">
        <w:rPr>
          <w:rFonts w:ascii="Calibri" w:eastAsia="Calibri" w:hAnsi="Calibri" w:cs="Calibri"/>
        </w:rPr>
        <w:t xml:space="preserve"> models of care</w:t>
      </w:r>
      <w:r w:rsidR="004D7CE6">
        <w:rPr>
          <w:rFonts w:ascii="Calibri" w:eastAsia="Calibri" w:hAnsi="Calibri" w:cs="Calibri"/>
        </w:rPr>
        <w:t xml:space="preserve">, block or blended payments will be appropriate for </w:t>
      </w:r>
      <w:r w:rsidR="008E6B65">
        <w:rPr>
          <w:rFonts w:ascii="Calibri" w:eastAsia="Calibri" w:hAnsi="Calibri" w:cs="Calibri"/>
        </w:rPr>
        <w:t>others</w:t>
      </w:r>
      <w:r w:rsidR="004D7CE6">
        <w:rPr>
          <w:rFonts w:ascii="Calibri" w:eastAsia="Calibri" w:hAnsi="Calibri" w:cs="Calibri"/>
        </w:rPr>
        <w:t xml:space="preserve">, formal patient enrolment will be a gateway to </w:t>
      </w:r>
      <w:r w:rsidR="008E6B65">
        <w:rPr>
          <w:rFonts w:ascii="Calibri" w:eastAsia="Calibri" w:hAnsi="Calibri" w:cs="Calibri"/>
        </w:rPr>
        <w:t xml:space="preserve">other models of </w:t>
      </w:r>
      <w:r w:rsidR="004D7CE6">
        <w:rPr>
          <w:rFonts w:ascii="Calibri" w:eastAsia="Calibri" w:hAnsi="Calibri" w:cs="Calibri"/>
        </w:rPr>
        <w:t>payments.</w:t>
      </w:r>
    </w:p>
    <w:p w14:paraId="2A5B3307" w14:textId="6B361DDA" w:rsidR="006D2440" w:rsidRDefault="008E6B65" w:rsidP="004154EA">
      <w:pPr>
        <w:spacing w:after="120" w:line="240" w:lineRule="auto"/>
        <w:rPr>
          <w:rFonts w:ascii="Calibri" w:eastAsia="Calibri" w:hAnsi="Calibri" w:cs="Calibri"/>
        </w:rPr>
      </w:pPr>
      <w:r>
        <w:rPr>
          <w:rFonts w:ascii="Calibri" w:eastAsia="Calibri" w:hAnsi="Calibri" w:cs="Calibri"/>
        </w:rPr>
        <w:t>P</w:t>
      </w:r>
      <w:r w:rsidR="004D7CE6">
        <w:rPr>
          <w:rFonts w:ascii="Calibri" w:eastAsia="Calibri" w:hAnsi="Calibri" w:cs="Calibri"/>
        </w:rPr>
        <w:t>rivate health insur</w:t>
      </w:r>
      <w:r>
        <w:rPr>
          <w:rFonts w:ascii="Calibri" w:eastAsia="Calibri" w:hAnsi="Calibri" w:cs="Calibri"/>
        </w:rPr>
        <w:t xml:space="preserve">ers may embrace telehealth to support hospital in the home or other services.  </w:t>
      </w:r>
      <w:r w:rsidR="004D7CE6">
        <w:rPr>
          <w:rFonts w:ascii="Calibri" w:eastAsia="Calibri" w:hAnsi="Calibri" w:cs="Calibri"/>
        </w:rPr>
        <w:t xml:space="preserve">Patient choice to </w:t>
      </w:r>
      <w:proofErr w:type="spellStart"/>
      <w:r w:rsidR="004D7CE6">
        <w:rPr>
          <w:rFonts w:ascii="Calibri" w:eastAsia="Calibri" w:hAnsi="Calibri" w:cs="Calibri"/>
        </w:rPr>
        <w:t>utilise</w:t>
      </w:r>
      <w:proofErr w:type="spellEnd"/>
      <w:r w:rsidR="004D7CE6">
        <w:rPr>
          <w:rFonts w:ascii="Calibri" w:eastAsia="Calibri" w:hAnsi="Calibri" w:cs="Calibri"/>
        </w:rPr>
        <w:t xml:space="preserve"> private health insurance should not adversely impact access to telehealth benefits.</w:t>
      </w:r>
    </w:p>
    <w:p w14:paraId="67A20791" w14:textId="77777777" w:rsidR="00F87756" w:rsidRDefault="000B4E39" w:rsidP="004154EA">
      <w:pPr>
        <w:spacing w:after="120" w:line="240" w:lineRule="auto"/>
        <w:rPr>
          <w:rFonts w:ascii="Calibri" w:eastAsia="Calibri" w:hAnsi="Calibri" w:cs="Calibri"/>
        </w:rPr>
      </w:pPr>
      <w:r>
        <w:rPr>
          <w:rFonts w:ascii="Calibri" w:eastAsia="Calibri" w:hAnsi="Calibri" w:cs="Calibri"/>
        </w:rPr>
        <w:t>The working group having taken into consideration the broader views of the taskforce</w:t>
      </w:r>
      <w:r w:rsidR="00C232BB">
        <w:rPr>
          <w:rFonts w:ascii="Calibri" w:eastAsia="Calibri" w:hAnsi="Calibri" w:cs="Calibri"/>
        </w:rPr>
        <w:t xml:space="preserve"> in relation to allied health, nurse practitioners and eligible </w:t>
      </w:r>
      <w:r w:rsidR="00A66D8F">
        <w:rPr>
          <w:rFonts w:ascii="Calibri" w:eastAsia="Calibri" w:hAnsi="Calibri" w:cs="Calibri"/>
        </w:rPr>
        <w:t>midwives</w:t>
      </w:r>
      <w:r>
        <w:rPr>
          <w:rFonts w:ascii="Calibri" w:eastAsia="Calibri" w:hAnsi="Calibri" w:cs="Calibri"/>
        </w:rPr>
        <w:t xml:space="preserve"> </w:t>
      </w:r>
      <w:proofErr w:type="spellStart"/>
      <w:r>
        <w:rPr>
          <w:rFonts w:ascii="Calibri" w:eastAsia="Calibri" w:hAnsi="Calibri" w:cs="Calibri"/>
        </w:rPr>
        <w:t>recognises</w:t>
      </w:r>
      <w:proofErr w:type="spellEnd"/>
      <w:r>
        <w:rPr>
          <w:rFonts w:ascii="Calibri" w:eastAsia="Calibri" w:hAnsi="Calibri" w:cs="Calibri"/>
        </w:rPr>
        <w:t xml:space="preserve"> that there will be varying funding models</w:t>
      </w:r>
      <w:r w:rsidR="00A66D8F">
        <w:rPr>
          <w:rFonts w:ascii="Calibri" w:eastAsia="Calibri" w:hAnsi="Calibri" w:cs="Calibri"/>
        </w:rPr>
        <w:t xml:space="preserve"> that will underpin virtual healthcare</w:t>
      </w:r>
      <w:r w:rsidR="008C1C2A">
        <w:rPr>
          <w:rFonts w:ascii="Calibri" w:eastAsia="Calibri" w:hAnsi="Calibri" w:cs="Calibri"/>
        </w:rPr>
        <w:t>.  For allied health it may be appropriate to allow some o</w:t>
      </w:r>
      <w:r w:rsidR="006B3942">
        <w:rPr>
          <w:rFonts w:ascii="Calibri" w:eastAsia="Calibri" w:hAnsi="Calibri" w:cs="Calibri"/>
        </w:rPr>
        <w:t xml:space="preserve">r </w:t>
      </w:r>
      <w:proofErr w:type="gramStart"/>
      <w:r w:rsidR="006B3942">
        <w:rPr>
          <w:rFonts w:ascii="Calibri" w:eastAsia="Calibri" w:hAnsi="Calibri" w:cs="Calibri"/>
        </w:rPr>
        <w:t>all of</w:t>
      </w:r>
      <w:proofErr w:type="gramEnd"/>
      <w:r w:rsidR="006B3942">
        <w:rPr>
          <w:rFonts w:ascii="Calibri" w:eastAsia="Calibri" w:hAnsi="Calibri" w:cs="Calibri"/>
        </w:rPr>
        <w:t xml:space="preserve"> their face to face item numbers to be converted to telehealth consultations.  </w:t>
      </w:r>
      <w:r w:rsidR="008173F7">
        <w:rPr>
          <w:rFonts w:ascii="Calibri" w:eastAsia="Calibri" w:hAnsi="Calibri" w:cs="Calibri"/>
        </w:rPr>
        <w:t xml:space="preserve">Psychologists providing services supported by </w:t>
      </w:r>
      <w:r w:rsidR="005F0010">
        <w:rPr>
          <w:rFonts w:ascii="Calibri" w:eastAsia="Calibri" w:hAnsi="Calibri" w:cs="Calibri"/>
        </w:rPr>
        <w:t>PHN’s</w:t>
      </w:r>
      <w:r w:rsidR="00B72DD9">
        <w:rPr>
          <w:rFonts w:ascii="Calibri" w:eastAsia="Calibri" w:hAnsi="Calibri" w:cs="Calibri"/>
        </w:rPr>
        <w:t xml:space="preserve"> may be funded by </w:t>
      </w:r>
      <w:r w:rsidR="00F87756">
        <w:rPr>
          <w:rFonts w:ascii="Calibri" w:eastAsia="Calibri" w:hAnsi="Calibri" w:cs="Calibri"/>
        </w:rPr>
        <w:t>alternative means.</w:t>
      </w:r>
    </w:p>
    <w:p w14:paraId="415ED6DE" w14:textId="156676C0" w:rsidR="004D0F30" w:rsidRDefault="00E60FB7" w:rsidP="004154EA">
      <w:pPr>
        <w:spacing w:after="120" w:line="240" w:lineRule="auto"/>
        <w:rPr>
          <w:rFonts w:ascii="Calibri" w:eastAsia="Calibri" w:hAnsi="Calibri" w:cs="Calibri"/>
        </w:rPr>
      </w:pPr>
      <w:proofErr w:type="spellStart"/>
      <w:r>
        <w:rPr>
          <w:rFonts w:ascii="Calibri" w:eastAsia="Calibri" w:hAnsi="Calibri" w:cs="Calibri"/>
        </w:rPr>
        <w:t>Teledermatology</w:t>
      </w:r>
      <w:proofErr w:type="spellEnd"/>
      <w:r>
        <w:rPr>
          <w:rFonts w:ascii="Calibri" w:eastAsia="Calibri" w:hAnsi="Calibri" w:cs="Calibri"/>
        </w:rPr>
        <w:t xml:space="preserve"> in Australia is funded </w:t>
      </w:r>
      <w:r w:rsidR="00E41772">
        <w:rPr>
          <w:rFonts w:ascii="Calibri" w:eastAsia="Calibri" w:hAnsi="Calibri" w:cs="Calibri"/>
        </w:rPr>
        <w:t xml:space="preserve">via </w:t>
      </w:r>
      <w:r w:rsidR="00B77F33">
        <w:rPr>
          <w:rFonts w:ascii="Calibri" w:eastAsia="Calibri" w:hAnsi="Calibri" w:cs="Calibri"/>
        </w:rPr>
        <w:t xml:space="preserve">block payments and </w:t>
      </w:r>
      <w:r w:rsidR="00E41772">
        <w:rPr>
          <w:rFonts w:ascii="Calibri" w:eastAsia="Calibri" w:hAnsi="Calibri" w:cs="Calibri"/>
        </w:rPr>
        <w:t>a salaried arrangement</w:t>
      </w:r>
      <w:r w:rsidR="00393FCF">
        <w:rPr>
          <w:rFonts w:ascii="Calibri" w:eastAsia="Calibri" w:hAnsi="Calibri" w:cs="Calibri"/>
        </w:rPr>
        <w:t xml:space="preserve"> which may be appropriate for other store and forward models of care</w:t>
      </w:r>
      <w:r w:rsidR="004D0F30">
        <w:rPr>
          <w:rFonts w:ascii="Calibri" w:eastAsia="Calibri" w:hAnsi="Calibri" w:cs="Calibri"/>
        </w:rPr>
        <w:t>.</w:t>
      </w:r>
    </w:p>
    <w:p w14:paraId="554F9301" w14:textId="77777777" w:rsidR="004D0F30" w:rsidRDefault="004D0F30" w:rsidP="004154EA">
      <w:pPr>
        <w:spacing w:after="120" w:line="240" w:lineRule="auto"/>
        <w:rPr>
          <w:rFonts w:ascii="Calibri" w:eastAsia="Calibri" w:hAnsi="Calibri" w:cs="Calibri"/>
        </w:rPr>
      </w:pPr>
    </w:p>
    <w:p w14:paraId="0C5A22D8" w14:textId="77777777" w:rsidR="000078EC" w:rsidRPr="009C6AB0" w:rsidRDefault="000078EC" w:rsidP="000078EC">
      <w:pPr>
        <w:spacing w:after="120" w:line="240" w:lineRule="auto"/>
        <w:rPr>
          <w:rFonts w:ascii="Calibri" w:eastAsia="Calibri" w:hAnsi="Calibri" w:cs="Calibri"/>
          <w:b/>
          <w:sz w:val="24"/>
          <w:szCs w:val="24"/>
        </w:rPr>
      </w:pPr>
      <w:bookmarkStart w:id="41" w:name="_gmnfl4ubcicp" w:colFirst="0" w:colLast="0"/>
      <w:bookmarkEnd w:id="41"/>
      <w:r w:rsidRPr="009C6AB0">
        <w:rPr>
          <w:rFonts w:ascii="Calibri" w:eastAsia="Calibri" w:hAnsi="Calibri" w:cs="Calibri"/>
          <w:b/>
          <w:sz w:val="24"/>
          <w:szCs w:val="24"/>
        </w:rPr>
        <w:t>CASE Example:</w:t>
      </w:r>
    </w:p>
    <w:p w14:paraId="28E64C4E" w14:textId="20C997F6" w:rsidR="006D2440" w:rsidRDefault="00C841DB">
      <w:pPr>
        <w:spacing w:line="312" w:lineRule="auto"/>
        <w:rPr>
          <w:rFonts w:ascii="Calibri" w:eastAsia="Calibri" w:hAnsi="Calibri" w:cs="Calibri"/>
        </w:rPr>
      </w:pPr>
      <w:r>
        <w:rPr>
          <w:rFonts w:ascii="Calibri" w:eastAsia="Calibri" w:hAnsi="Calibri" w:cs="Calibri"/>
        </w:rPr>
        <w:t xml:space="preserve">Tele </w:t>
      </w:r>
      <w:r w:rsidR="00C209B8">
        <w:rPr>
          <w:rFonts w:ascii="Calibri" w:eastAsia="Calibri" w:hAnsi="Calibri" w:cs="Calibri"/>
        </w:rPr>
        <w:t>Dermatology</w:t>
      </w:r>
      <w:r>
        <w:rPr>
          <w:rFonts w:ascii="Calibri" w:eastAsia="Calibri" w:hAnsi="Calibri" w:cs="Calibri"/>
        </w:rPr>
        <w:t xml:space="preserve"> is provided by a </w:t>
      </w:r>
      <w:r w:rsidR="00642879">
        <w:rPr>
          <w:rFonts w:ascii="Calibri" w:eastAsia="Calibri" w:hAnsi="Calibri" w:cs="Calibri"/>
        </w:rPr>
        <w:t xml:space="preserve">salaried </w:t>
      </w:r>
      <w:r>
        <w:rPr>
          <w:rFonts w:ascii="Calibri" w:eastAsia="Calibri" w:hAnsi="Calibri" w:cs="Calibri"/>
        </w:rPr>
        <w:t>specialist</w:t>
      </w:r>
    </w:p>
    <w:p w14:paraId="260A232E" w14:textId="77777777" w:rsidR="006D2440" w:rsidRDefault="006D2440">
      <w:pPr>
        <w:spacing w:line="312" w:lineRule="auto"/>
        <w:rPr>
          <w:rFonts w:ascii="Calibri" w:eastAsia="Calibri" w:hAnsi="Calibri" w:cs="Calibri"/>
        </w:rPr>
      </w:pPr>
      <w:bookmarkStart w:id="42" w:name="_2k89nx9bz4pu" w:colFirst="0" w:colLast="0"/>
      <w:bookmarkEnd w:id="42"/>
    </w:p>
    <w:p w14:paraId="6DF46331" w14:textId="77777777" w:rsidR="006D2440" w:rsidRDefault="004D7CE6">
      <w:pPr>
        <w:spacing w:after="180" w:line="240" w:lineRule="auto"/>
        <w:rPr>
          <w:rFonts w:ascii="Calibri" w:eastAsia="Calibri" w:hAnsi="Calibri" w:cs="Calibri"/>
        </w:rPr>
      </w:pPr>
      <w:r>
        <w:br w:type="page"/>
      </w:r>
    </w:p>
    <w:p w14:paraId="538E3394" w14:textId="6C2BAF09" w:rsidR="006D2440" w:rsidRDefault="004D7CE6" w:rsidP="008E7FF0">
      <w:pPr>
        <w:pStyle w:val="Style2"/>
      </w:pPr>
      <w:bookmarkStart w:id="43" w:name="_Toc42764240"/>
      <w:r>
        <w:lastRenderedPageBreak/>
        <w:t>Principle 9</w:t>
      </w:r>
      <w:bookmarkEnd w:id="43"/>
      <w:r w:rsidR="00E338F6">
        <w:rPr>
          <w:rFonts w:asciiTheme="majorHAnsi" w:hAnsiTheme="majorHAnsi" w:cstheme="majorHAnsi"/>
          <w:noProof/>
          <w:sz w:val="24"/>
          <w:szCs w:val="24"/>
          <w:lang w:val="en-AU"/>
        </w:rPr>
        <mc:AlternateContent>
          <mc:Choice Requires="wps">
            <w:drawing>
              <wp:inline distT="0" distB="0" distL="0" distR="0" wp14:anchorId="62E6DCBC" wp14:editId="18C9B231">
                <wp:extent cx="5943600" cy="281622"/>
                <wp:effectExtent l="0" t="0" r="19050" b="23495"/>
                <wp:docPr id="26" name="Text Box 26"/>
                <wp:cNvGraphicFramePr/>
                <a:graphic xmlns:a="http://schemas.openxmlformats.org/drawingml/2006/main">
                  <a:graphicData uri="http://schemas.microsoft.com/office/word/2010/wordprocessingShape">
                    <wps:wsp>
                      <wps:cNvSpPr txBox="1"/>
                      <wps:spPr>
                        <a:xfrm>
                          <a:off x="0" y="0"/>
                          <a:ext cx="5943600" cy="281622"/>
                        </a:xfrm>
                        <a:prstGeom prst="rect">
                          <a:avLst/>
                        </a:prstGeom>
                        <a:solidFill>
                          <a:schemeClr val="accent3">
                            <a:lumMod val="60000"/>
                            <a:lumOff val="40000"/>
                          </a:schemeClr>
                        </a:solidFill>
                        <a:ln w="6350">
                          <a:solidFill>
                            <a:prstClr val="black"/>
                          </a:solidFill>
                        </a:ln>
                      </wps:spPr>
                      <wps:txbx>
                        <w:txbxContent>
                          <w:p w14:paraId="4BD60286" w14:textId="77777777" w:rsidR="00E338F6" w:rsidRPr="000F7E9B" w:rsidRDefault="00E338F6" w:rsidP="00E338F6">
                            <w:pPr>
                              <w:rPr>
                                <w:rFonts w:asciiTheme="majorHAnsi" w:hAnsiTheme="majorHAnsi" w:cstheme="majorHAnsi"/>
                                <w:b/>
                                <w:i/>
                                <w:sz w:val="24"/>
                                <w:szCs w:val="24"/>
                              </w:rPr>
                            </w:pPr>
                            <w:r w:rsidRPr="000F7E9B">
                              <w:rPr>
                                <w:rFonts w:asciiTheme="majorHAnsi" w:hAnsiTheme="majorHAnsi" w:cstheme="majorHAnsi"/>
                                <w:b/>
                                <w:i/>
                                <w:sz w:val="24"/>
                                <w:szCs w:val="24"/>
                              </w:rPr>
                              <w:t xml:space="preserve">P9 – </w:t>
                            </w:r>
                            <w:r w:rsidRPr="000F7E9B">
                              <w:rPr>
                                <w:rFonts w:asciiTheme="majorHAnsi" w:eastAsia="Calibri" w:hAnsiTheme="majorHAnsi" w:cstheme="majorHAnsi"/>
                                <w:b/>
                                <w:i/>
                                <w:sz w:val="24"/>
                                <w:szCs w:val="24"/>
                              </w:rPr>
                              <w:t>Should be guided by existing relevant guidelines and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E6DCBC" id="Text Box 26" o:spid="_x0000_s1036" type="#_x0000_t202" style="width:468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" fillcolor="#c2d69b [1942]" strokeweight=".5pt">
                <v:textbox>
                  <w:txbxContent>
                    <w:p w14:paraId="4BD60286" w14:textId="77777777" w:rsidR="00E338F6" w:rsidRPr="000F7E9B" w:rsidRDefault="00E338F6" w:rsidP="00E338F6">
                      <w:pPr>
                        <w:rPr>
                          <w:rFonts w:asciiTheme="majorHAnsi" w:hAnsiTheme="majorHAnsi" w:cstheme="majorHAnsi"/>
                          <w:b/>
                          <w:i/>
                          <w:sz w:val="24"/>
                          <w:szCs w:val="24"/>
                        </w:rPr>
                      </w:pPr>
                      <w:r w:rsidRPr="000F7E9B">
                        <w:rPr>
                          <w:rFonts w:asciiTheme="majorHAnsi" w:hAnsiTheme="majorHAnsi" w:cstheme="majorHAnsi"/>
                          <w:b/>
                          <w:i/>
                          <w:sz w:val="24"/>
                          <w:szCs w:val="24"/>
                        </w:rPr>
                        <w:t xml:space="preserve">P9 – </w:t>
                      </w:r>
                      <w:r w:rsidRPr="000F7E9B">
                        <w:rPr>
                          <w:rFonts w:asciiTheme="majorHAnsi" w:eastAsia="Calibri" w:hAnsiTheme="majorHAnsi" w:cstheme="majorHAnsi"/>
                          <w:b/>
                          <w:i/>
                          <w:sz w:val="24"/>
                          <w:szCs w:val="24"/>
                        </w:rPr>
                        <w:t>Should be guided by existing relevant guidelines and principles.</w:t>
                      </w:r>
                    </w:p>
                  </w:txbxContent>
                </v:textbox>
                <w10:anchorlock/>
              </v:shape>
            </w:pict>
          </mc:Fallback>
        </mc:AlternateContent>
      </w:r>
    </w:p>
    <w:p w14:paraId="2F4C1157" w14:textId="7597129C" w:rsidR="00312E4E" w:rsidRPr="000078EC" w:rsidRDefault="00F55966" w:rsidP="00312E4E">
      <w:pPr>
        <w:spacing w:after="120" w:line="240" w:lineRule="auto"/>
        <w:rPr>
          <w:rFonts w:asciiTheme="majorHAnsi" w:eastAsia="Calibri" w:hAnsiTheme="majorHAnsi" w:cstheme="majorHAnsi"/>
          <w:sz w:val="24"/>
          <w:szCs w:val="24"/>
        </w:rPr>
      </w:pPr>
      <w:r w:rsidRPr="000078EC">
        <w:rPr>
          <w:rFonts w:asciiTheme="majorHAnsi" w:eastAsia="Calibri" w:hAnsiTheme="majorHAnsi" w:cstheme="majorHAnsi"/>
          <w:sz w:val="24"/>
          <w:szCs w:val="24"/>
        </w:rPr>
        <w:t xml:space="preserve">There are </w:t>
      </w:r>
      <w:proofErr w:type="gramStart"/>
      <w:r w:rsidRPr="000078EC">
        <w:rPr>
          <w:rFonts w:asciiTheme="majorHAnsi" w:eastAsia="Calibri" w:hAnsiTheme="majorHAnsi" w:cstheme="majorHAnsi"/>
          <w:sz w:val="24"/>
          <w:szCs w:val="24"/>
        </w:rPr>
        <w:t>a number of</w:t>
      </w:r>
      <w:proofErr w:type="gramEnd"/>
      <w:r w:rsidRPr="000078EC">
        <w:rPr>
          <w:rFonts w:asciiTheme="majorHAnsi" w:eastAsia="Calibri" w:hAnsiTheme="majorHAnsi" w:cstheme="majorHAnsi"/>
          <w:sz w:val="24"/>
          <w:szCs w:val="24"/>
        </w:rPr>
        <w:t xml:space="preserve"> g</w:t>
      </w:r>
      <w:r w:rsidR="00A60C94" w:rsidRPr="000078EC">
        <w:rPr>
          <w:rFonts w:asciiTheme="majorHAnsi" w:eastAsia="Calibri" w:hAnsiTheme="majorHAnsi" w:cstheme="majorHAnsi"/>
          <w:sz w:val="24"/>
          <w:szCs w:val="24"/>
        </w:rPr>
        <w:t xml:space="preserve">uidelines developed for telehealth by various entities that should guide delivery of Virtual Health </w:t>
      </w:r>
      <w:r w:rsidR="009E3EF7" w:rsidRPr="000078EC">
        <w:rPr>
          <w:rFonts w:asciiTheme="majorHAnsi" w:eastAsia="Calibri" w:hAnsiTheme="majorHAnsi" w:cstheme="majorHAnsi"/>
          <w:sz w:val="24"/>
          <w:szCs w:val="24"/>
        </w:rPr>
        <w:t xml:space="preserve">services </w:t>
      </w:r>
      <w:r w:rsidR="00312E4E" w:rsidRPr="000078EC">
        <w:rPr>
          <w:rFonts w:asciiTheme="majorHAnsi" w:eastAsia="Calibri" w:hAnsiTheme="majorHAnsi" w:cstheme="majorHAnsi"/>
          <w:sz w:val="24"/>
          <w:szCs w:val="24"/>
        </w:rPr>
        <w:t>such as:</w:t>
      </w:r>
    </w:p>
    <w:p w14:paraId="1441FBC4" w14:textId="7B9CFA86" w:rsidR="00312E4E" w:rsidRPr="000F7E9B" w:rsidRDefault="009E3EF7" w:rsidP="000F7E9B">
      <w:pPr>
        <w:pStyle w:val="ListParagraph"/>
        <w:numPr>
          <w:ilvl w:val="0"/>
          <w:numId w:val="76"/>
        </w:numPr>
        <w:spacing w:after="120" w:line="240" w:lineRule="auto"/>
        <w:rPr>
          <w:rFonts w:asciiTheme="majorHAnsi" w:eastAsia="Calibri" w:hAnsiTheme="majorHAnsi" w:cstheme="majorHAnsi"/>
          <w:sz w:val="24"/>
          <w:szCs w:val="24"/>
        </w:rPr>
      </w:pPr>
      <w:r w:rsidRPr="000F7E9B">
        <w:rPr>
          <w:rFonts w:asciiTheme="majorHAnsi" w:eastAsia="Calibri" w:hAnsiTheme="majorHAnsi" w:cstheme="majorHAnsi"/>
          <w:sz w:val="24"/>
          <w:szCs w:val="24"/>
        </w:rPr>
        <w:t>T</w:t>
      </w:r>
      <w:r w:rsidR="00312E4E" w:rsidRPr="000F7E9B">
        <w:rPr>
          <w:rFonts w:asciiTheme="majorHAnsi" w:eastAsia="Calibri" w:hAnsiTheme="majorHAnsi" w:cstheme="majorHAnsi"/>
          <w:sz w:val="24"/>
          <w:szCs w:val="24"/>
        </w:rPr>
        <w:t xml:space="preserve">he Medical Board of Australia’s Good Medical Practice: </w:t>
      </w:r>
      <w:proofErr w:type="gramStart"/>
      <w:r w:rsidR="00312E4E" w:rsidRPr="000F7E9B">
        <w:rPr>
          <w:rFonts w:asciiTheme="majorHAnsi" w:eastAsia="Calibri" w:hAnsiTheme="majorHAnsi" w:cstheme="majorHAnsi"/>
          <w:sz w:val="24"/>
          <w:szCs w:val="24"/>
        </w:rPr>
        <w:t>a</w:t>
      </w:r>
      <w:proofErr w:type="gramEnd"/>
      <w:r w:rsidR="00312E4E" w:rsidRPr="000F7E9B">
        <w:rPr>
          <w:rFonts w:asciiTheme="majorHAnsi" w:eastAsia="Calibri" w:hAnsiTheme="majorHAnsi" w:cstheme="majorHAnsi"/>
          <w:sz w:val="24"/>
          <w:szCs w:val="24"/>
        </w:rPr>
        <w:t xml:space="preserve"> Code of Conduct for Doctors in Australia and the Guidelines for Technology-based Patient Consultations, </w:t>
      </w:r>
    </w:p>
    <w:p w14:paraId="275E5862" w14:textId="5CD68ED8" w:rsidR="0056308D" w:rsidRPr="000F7E9B" w:rsidRDefault="00F234C0" w:rsidP="000F7E9B">
      <w:pPr>
        <w:pStyle w:val="ListParagraph"/>
        <w:numPr>
          <w:ilvl w:val="0"/>
          <w:numId w:val="76"/>
        </w:numPr>
        <w:spacing w:after="120" w:line="240" w:lineRule="auto"/>
        <w:rPr>
          <w:rFonts w:asciiTheme="majorHAnsi" w:eastAsia="Calibri" w:hAnsiTheme="majorHAnsi" w:cstheme="majorHAnsi"/>
          <w:sz w:val="24"/>
          <w:szCs w:val="24"/>
          <w:lang w:val="en-AU"/>
        </w:rPr>
      </w:pPr>
      <w:r w:rsidRPr="000F7E9B">
        <w:rPr>
          <w:rFonts w:asciiTheme="majorHAnsi" w:eastAsia="Calibri" w:hAnsiTheme="majorHAnsi" w:cstheme="majorHAnsi"/>
          <w:sz w:val="24"/>
          <w:szCs w:val="24"/>
          <w:lang w:val="en-AU"/>
        </w:rPr>
        <w:t xml:space="preserve">The </w:t>
      </w:r>
      <w:hyperlink r:id="rId22" w:history="1">
        <w:r w:rsidR="007642D6" w:rsidRPr="000F7E9B">
          <w:rPr>
            <w:rStyle w:val="Hyperlink"/>
            <w:rFonts w:asciiTheme="majorHAnsi" w:eastAsia="Calibri" w:hAnsiTheme="majorHAnsi" w:cstheme="majorHAnsi"/>
            <w:sz w:val="24"/>
            <w:szCs w:val="24"/>
            <w:lang w:val="en-AU"/>
          </w:rPr>
          <w:t>Australian Commission on Safety and Quality in Health Care (A</w:t>
        </w:r>
      </w:hyperlink>
      <w:r w:rsidRPr="000F7E9B">
        <w:rPr>
          <w:rFonts w:asciiTheme="majorHAnsi" w:eastAsia="Calibri" w:hAnsiTheme="majorHAnsi" w:cstheme="majorHAnsi"/>
          <w:sz w:val="24"/>
          <w:szCs w:val="24"/>
          <w:lang w:val="en-AU"/>
        </w:rPr>
        <w:t>CSQHC’s digital mental health standards</w:t>
      </w:r>
      <w:r w:rsidR="00000E01" w:rsidRPr="000078EC">
        <w:rPr>
          <w:rStyle w:val="FootnoteReference"/>
          <w:rFonts w:asciiTheme="majorHAnsi" w:eastAsia="Calibri" w:hAnsiTheme="majorHAnsi" w:cstheme="majorHAnsi"/>
          <w:sz w:val="24"/>
          <w:szCs w:val="24"/>
          <w:lang w:val="en-AU"/>
        </w:rPr>
        <w:footnoteReference w:id="13"/>
      </w:r>
    </w:p>
    <w:p w14:paraId="485249C2" w14:textId="77777777" w:rsidR="000F7E9B" w:rsidRDefault="00757C7A" w:rsidP="000F7E9B">
      <w:pPr>
        <w:pStyle w:val="ListParagraph"/>
        <w:numPr>
          <w:ilvl w:val="0"/>
          <w:numId w:val="76"/>
        </w:numPr>
        <w:spacing w:after="120" w:line="240" w:lineRule="auto"/>
        <w:rPr>
          <w:rFonts w:asciiTheme="majorHAnsi" w:eastAsia="Calibri" w:hAnsiTheme="majorHAnsi" w:cstheme="majorHAnsi"/>
          <w:sz w:val="24"/>
          <w:szCs w:val="24"/>
          <w:lang w:val="en-AU"/>
        </w:rPr>
      </w:pPr>
      <w:r w:rsidRPr="000F7E9B">
        <w:rPr>
          <w:rFonts w:asciiTheme="majorHAnsi" w:eastAsia="Calibri" w:hAnsiTheme="majorHAnsi" w:cstheme="majorHAnsi"/>
          <w:sz w:val="24"/>
          <w:szCs w:val="24"/>
          <w:lang w:val="en-AU"/>
        </w:rPr>
        <w:t>The Australian Physiotherapy Association Telehealth Guidelines</w:t>
      </w:r>
      <w:r w:rsidR="00200F7B" w:rsidRPr="000078EC">
        <w:rPr>
          <w:rStyle w:val="FootnoteReference"/>
          <w:rFonts w:asciiTheme="majorHAnsi" w:eastAsia="Calibri" w:hAnsiTheme="majorHAnsi" w:cstheme="majorHAnsi"/>
          <w:sz w:val="24"/>
          <w:szCs w:val="24"/>
          <w:lang w:val="en-AU"/>
        </w:rPr>
        <w:footnoteReference w:id="14"/>
      </w:r>
      <w:r w:rsidR="000F7E9B">
        <w:rPr>
          <w:rFonts w:asciiTheme="majorHAnsi" w:eastAsia="Calibri" w:hAnsiTheme="majorHAnsi" w:cstheme="majorHAnsi"/>
          <w:sz w:val="24"/>
          <w:szCs w:val="24"/>
          <w:lang w:val="en-AU"/>
        </w:rPr>
        <w:t xml:space="preserve"> and </w:t>
      </w:r>
    </w:p>
    <w:p w14:paraId="641E015D" w14:textId="12CC7286" w:rsidR="00200F7B" w:rsidRPr="000F7E9B" w:rsidRDefault="00200F7B" w:rsidP="000F7E9B">
      <w:pPr>
        <w:pStyle w:val="ListParagraph"/>
        <w:numPr>
          <w:ilvl w:val="0"/>
          <w:numId w:val="76"/>
        </w:numPr>
        <w:spacing w:after="120" w:line="240" w:lineRule="auto"/>
        <w:rPr>
          <w:rFonts w:asciiTheme="majorHAnsi" w:eastAsia="Calibri" w:hAnsiTheme="majorHAnsi" w:cstheme="majorHAnsi"/>
          <w:sz w:val="24"/>
          <w:szCs w:val="24"/>
          <w:lang w:val="en-AU"/>
        </w:rPr>
      </w:pPr>
      <w:r w:rsidRPr="000F7E9B">
        <w:rPr>
          <w:rFonts w:asciiTheme="majorHAnsi" w:eastAsia="Calibri" w:hAnsiTheme="majorHAnsi" w:cstheme="majorHAnsi"/>
          <w:sz w:val="24"/>
          <w:szCs w:val="24"/>
          <w:lang w:val="en-AU"/>
        </w:rPr>
        <w:t>others developed by specialist nursing and allied health provider organisations.</w:t>
      </w:r>
    </w:p>
    <w:p w14:paraId="354029A0" w14:textId="77777777" w:rsidR="00AB106C" w:rsidRPr="000078EC" w:rsidRDefault="00AB106C" w:rsidP="007642D6">
      <w:pPr>
        <w:spacing w:after="120" w:line="240" w:lineRule="auto"/>
        <w:rPr>
          <w:rFonts w:asciiTheme="majorHAnsi" w:eastAsia="Calibri" w:hAnsiTheme="majorHAnsi" w:cstheme="majorHAnsi"/>
          <w:sz w:val="24"/>
          <w:szCs w:val="24"/>
        </w:rPr>
      </w:pPr>
    </w:p>
    <w:p w14:paraId="4BF166DC" w14:textId="406D1EB7" w:rsidR="00312E4E" w:rsidRPr="000078EC" w:rsidRDefault="00312E4E" w:rsidP="007642D6">
      <w:pPr>
        <w:spacing w:after="120" w:line="240" w:lineRule="auto"/>
        <w:rPr>
          <w:rFonts w:asciiTheme="majorHAnsi" w:eastAsia="Calibri" w:hAnsiTheme="majorHAnsi" w:cstheme="majorHAnsi"/>
          <w:sz w:val="24"/>
          <w:szCs w:val="24"/>
        </w:rPr>
      </w:pPr>
      <w:r w:rsidRPr="000078EC">
        <w:rPr>
          <w:rFonts w:asciiTheme="majorHAnsi" w:eastAsia="Calibri" w:hAnsiTheme="majorHAnsi" w:cstheme="majorHAnsi"/>
          <w:sz w:val="24"/>
          <w:szCs w:val="24"/>
        </w:rPr>
        <w:t>MBS Telehealth must be in line with the four goals of the MBS Review Taskforce, affordable and universal access, best practice health services, value for the individual patient, value for the health system.</w:t>
      </w:r>
    </w:p>
    <w:p w14:paraId="2B08752A" w14:textId="77777777" w:rsidR="000078EC" w:rsidRPr="009C6AB0" w:rsidRDefault="000078EC" w:rsidP="000078EC">
      <w:pPr>
        <w:spacing w:after="120" w:line="240" w:lineRule="auto"/>
        <w:rPr>
          <w:rFonts w:ascii="Calibri" w:eastAsia="Calibri" w:hAnsi="Calibri" w:cs="Calibri"/>
          <w:b/>
          <w:sz w:val="24"/>
          <w:szCs w:val="24"/>
        </w:rPr>
      </w:pPr>
      <w:r w:rsidRPr="009C6AB0">
        <w:rPr>
          <w:rFonts w:ascii="Calibri" w:eastAsia="Calibri" w:hAnsi="Calibri" w:cs="Calibri"/>
          <w:b/>
          <w:sz w:val="24"/>
          <w:szCs w:val="24"/>
        </w:rPr>
        <w:t>CASE Example:</w:t>
      </w:r>
    </w:p>
    <w:p w14:paraId="6F0FF137" w14:textId="574FB57C" w:rsidR="006D2440" w:rsidRPr="000078EC" w:rsidRDefault="00EF7EA5" w:rsidP="000F7E9B">
      <w:pPr>
        <w:spacing w:after="120" w:line="240" w:lineRule="auto"/>
        <w:rPr>
          <w:rFonts w:asciiTheme="majorHAnsi" w:eastAsia="Calibri" w:hAnsiTheme="majorHAnsi" w:cstheme="majorHAnsi"/>
          <w:sz w:val="24"/>
          <w:szCs w:val="24"/>
        </w:rPr>
      </w:pPr>
      <w:bookmarkStart w:id="44" w:name="_j4rscuv8zbt3" w:colFirst="0" w:colLast="0"/>
      <w:bookmarkEnd w:id="44"/>
      <w:r w:rsidRPr="000078EC">
        <w:rPr>
          <w:rFonts w:asciiTheme="majorHAnsi" w:eastAsia="Calibri" w:hAnsiTheme="majorHAnsi" w:cstheme="majorHAnsi"/>
          <w:sz w:val="24"/>
          <w:szCs w:val="24"/>
        </w:rPr>
        <w:t>APA guidelines</w:t>
      </w:r>
      <w:r w:rsidR="004D7CE6" w:rsidRPr="000078EC">
        <w:rPr>
          <w:rFonts w:asciiTheme="majorHAnsi" w:eastAsia="Calibri" w:hAnsiTheme="majorHAnsi" w:cstheme="majorHAnsi"/>
          <w:sz w:val="24"/>
          <w:szCs w:val="24"/>
        </w:rPr>
        <w:br w:type="page"/>
      </w:r>
    </w:p>
    <w:p w14:paraId="51A5AC29" w14:textId="6FA3143B" w:rsidR="006D2440" w:rsidRDefault="004D7CE6" w:rsidP="008E7FF0">
      <w:pPr>
        <w:pStyle w:val="Style2"/>
      </w:pPr>
      <w:bookmarkStart w:id="45" w:name="_Toc42764241"/>
      <w:r>
        <w:lastRenderedPageBreak/>
        <w:t>Principle 10</w:t>
      </w:r>
      <w:bookmarkEnd w:id="45"/>
      <w:r w:rsidR="00E338F6">
        <w:rPr>
          <w:noProof/>
          <w:lang w:val="en-AU"/>
        </w:rPr>
        <mc:AlternateContent>
          <mc:Choice Requires="wps">
            <w:drawing>
              <wp:inline distT="0" distB="0" distL="0" distR="0" wp14:anchorId="5E4C0215" wp14:editId="24F8DA23">
                <wp:extent cx="5744845" cy="542925"/>
                <wp:effectExtent l="0" t="0" r="27305" b="28575"/>
                <wp:docPr id="27" name="Text Box 27"/>
                <wp:cNvGraphicFramePr/>
                <a:graphic xmlns:a="http://schemas.openxmlformats.org/drawingml/2006/main">
                  <a:graphicData uri="http://schemas.microsoft.com/office/word/2010/wordprocessingShape">
                    <wps:wsp>
                      <wps:cNvSpPr txBox="1"/>
                      <wps:spPr>
                        <a:xfrm>
                          <a:off x="0" y="0"/>
                          <a:ext cx="5744845" cy="542925"/>
                        </a:xfrm>
                        <a:prstGeom prst="rect">
                          <a:avLst/>
                        </a:prstGeom>
                        <a:solidFill>
                          <a:schemeClr val="accent3">
                            <a:lumMod val="60000"/>
                            <a:lumOff val="40000"/>
                          </a:schemeClr>
                        </a:solidFill>
                        <a:ln w="6350">
                          <a:solidFill>
                            <a:prstClr val="black"/>
                          </a:solidFill>
                        </a:ln>
                      </wps:spPr>
                      <wps:txbx>
                        <w:txbxContent>
                          <w:p w14:paraId="57F1BB16" w14:textId="77777777" w:rsidR="00E338F6" w:rsidRPr="000F7E9B" w:rsidRDefault="00E338F6" w:rsidP="00E338F6">
                            <w:pPr>
                              <w:rPr>
                                <w:rFonts w:asciiTheme="majorHAnsi" w:hAnsiTheme="majorHAnsi"/>
                                <w:b/>
                                <w:i/>
                                <w:sz w:val="24"/>
                                <w:szCs w:val="24"/>
                              </w:rPr>
                            </w:pPr>
                            <w:r w:rsidRPr="000F7E9B">
                              <w:rPr>
                                <w:rFonts w:asciiTheme="majorHAnsi" w:hAnsiTheme="majorHAnsi"/>
                                <w:b/>
                                <w:i/>
                                <w:sz w:val="24"/>
                                <w:szCs w:val="24"/>
                              </w:rPr>
                              <w:t>P10 – Requires ongoing data collection and research and evaluation into its outcomes and utility.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4C0215" id="Text Box 27" o:spid="_x0000_s1037" type="#_x0000_t202" style="width:452.3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" fillcolor="#c2d69b [1942]" strokeweight=".5pt">
                <v:textbox>
                  <w:txbxContent>
                    <w:p w14:paraId="57F1BB16" w14:textId="77777777" w:rsidR="00E338F6" w:rsidRPr="000F7E9B" w:rsidRDefault="00E338F6" w:rsidP="00E338F6">
                      <w:pPr>
                        <w:rPr>
                          <w:rFonts w:asciiTheme="majorHAnsi" w:hAnsiTheme="majorHAnsi"/>
                          <w:b/>
                          <w:i/>
                          <w:sz w:val="24"/>
                          <w:szCs w:val="24"/>
                        </w:rPr>
                      </w:pPr>
                      <w:r w:rsidRPr="000F7E9B">
                        <w:rPr>
                          <w:rFonts w:asciiTheme="majorHAnsi" w:hAnsiTheme="majorHAnsi"/>
                          <w:b/>
                          <w:i/>
                          <w:sz w:val="24"/>
                          <w:szCs w:val="24"/>
                        </w:rPr>
                        <w:t>P10 – Requires ongoing data collection and research and evaluation into its outcomes and utility.</w:t>
                      </w:r>
                    </w:p>
                  </w:txbxContent>
                </v:textbox>
                <w10:anchorlock/>
              </v:shape>
            </w:pict>
          </mc:Fallback>
        </mc:AlternateContent>
      </w:r>
    </w:p>
    <w:p w14:paraId="77D5E281" w14:textId="77777777" w:rsidR="000F7E9B" w:rsidRDefault="000F7E9B" w:rsidP="004154EA">
      <w:pPr>
        <w:spacing w:after="120" w:line="240" w:lineRule="auto"/>
        <w:rPr>
          <w:rFonts w:ascii="Calibri" w:eastAsia="Calibri" w:hAnsi="Calibri" w:cs="Calibri"/>
          <w:sz w:val="24"/>
          <w:szCs w:val="24"/>
        </w:rPr>
      </w:pPr>
    </w:p>
    <w:p w14:paraId="2DFF1E82" w14:textId="1B7DB438" w:rsidR="006D2440" w:rsidRPr="000F7E9B" w:rsidRDefault="004D7CE6" w:rsidP="004154EA">
      <w:pPr>
        <w:spacing w:after="120" w:line="240" w:lineRule="auto"/>
        <w:rPr>
          <w:rFonts w:ascii="Calibri" w:eastAsia="Calibri" w:hAnsi="Calibri" w:cs="Calibri"/>
          <w:sz w:val="24"/>
          <w:szCs w:val="24"/>
        </w:rPr>
      </w:pPr>
      <w:r w:rsidRPr="000F7E9B">
        <w:rPr>
          <w:rFonts w:ascii="Calibri" w:eastAsia="Calibri" w:hAnsi="Calibri" w:cs="Calibri"/>
          <w:sz w:val="24"/>
          <w:szCs w:val="24"/>
        </w:rPr>
        <w:t>As per Principle 8, the landscape of telehealth service provision is quickly changing. Research into service provision is therefore valuable to ensure best practice.</w:t>
      </w:r>
    </w:p>
    <w:p w14:paraId="2F42379F" w14:textId="77777777" w:rsidR="006D2440" w:rsidRPr="000F7E9B" w:rsidRDefault="004D7CE6" w:rsidP="004154EA">
      <w:pPr>
        <w:spacing w:after="120" w:line="240" w:lineRule="auto"/>
        <w:rPr>
          <w:rFonts w:ascii="Calibri" w:eastAsia="Calibri" w:hAnsi="Calibri" w:cs="Calibri"/>
          <w:sz w:val="24"/>
          <w:szCs w:val="24"/>
        </w:rPr>
      </w:pPr>
      <w:r w:rsidRPr="000F7E9B">
        <w:rPr>
          <w:rFonts w:ascii="Calibri" w:eastAsia="Calibri" w:hAnsi="Calibri" w:cs="Calibri"/>
          <w:sz w:val="24"/>
          <w:szCs w:val="24"/>
        </w:rPr>
        <w:t>Examples of research areas include:</w:t>
      </w:r>
    </w:p>
    <w:p w14:paraId="1A5C92CD" w14:textId="77777777" w:rsidR="006D2440" w:rsidRPr="000F7E9B" w:rsidRDefault="004D7CE6" w:rsidP="004154EA">
      <w:pPr>
        <w:numPr>
          <w:ilvl w:val="0"/>
          <w:numId w:val="8"/>
        </w:numPr>
        <w:spacing w:after="120" w:line="240" w:lineRule="auto"/>
        <w:rPr>
          <w:rFonts w:ascii="Calibri" w:eastAsia="Calibri" w:hAnsi="Calibri" w:cs="Calibri"/>
          <w:sz w:val="24"/>
          <w:szCs w:val="24"/>
        </w:rPr>
      </w:pPr>
      <w:r w:rsidRPr="000F7E9B">
        <w:rPr>
          <w:rFonts w:ascii="Calibri" w:eastAsia="Calibri" w:hAnsi="Calibri" w:cs="Calibri"/>
          <w:sz w:val="24"/>
          <w:szCs w:val="24"/>
        </w:rPr>
        <w:t>Cost efficiency of MBS Telehealth services</w:t>
      </w:r>
    </w:p>
    <w:p w14:paraId="6C787340" w14:textId="77777777" w:rsidR="006D2440" w:rsidRPr="000F7E9B" w:rsidRDefault="004D7CE6" w:rsidP="004154EA">
      <w:pPr>
        <w:numPr>
          <w:ilvl w:val="0"/>
          <w:numId w:val="8"/>
        </w:numPr>
        <w:spacing w:after="120" w:line="240" w:lineRule="auto"/>
        <w:rPr>
          <w:rFonts w:ascii="Calibri" w:eastAsia="Calibri" w:hAnsi="Calibri" w:cs="Calibri"/>
          <w:sz w:val="24"/>
          <w:szCs w:val="24"/>
        </w:rPr>
      </w:pPr>
      <w:r w:rsidRPr="000F7E9B">
        <w:rPr>
          <w:rFonts w:ascii="Calibri" w:eastAsia="Calibri" w:hAnsi="Calibri" w:cs="Calibri"/>
          <w:sz w:val="24"/>
          <w:szCs w:val="24"/>
        </w:rPr>
        <w:t>Quality of MBS Telehealth services</w:t>
      </w:r>
    </w:p>
    <w:p w14:paraId="63EA419A" w14:textId="77777777" w:rsidR="006D2440" w:rsidRPr="000F7E9B" w:rsidRDefault="004D7CE6" w:rsidP="004154EA">
      <w:pPr>
        <w:numPr>
          <w:ilvl w:val="0"/>
          <w:numId w:val="8"/>
        </w:numPr>
        <w:spacing w:after="120" w:line="240" w:lineRule="auto"/>
        <w:rPr>
          <w:rFonts w:ascii="Calibri" w:eastAsia="Calibri" w:hAnsi="Calibri" w:cs="Calibri"/>
          <w:sz w:val="24"/>
          <w:szCs w:val="24"/>
        </w:rPr>
      </w:pPr>
      <w:r w:rsidRPr="000F7E9B">
        <w:rPr>
          <w:rFonts w:ascii="Calibri" w:eastAsia="Calibri" w:hAnsi="Calibri" w:cs="Calibri"/>
          <w:sz w:val="24"/>
          <w:szCs w:val="24"/>
        </w:rPr>
        <w:t>Patient outcomes after MBS Telehealth services</w:t>
      </w:r>
    </w:p>
    <w:p w14:paraId="286632E0" w14:textId="43A6557F" w:rsidR="470D3381" w:rsidRPr="000F7E9B" w:rsidRDefault="00EF7EA5" w:rsidP="57D0558D">
      <w:pPr>
        <w:numPr>
          <w:ilvl w:val="0"/>
          <w:numId w:val="8"/>
        </w:numPr>
        <w:spacing w:after="120" w:line="240" w:lineRule="auto"/>
        <w:rPr>
          <w:sz w:val="24"/>
          <w:szCs w:val="24"/>
        </w:rPr>
      </w:pPr>
      <w:r w:rsidRPr="000F7E9B">
        <w:rPr>
          <w:rFonts w:ascii="Calibri" w:eastAsia="Calibri" w:hAnsi="Calibri" w:cs="Calibri"/>
          <w:sz w:val="24"/>
          <w:szCs w:val="24"/>
        </w:rPr>
        <w:t>Flexibility</w:t>
      </w:r>
      <w:r w:rsidR="470D3381" w:rsidRPr="000F7E9B">
        <w:rPr>
          <w:rFonts w:ascii="Calibri" w:eastAsia="Calibri" w:hAnsi="Calibri" w:cs="Calibri"/>
          <w:sz w:val="24"/>
          <w:szCs w:val="24"/>
        </w:rPr>
        <w:t xml:space="preserve"> in adapting </w:t>
      </w:r>
      <w:r w:rsidRPr="000F7E9B">
        <w:rPr>
          <w:rFonts w:ascii="Calibri" w:eastAsia="Calibri" w:hAnsi="Calibri" w:cs="Calibri"/>
          <w:sz w:val="24"/>
          <w:szCs w:val="24"/>
        </w:rPr>
        <w:t xml:space="preserve">to </w:t>
      </w:r>
      <w:r w:rsidR="470D3381" w:rsidRPr="000F7E9B">
        <w:rPr>
          <w:rFonts w:ascii="Calibri" w:eastAsia="Calibri" w:hAnsi="Calibri" w:cs="Calibri"/>
          <w:sz w:val="24"/>
          <w:szCs w:val="24"/>
        </w:rPr>
        <w:t>technologies</w:t>
      </w:r>
    </w:p>
    <w:p w14:paraId="2CE3ABC1" w14:textId="77777777" w:rsidR="006D2440" w:rsidRDefault="006D2440" w:rsidP="004154EA">
      <w:pPr>
        <w:spacing w:after="120" w:line="240" w:lineRule="auto"/>
        <w:rPr>
          <w:rFonts w:ascii="Calibri" w:eastAsia="Calibri" w:hAnsi="Calibri" w:cs="Calibri"/>
          <w:b/>
        </w:rPr>
      </w:pPr>
    </w:p>
    <w:p w14:paraId="75E0D2BD" w14:textId="452B0088" w:rsidR="006D2440" w:rsidRDefault="00D907A9" w:rsidP="00076676">
      <w:pPr>
        <w:pStyle w:val="Heading1"/>
        <w:keepLines w:val="0"/>
        <w:widowControl w:val="0"/>
        <w:pBdr>
          <w:bottom w:val="single" w:sz="16" w:space="11" w:color="BFBFBF"/>
        </w:pBdr>
        <w:spacing w:before="0" w:after="360" w:line="240" w:lineRule="auto"/>
        <w:rPr>
          <w:rFonts w:ascii="Calibri" w:eastAsia="Calibri" w:hAnsi="Calibri" w:cs="Calibri"/>
          <w:b/>
          <w:bCs/>
          <w:color w:val="01653F"/>
        </w:rPr>
      </w:pPr>
      <w:bookmarkStart w:id="46" w:name="_2ab2rs34sd9y" w:colFirst="0" w:colLast="0"/>
      <w:bookmarkStart w:id="47" w:name="_Toc42764242"/>
      <w:bookmarkEnd w:id="46"/>
      <w:r w:rsidRPr="6EE85499">
        <w:rPr>
          <w:rFonts w:ascii="Calibri" w:eastAsia="Calibri" w:hAnsi="Calibri" w:cs="Calibri"/>
          <w:b/>
          <w:bCs/>
          <w:color w:val="01653F"/>
        </w:rPr>
        <w:t xml:space="preserve">Objective </w:t>
      </w:r>
      <w:r w:rsidR="00592CB8" w:rsidRPr="6EE85499">
        <w:rPr>
          <w:rFonts w:ascii="Calibri" w:eastAsia="Calibri" w:hAnsi="Calibri" w:cs="Calibri"/>
          <w:b/>
          <w:bCs/>
          <w:color w:val="01653F"/>
        </w:rPr>
        <w:t>4</w:t>
      </w:r>
      <w:r w:rsidRPr="6EE85499">
        <w:rPr>
          <w:rFonts w:ascii="Calibri" w:eastAsia="Calibri" w:hAnsi="Calibri" w:cs="Calibri"/>
          <w:b/>
          <w:bCs/>
          <w:color w:val="01653F"/>
        </w:rPr>
        <w:t>: Apply the Principles to the referred recommendations</w:t>
      </w:r>
      <w:bookmarkEnd w:id="47"/>
      <w:r w:rsidRPr="6EE85499">
        <w:rPr>
          <w:rFonts w:ascii="Calibri" w:eastAsia="Calibri" w:hAnsi="Calibri" w:cs="Calibri"/>
          <w:b/>
          <w:bCs/>
          <w:color w:val="01653F"/>
        </w:rPr>
        <w:t xml:space="preserve"> </w:t>
      </w:r>
    </w:p>
    <w:p w14:paraId="4D01A627" w14:textId="7BF1B222" w:rsidR="006D2440" w:rsidRDefault="00A5732A" w:rsidP="00680F63">
      <w:pPr>
        <w:spacing w:after="120" w:line="240" w:lineRule="auto"/>
        <w:ind w:left="357"/>
        <w:rPr>
          <w:rFonts w:ascii="Calibri" w:eastAsia="Calibri" w:hAnsi="Calibri" w:cs="Calibri"/>
        </w:rPr>
      </w:pPr>
      <w:r>
        <w:rPr>
          <w:rFonts w:ascii="Calibri" w:eastAsia="Calibri" w:hAnsi="Calibri" w:cs="Calibri"/>
        </w:rPr>
        <w:t>The following chapter addresses th</w:t>
      </w:r>
      <w:r w:rsidR="004D7CE6">
        <w:rPr>
          <w:rFonts w:ascii="Calibri" w:eastAsia="Calibri" w:hAnsi="Calibri" w:cs="Calibri"/>
        </w:rPr>
        <w:t xml:space="preserve">e referred recommendations from 13 </w:t>
      </w:r>
      <w:r>
        <w:rPr>
          <w:rFonts w:ascii="Calibri" w:eastAsia="Calibri" w:hAnsi="Calibri" w:cs="Calibri"/>
        </w:rPr>
        <w:t>Taskforce</w:t>
      </w:r>
      <w:r w:rsidR="00680F63">
        <w:rPr>
          <w:rFonts w:ascii="Calibri" w:eastAsia="Calibri" w:hAnsi="Calibri" w:cs="Calibri"/>
        </w:rPr>
        <w:t xml:space="preserve"> Clinical C</w:t>
      </w:r>
      <w:r w:rsidR="004D7CE6">
        <w:rPr>
          <w:rFonts w:ascii="Calibri" w:eastAsia="Calibri" w:hAnsi="Calibri" w:cs="Calibri"/>
        </w:rPr>
        <w:t>ommittees</w:t>
      </w:r>
      <w:r>
        <w:rPr>
          <w:rFonts w:ascii="Calibri" w:eastAsia="Calibri" w:hAnsi="Calibri" w:cs="Calibri"/>
        </w:rPr>
        <w:t xml:space="preserve"> and Working Group</w:t>
      </w:r>
      <w:r w:rsidR="00680F63">
        <w:rPr>
          <w:rFonts w:ascii="Calibri" w:eastAsia="Calibri" w:hAnsi="Calibri" w:cs="Calibri"/>
        </w:rPr>
        <w:t>s reports:</w:t>
      </w:r>
    </w:p>
    <w:p w14:paraId="4C894672" w14:textId="2A8FE8DF" w:rsidR="00A5732A" w:rsidRDefault="004D7CE6" w:rsidP="00680F63">
      <w:pPr>
        <w:numPr>
          <w:ilvl w:val="1"/>
          <w:numId w:val="18"/>
        </w:numPr>
        <w:spacing w:after="120" w:line="240" w:lineRule="auto"/>
        <w:rPr>
          <w:rFonts w:ascii="Calibri" w:eastAsia="Calibri" w:hAnsi="Calibri" w:cs="Calibri"/>
        </w:rPr>
      </w:pPr>
      <w:r>
        <w:rPr>
          <w:rFonts w:ascii="Calibri" w:eastAsia="Calibri" w:hAnsi="Calibri" w:cs="Calibri"/>
        </w:rPr>
        <w:t>Primary Care</w:t>
      </w:r>
    </w:p>
    <w:p w14:paraId="40E909B5" w14:textId="5D425B84" w:rsidR="006D2440" w:rsidRDefault="00A5732A" w:rsidP="00680F63">
      <w:pPr>
        <w:numPr>
          <w:ilvl w:val="2"/>
          <w:numId w:val="18"/>
        </w:numPr>
        <w:spacing w:after="120" w:line="240" w:lineRule="auto"/>
        <w:rPr>
          <w:rFonts w:ascii="Calibri" w:eastAsia="Calibri" w:hAnsi="Calibri" w:cs="Calibri"/>
        </w:rPr>
      </w:pPr>
      <w:r w:rsidRPr="00A5732A">
        <w:rPr>
          <w:rFonts w:ascii="Calibri" w:eastAsia="Calibri" w:hAnsi="Calibri" w:cs="Calibri"/>
        </w:rPr>
        <w:t xml:space="preserve">Allied Health Reference Group Recommendation 13 </w:t>
      </w:r>
    </w:p>
    <w:p w14:paraId="55BDC7B8" w14:textId="0B588FDE" w:rsidR="00A5732A" w:rsidRPr="00CF2047" w:rsidRDefault="00A5732A" w:rsidP="00680F63">
      <w:pPr>
        <w:numPr>
          <w:ilvl w:val="2"/>
          <w:numId w:val="18"/>
        </w:numPr>
        <w:spacing w:after="120" w:line="240" w:lineRule="auto"/>
        <w:rPr>
          <w:rFonts w:ascii="Calibri" w:eastAsia="Calibri" w:hAnsi="Calibri" w:cs="Calibri"/>
        </w:rPr>
      </w:pPr>
      <w:r w:rsidRPr="00CF2047">
        <w:rPr>
          <w:rFonts w:ascii="Calibri" w:eastAsia="Calibri" w:hAnsi="Calibri" w:cs="Calibri"/>
        </w:rPr>
        <w:t>General Practice and Primary Care Clinical Committee Recommendation 11</w:t>
      </w:r>
    </w:p>
    <w:p w14:paraId="5F93DD69" w14:textId="28226E08" w:rsidR="00A5732A" w:rsidRPr="00CF2047" w:rsidRDefault="00A5732A" w:rsidP="00680F63">
      <w:pPr>
        <w:numPr>
          <w:ilvl w:val="2"/>
          <w:numId w:val="18"/>
        </w:numPr>
        <w:spacing w:after="120" w:line="240" w:lineRule="auto"/>
        <w:rPr>
          <w:rFonts w:ascii="Calibri" w:eastAsia="Calibri" w:hAnsi="Calibri" w:cs="Calibri"/>
        </w:rPr>
      </w:pPr>
      <w:r w:rsidRPr="00CF2047">
        <w:rPr>
          <w:rFonts w:ascii="Calibri" w:eastAsia="Calibri" w:hAnsi="Calibri" w:cs="Calibri"/>
        </w:rPr>
        <w:t>Mental Health Reference Group Recommendation 14</w:t>
      </w:r>
    </w:p>
    <w:p w14:paraId="4BE3F9C1" w14:textId="59E7B5CA" w:rsidR="00B86356" w:rsidRDefault="00B86356" w:rsidP="00680F63">
      <w:pPr>
        <w:numPr>
          <w:ilvl w:val="2"/>
          <w:numId w:val="18"/>
        </w:numPr>
        <w:spacing w:after="120" w:line="240" w:lineRule="auto"/>
        <w:rPr>
          <w:rFonts w:ascii="Calibri" w:eastAsia="Calibri" w:hAnsi="Calibri" w:cs="Calibri"/>
        </w:rPr>
      </w:pPr>
      <w:r w:rsidRPr="00CF2047">
        <w:rPr>
          <w:rFonts w:ascii="Calibri" w:eastAsia="Calibri" w:hAnsi="Calibri" w:cs="Calibri"/>
        </w:rPr>
        <w:t>Nurse Practitioners Reference Group Recommendation 11, 12, 13 and 14</w:t>
      </w:r>
    </w:p>
    <w:p w14:paraId="2935F08F" w14:textId="3F21675A" w:rsidR="00680F63" w:rsidRPr="00CF2047" w:rsidRDefault="00680F63" w:rsidP="00680F63">
      <w:pPr>
        <w:numPr>
          <w:ilvl w:val="2"/>
          <w:numId w:val="18"/>
        </w:numPr>
        <w:spacing w:after="120" w:line="240" w:lineRule="auto"/>
        <w:rPr>
          <w:rFonts w:ascii="Calibri" w:eastAsia="Calibri" w:hAnsi="Calibri" w:cs="Calibri"/>
        </w:rPr>
      </w:pPr>
      <w:r w:rsidRPr="00680F63">
        <w:rPr>
          <w:rFonts w:ascii="Calibri" w:eastAsia="Calibri" w:hAnsi="Calibri" w:cs="Calibri"/>
        </w:rPr>
        <w:t>Participating Midwives Reference Group Recommendation</w:t>
      </w:r>
      <w:r>
        <w:rPr>
          <w:rFonts w:ascii="Calibri" w:eastAsia="Calibri" w:hAnsi="Calibri" w:cs="Calibri"/>
        </w:rPr>
        <w:t>s 11 and 12</w:t>
      </w:r>
    </w:p>
    <w:p w14:paraId="544E1545" w14:textId="5C736E7A" w:rsidR="00FE4A00" w:rsidRPr="00FE4A00" w:rsidRDefault="00FE4A00" w:rsidP="00FE4A00">
      <w:pPr>
        <w:numPr>
          <w:ilvl w:val="1"/>
          <w:numId w:val="18"/>
        </w:numPr>
        <w:spacing w:after="120" w:line="240" w:lineRule="auto"/>
        <w:rPr>
          <w:rFonts w:ascii="Calibri" w:eastAsia="Calibri" w:hAnsi="Calibri" w:cs="Calibri"/>
        </w:rPr>
      </w:pPr>
      <w:r w:rsidRPr="00FE4A00">
        <w:rPr>
          <w:rFonts w:ascii="Calibri" w:eastAsia="Calibri" w:hAnsi="Calibri" w:cs="Calibri"/>
        </w:rPr>
        <w:t>Ophthalmology Clinical Committee Recommendation</w:t>
      </w:r>
      <w:r>
        <w:rPr>
          <w:rFonts w:ascii="Calibri" w:eastAsia="Calibri" w:hAnsi="Calibri" w:cs="Calibri"/>
        </w:rPr>
        <w:t xml:space="preserve"> 12</w:t>
      </w:r>
    </w:p>
    <w:p w14:paraId="5F7230AA" w14:textId="5CE089F7" w:rsidR="00FE4A00" w:rsidRPr="00680F63" w:rsidRDefault="00FE4A00" w:rsidP="00FE4A00">
      <w:pPr>
        <w:numPr>
          <w:ilvl w:val="1"/>
          <w:numId w:val="18"/>
        </w:numPr>
        <w:spacing w:after="120" w:line="240" w:lineRule="auto"/>
        <w:rPr>
          <w:rFonts w:ascii="Calibri" w:eastAsia="Calibri" w:hAnsi="Calibri" w:cs="Calibri"/>
        </w:rPr>
      </w:pPr>
      <w:r w:rsidRPr="00680F63">
        <w:rPr>
          <w:rFonts w:ascii="Calibri" w:eastAsia="Calibri" w:hAnsi="Calibri" w:cs="Calibri"/>
        </w:rPr>
        <w:t>Optometry</w:t>
      </w:r>
      <w:r>
        <w:rPr>
          <w:rFonts w:ascii="Calibri" w:eastAsia="Calibri" w:hAnsi="Calibri" w:cs="Calibri"/>
        </w:rPr>
        <w:t xml:space="preserve"> Clinical Committee Recommendation 3</w:t>
      </w:r>
    </w:p>
    <w:p w14:paraId="471F1346" w14:textId="3A8DF332" w:rsidR="00FE4A00" w:rsidRPr="00680F63" w:rsidRDefault="00FE4A00" w:rsidP="00FE4A00">
      <w:pPr>
        <w:numPr>
          <w:ilvl w:val="1"/>
          <w:numId w:val="18"/>
        </w:numPr>
        <w:spacing w:after="120" w:line="240" w:lineRule="auto"/>
        <w:rPr>
          <w:rFonts w:ascii="Calibri" w:eastAsia="Calibri" w:hAnsi="Calibri" w:cs="Calibri"/>
        </w:rPr>
      </w:pPr>
      <w:r w:rsidRPr="00680F63">
        <w:rPr>
          <w:rFonts w:ascii="Calibri" w:eastAsia="Calibri" w:hAnsi="Calibri" w:cs="Calibri"/>
        </w:rPr>
        <w:t>Pain</w:t>
      </w:r>
      <w:r>
        <w:rPr>
          <w:rFonts w:ascii="Calibri" w:eastAsia="Calibri" w:hAnsi="Calibri" w:cs="Calibri"/>
        </w:rPr>
        <w:t xml:space="preserve"> Management</w:t>
      </w:r>
      <w:r w:rsidR="001E571D">
        <w:rPr>
          <w:rFonts w:ascii="Calibri" w:eastAsia="Calibri" w:hAnsi="Calibri" w:cs="Calibri"/>
        </w:rPr>
        <w:t xml:space="preserve"> Clinical Committee Recommendation 28</w:t>
      </w:r>
    </w:p>
    <w:p w14:paraId="4A73B11B" w14:textId="5FD825CC" w:rsidR="00FE4A00" w:rsidRPr="00680F63" w:rsidRDefault="00FE4A00" w:rsidP="00FE4A00">
      <w:pPr>
        <w:numPr>
          <w:ilvl w:val="1"/>
          <w:numId w:val="18"/>
        </w:numPr>
        <w:spacing w:after="120" w:line="240" w:lineRule="auto"/>
        <w:rPr>
          <w:rFonts w:ascii="Calibri" w:eastAsia="Calibri" w:hAnsi="Calibri" w:cs="Calibri"/>
        </w:rPr>
      </w:pPr>
      <w:r>
        <w:rPr>
          <w:rFonts w:ascii="Calibri" w:eastAsia="Calibri" w:hAnsi="Calibri" w:cs="Calibri"/>
        </w:rPr>
        <w:t>Psychiatry</w:t>
      </w:r>
      <w:r w:rsidR="001E571D">
        <w:rPr>
          <w:rFonts w:ascii="Calibri" w:eastAsia="Calibri" w:hAnsi="Calibri" w:cs="Calibri"/>
        </w:rPr>
        <w:t xml:space="preserve"> Clinical Committee Recommendation 2, 3 and 4</w:t>
      </w:r>
    </w:p>
    <w:p w14:paraId="472636F3" w14:textId="76634A26" w:rsidR="006D2440" w:rsidRPr="00680F63" w:rsidRDefault="004D7CE6" w:rsidP="00680F63">
      <w:pPr>
        <w:numPr>
          <w:ilvl w:val="1"/>
          <w:numId w:val="18"/>
        </w:numPr>
        <w:spacing w:after="120" w:line="240" w:lineRule="auto"/>
        <w:rPr>
          <w:rFonts w:ascii="Calibri" w:eastAsia="Calibri" w:hAnsi="Calibri" w:cs="Calibri"/>
        </w:rPr>
      </w:pPr>
      <w:r w:rsidRPr="00680F63">
        <w:rPr>
          <w:rFonts w:ascii="Calibri" w:eastAsia="Calibri" w:hAnsi="Calibri" w:cs="Calibri"/>
        </w:rPr>
        <w:t xml:space="preserve">Specialists </w:t>
      </w:r>
      <w:r w:rsidR="001E571D">
        <w:rPr>
          <w:rFonts w:ascii="Calibri" w:eastAsia="Calibri" w:hAnsi="Calibri" w:cs="Calibri"/>
        </w:rPr>
        <w:t>and Consultant Physician Clinical Committee Recommendation 9 and 10</w:t>
      </w:r>
    </w:p>
    <w:p w14:paraId="1CC00A15" w14:textId="42B6718A" w:rsidR="00680F63" w:rsidRPr="00680F63" w:rsidRDefault="001E571D" w:rsidP="00680F63">
      <w:pPr>
        <w:numPr>
          <w:ilvl w:val="1"/>
          <w:numId w:val="18"/>
        </w:numPr>
        <w:spacing w:after="120" w:line="240" w:lineRule="auto"/>
        <w:rPr>
          <w:rFonts w:ascii="Calibri" w:eastAsia="Calibri" w:hAnsi="Calibri" w:cs="Calibri"/>
        </w:rPr>
      </w:pPr>
      <w:r>
        <w:rPr>
          <w:rFonts w:ascii="Calibri" w:eastAsia="Calibri" w:hAnsi="Calibri" w:cs="Calibri"/>
        </w:rPr>
        <w:t>Wound Management Clinical Committee Recommendation</w:t>
      </w:r>
      <w:r w:rsidR="004D7CE6" w:rsidRPr="00680F63">
        <w:rPr>
          <w:rFonts w:ascii="Calibri" w:eastAsia="Calibri" w:hAnsi="Calibri" w:cs="Calibri"/>
        </w:rPr>
        <w:t xml:space="preserve"> </w:t>
      </w:r>
      <w:r>
        <w:rPr>
          <w:rFonts w:ascii="Calibri" w:eastAsia="Calibri" w:hAnsi="Calibri" w:cs="Calibri"/>
        </w:rPr>
        <w:t>8 and 14</w:t>
      </w:r>
    </w:p>
    <w:p w14:paraId="5AE184ED" w14:textId="4E9AA705" w:rsidR="004154EA" w:rsidRPr="00680F63" w:rsidRDefault="004154EA" w:rsidP="00680F63">
      <w:pPr>
        <w:spacing w:after="120" w:line="240" w:lineRule="auto"/>
        <w:ind w:left="360"/>
        <w:rPr>
          <w:rFonts w:ascii="Calibri" w:eastAsia="Calibri" w:hAnsi="Calibri" w:cs="Calibri"/>
          <w:i/>
        </w:rPr>
      </w:pPr>
      <w:r w:rsidRPr="00680F63">
        <w:rPr>
          <w:rFonts w:ascii="Calibri" w:eastAsia="Calibri" w:hAnsi="Calibri" w:cs="Calibri"/>
          <w:i/>
        </w:rPr>
        <w:t xml:space="preserve">Already endorsed by Government provided at Appendix A </w:t>
      </w:r>
    </w:p>
    <w:p w14:paraId="010391B3" w14:textId="4AA3618F" w:rsidR="00FE4A00" w:rsidRDefault="00FE4A00" w:rsidP="00FE4A00">
      <w:pPr>
        <w:numPr>
          <w:ilvl w:val="1"/>
          <w:numId w:val="18"/>
        </w:numPr>
        <w:spacing w:after="120" w:line="240" w:lineRule="auto"/>
        <w:rPr>
          <w:rFonts w:ascii="Calibri" w:eastAsia="Calibri" w:hAnsi="Calibri" w:cs="Calibri"/>
        </w:rPr>
      </w:pPr>
      <w:r>
        <w:rPr>
          <w:rFonts w:ascii="Calibri" w:eastAsia="Calibri" w:hAnsi="Calibri" w:cs="Calibri"/>
        </w:rPr>
        <w:t>Eating Disorders</w:t>
      </w:r>
      <w:r w:rsidR="001E571D">
        <w:rPr>
          <w:rFonts w:ascii="Calibri" w:eastAsia="Calibri" w:hAnsi="Calibri" w:cs="Calibri"/>
        </w:rPr>
        <w:t xml:space="preserve"> Working Group Recommendation 1.4</w:t>
      </w:r>
    </w:p>
    <w:p w14:paraId="2A6BB95F" w14:textId="59456FA8" w:rsidR="006D2440" w:rsidRDefault="004D7CE6" w:rsidP="00680F63">
      <w:pPr>
        <w:numPr>
          <w:ilvl w:val="1"/>
          <w:numId w:val="18"/>
        </w:numPr>
        <w:spacing w:after="120" w:line="240" w:lineRule="auto"/>
        <w:rPr>
          <w:rFonts w:ascii="Calibri" w:eastAsia="Calibri" w:hAnsi="Calibri" w:cs="Calibri"/>
          <w:i/>
        </w:rPr>
      </w:pPr>
      <w:proofErr w:type="spellStart"/>
      <w:r>
        <w:rPr>
          <w:rFonts w:ascii="Calibri" w:eastAsia="Calibri" w:hAnsi="Calibri" w:cs="Calibri"/>
        </w:rPr>
        <w:t>Gynaecology</w:t>
      </w:r>
      <w:proofErr w:type="spellEnd"/>
      <w:r w:rsidR="001E571D">
        <w:rPr>
          <w:rFonts w:ascii="Calibri" w:eastAsia="Calibri" w:hAnsi="Calibri" w:cs="Calibri"/>
        </w:rPr>
        <w:t xml:space="preserve"> Clinical Committee Recommendation 10</w:t>
      </w:r>
    </w:p>
    <w:p w14:paraId="3C97CA04" w14:textId="77777777" w:rsidR="006D2440" w:rsidRDefault="004D7CE6">
      <w:pPr>
        <w:pStyle w:val="Heading1"/>
        <w:keepLines w:val="0"/>
        <w:widowControl w:val="0"/>
        <w:pBdr>
          <w:bottom w:val="single" w:sz="16" w:space="11" w:color="BFBFBF"/>
        </w:pBdr>
        <w:spacing w:before="720" w:after="720" w:line="312" w:lineRule="auto"/>
        <w:rPr>
          <w:rFonts w:ascii="Calibri" w:eastAsia="Calibri" w:hAnsi="Calibri" w:cs="Calibri"/>
          <w:b/>
          <w:color w:val="01653F"/>
        </w:rPr>
      </w:pPr>
      <w:bookmarkStart w:id="48" w:name="_qz56ni4oyi8j" w:colFirst="0" w:colLast="0"/>
      <w:bookmarkStart w:id="49" w:name="_kmqng62ojzmg" w:colFirst="0" w:colLast="0"/>
      <w:bookmarkEnd w:id="48"/>
      <w:bookmarkEnd w:id="49"/>
      <w:r>
        <w:br w:type="page"/>
      </w:r>
    </w:p>
    <w:p w14:paraId="262DCF13" w14:textId="77777777" w:rsidR="006D2440" w:rsidRDefault="004D7CE6">
      <w:pPr>
        <w:pStyle w:val="Heading1"/>
        <w:keepLines w:val="0"/>
        <w:widowControl w:val="0"/>
        <w:pBdr>
          <w:bottom w:val="single" w:sz="16" w:space="11" w:color="BFBFBF"/>
        </w:pBdr>
        <w:spacing w:before="720" w:after="720" w:line="312" w:lineRule="auto"/>
        <w:rPr>
          <w:rFonts w:ascii="Calibri" w:eastAsia="Calibri" w:hAnsi="Calibri" w:cs="Calibri"/>
          <w:b/>
          <w:color w:val="01653F"/>
        </w:rPr>
      </w:pPr>
      <w:bookmarkStart w:id="50" w:name="_Toc42764243"/>
      <w:r>
        <w:rPr>
          <w:rFonts w:ascii="Calibri" w:eastAsia="Calibri" w:hAnsi="Calibri" w:cs="Calibri"/>
          <w:b/>
          <w:color w:val="01653F"/>
        </w:rPr>
        <w:lastRenderedPageBreak/>
        <w:t>Allied Health Reference Group</w:t>
      </w:r>
      <w:bookmarkEnd w:id="50"/>
    </w:p>
    <w:p w14:paraId="466DDAA7" w14:textId="47B6C68E" w:rsidR="006D2440" w:rsidRPr="008E7FF0" w:rsidRDefault="00141818" w:rsidP="008E7FF0">
      <w:pPr>
        <w:pStyle w:val="Style4"/>
        <w:rPr>
          <w:color w:val="4F6228" w:themeColor="accent3" w:themeShade="80"/>
        </w:rPr>
      </w:pPr>
      <w:bookmarkStart w:id="51" w:name="_u70wew2h3hcd" w:colFirst="0" w:colLast="0"/>
      <w:bookmarkEnd w:id="51"/>
      <w:r w:rsidRPr="008E7FF0">
        <w:rPr>
          <w:color w:val="4F6228" w:themeColor="accent3" w:themeShade="80"/>
        </w:rPr>
        <w:t>Telehealth Working Group Consideration</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FE1D4A" w14:paraId="22C7FD3D"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7F6A0ED5" w14:textId="7072D8D8" w:rsidR="006D2440" w:rsidRDefault="004D7CE6">
            <w:pPr>
              <w:spacing w:before="120"/>
              <w:ind w:right="142"/>
              <w:rPr>
                <w:rFonts w:ascii="Calibri" w:eastAsia="Calibri" w:hAnsi="Calibri" w:cs="Calibri"/>
                <w:b/>
              </w:rPr>
            </w:pPr>
            <w:r>
              <w:rPr>
                <w:rFonts w:ascii="Calibri" w:eastAsia="Calibri" w:hAnsi="Calibri" w:cs="Calibri"/>
                <w:b/>
              </w:rPr>
              <w:t>Telehealth Recommendation 1 of 21: Allied Health Reference Group Recommendation 13</w:t>
            </w:r>
            <w:r w:rsidR="00650621">
              <w:rPr>
                <w:rFonts w:ascii="Calibri" w:eastAsia="Calibri" w:hAnsi="Calibri" w:cs="Calibri"/>
                <w:b/>
              </w:rPr>
              <w:t xml:space="preserve"> - </w:t>
            </w:r>
            <w:r w:rsidR="00650621">
              <w:rPr>
                <w:rFonts w:ascii="Calibri" w:eastAsia="Calibri" w:hAnsi="Calibri" w:cs="Calibri"/>
              </w:rPr>
              <w:t>Improve access to allied health services via telehealth.</w:t>
            </w:r>
          </w:p>
        </w:tc>
      </w:tr>
      <w:tr w:rsidR="00FE1D4A" w14:paraId="796A86BD"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763C1124" w14:textId="261FB60A" w:rsidR="006D2440" w:rsidRDefault="000959AE" w:rsidP="00852624">
            <w:pPr>
              <w:spacing w:before="120"/>
              <w:rPr>
                <w:rFonts w:ascii="Calibri" w:eastAsia="Calibri" w:hAnsi="Calibri" w:cs="Calibri"/>
              </w:rPr>
            </w:pPr>
            <w:r w:rsidRPr="57D0558D">
              <w:rPr>
                <w:rFonts w:ascii="Calibri" w:eastAsia="Calibri" w:hAnsi="Calibri" w:cs="Calibri"/>
                <w:b/>
                <w:bCs/>
              </w:rPr>
              <w:t>T</w:t>
            </w:r>
            <w:r w:rsidR="00650621" w:rsidRPr="57D0558D">
              <w:rPr>
                <w:rFonts w:ascii="Calibri" w:eastAsia="Calibri" w:hAnsi="Calibri" w:cs="Calibri"/>
                <w:b/>
                <w:bCs/>
              </w:rPr>
              <w:t xml:space="preserve">WG recommendation:  </w:t>
            </w:r>
            <w:r w:rsidR="21E95D20" w:rsidRPr="57D0558D">
              <w:rPr>
                <w:rFonts w:ascii="Calibri" w:eastAsia="Calibri" w:hAnsi="Calibri" w:cs="Calibri"/>
              </w:rPr>
              <w:t xml:space="preserve">Agree to improved access via telehealth following </w:t>
            </w:r>
            <w:r w:rsidR="4344E710" w:rsidRPr="57D0558D">
              <w:rPr>
                <w:rFonts w:ascii="Calibri" w:eastAsia="Calibri" w:hAnsi="Calibri" w:cs="Calibri"/>
              </w:rPr>
              <w:t xml:space="preserve">consideration of clinical efficacy and </w:t>
            </w:r>
            <w:r w:rsidR="50A568C6" w:rsidRPr="57D0558D">
              <w:rPr>
                <w:rFonts w:ascii="Calibri" w:eastAsia="Calibri" w:hAnsi="Calibri" w:cs="Calibri"/>
              </w:rPr>
              <w:t>modality of service delivery</w:t>
            </w:r>
            <w:r w:rsidR="4344E710" w:rsidRPr="57D0558D">
              <w:rPr>
                <w:rFonts w:ascii="Calibri" w:eastAsia="Calibri" w:hAnsi="Calibri" w:cs="Calibri"/>
              </w:rPr>
              <w:t>.</w:t>
            </w:r>
          </w:p>
        </w:tc>
      </w:tr>
      <w:tr w:rsidR="00FE1D4A" w14:paraId="7ADF6236"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93E65BB" w14:textId="77777777" w:rsidR="00650621" w:rsidRDefault="00650621">
            <w:pPr>
              <w:spacing w:before="120"/>
              <w:rPr>
                <w:rFonts w:ascii="Calibri" w:eastAsia="Calibri" w:hAnsi="Calibri" w:cs="Calibri"/>
                <w:b/>
              </w:rPr>
            </w:pPr>
            <w:r>
              <w:rPr>
                <w:rFonts w:ascii="Calibri" w:eastAsia="Calibri" w:hAnsi="Calibri" w:cs="Calibri"/>
                <w:b/>
              </w:rPr>
              <w:t>TWG Rationale:</w:t>
            </w:r>
          </w:p>
          <w:p w14:paraId="0DDFBC31" w14:textId="2FDB30A5" w:rsidR="006D2440" w:rsidRDefault="004D7CE6" w:rsidP="6EE85499">
            <w:pPr>
              <w:spacing w:after="120"/>
              <w:rPr>
                <w:rFonts w:ascii="Calibri" w:eastAsia="Calibri" w:hAnsi="Calibri" w:cs="Calibri"/>
                <w:i/>
                <w:iCs/>
              </w:rPr>
            </w:pPr>
            <w:r w:rsidRPr="6EE85499">
              <w:rPr>
                <w:rFonts w:ascii="Calibri" w:eastAsia="Calibri" w:hAnsi="Calibri" w:cs="Calibri"/>
              </w:rPr>
              <w:t xml:space="preserve">The TWG supported point a), a research piece. This complements Principle 10 </w:t>
            </w:r>
            <w:r w:rsidRPr="6EE85499">
              <w:rPr>
                <w:rFonts w:ascii="Calibri" w:eastAsia="Calibri" w:hAnsi="Calibri" w:cs="Calibri"/>
                <w:i/>
                <w:iCs/>
              </w:rPr>
              <w:t xml:space="preserve">Ongoing research into the efficacy and equivalent of Telehealth should accompany changes to funding structures for MBS Telehealth. </w:t>
            </w:r>
          </w:p>
          <w:p w14:paraId="5B43618A" w14:textId="40D47A7F" w:rsidR="006D2440" w:rsidRDefault="004D7CE6" w:rsidP="001E571D">
            <w:pPr>
              <w:spacing w:after="120"/>
              <w:rPr>
                <w:rFonts w:ascii="Calibri" w:eastAsia="Calibri" w:hAnsi="Calibri" w:cs="Calibri"/>
              </w:rPr>
            </w:pPr>
            <w:r w:rsidRPr="6EE85499">
              <w:rPr>
                <w:rFonts w:ascii="Calibri" w:eastAsia="Calibri" w:hAnsi="Calibri" w:cs="Calibri"/>
              </w:rPr>
              <w:t xml:space="preserve">The TWG also supported point c), the restriction to claiming of items to practitioners who can deliver comparable outcomes via teleconference as in face-to-face consultations. This links strongly with the overall theme of this report, especially Principle </w:t>
            </w:r>
            <w:r w:rsidR="006E452B">
              <w:rPr>
                <w:rFonts w:ascii="Calibri" w:eastAsia="Calibri" w:hAnsi="Calibri" w:cs="Calibri"/>
              </w:rPr>
              <w:t xml:space="preserve">4 </w:t>
            </w:r>
            <w:r w:rsidR="006E452B" w:rsidRPr="006E452B">
              <w:rPr>
                <w:rFonts w:ascii="Calibri" w:eastAsia="Calibri" w:hAnsi="Calibri" w:cs="Calibri"/>
                <w:i/>
              </w:rPr>
              <w:t>Must not create unintended consequences or perverse incentives that undermine the role of face-to-face care</w:t>
            </w:r>
            <w:r w:rsidRPr="6EE85499">
              <w:rPr>
                <w:rFonts w:ascii="Calibri" w:eastAsia="Calibri" w:hAnsi="Calibri" w:cs="Calibri"/>
                <w:i/>
                <w:iCs/>
              </w:rPr>
              <w:t xml:space="preserve">. </w:t>
            </w:r>
            <w:r w:rsidRPr="6EE85499">
              <w:rPr>
                <w:rFonts w:ascii="Calibri" w:eastAsia="Calibri" w:hAnsi="Calibri" w:cs="Calibri"/>
              </w:rPr>
              <w:t>It should be noted that the AHRG Recommendation specifies “comparable” outcomes but the TWG Principle requires clinical efficac</w:t>
            </w:r>
            <w:r w:rsidR="002E0129">
              <w:rPr>
                <w:rFonts w:ascii="Calibri" w:eastAsia="Calibri" w:hAnsi="Calibri" w:cs="Calibri"/>
              </w:rPr>
              <w:t>y</w:t>
            </w:r>
            <w:r w:rsidRPr="6EE85499">
              <w:rPr>
                <w:rFonts w:ascii="Calibri" w:eastAsia="Calibri" w:hAnsi="Calibri" w:cs="Calibri"/>
              </w:rPr>
              <w:t>. It is also notable that the restriction for point c) is specifically in relation to a new item per point b) - it is not a recommendation for all Allied Health MBS Telehealth items.</w:t>
            </w:r>
          </w:p>
          <w:p w14:paraId="420953C4" w14:textId="5B490017" w:rsidR="006D2440" w:rsidRPr="00076676" w:rsidRDefault="004D7CE6" w:rsidP="006E452B">
            <w:pPr>
              <w:spacing w:after="120"/>
              <w:rPr>
                <w:rFonts w:ascii="Calibri" w:eastAsia="Calibri" w:hAnsi="Calibri" w:cs="Calibri"/>
              </w:rPr>
            </w:pPr>
            <w:r w:rsidRPr="6EE85499">
              <w:rPr>
                <w:rFonts w:ascii="Calibri" w:eastAsia="Calibri" w:hAnsi="Calibri" w:cs="Calibri"/>
              </w:rPr>
              <w:t>At Meeting 1, the TWG noted that the new items under point b) cannot be delivered until a) and c) are resolved. Additionally, several of the subpoints of b) are not harmonious with the Principles - for example the text references the geographic restrictions currently relevant for MBS Telehealth items and that the provider must have had at least two consultations with the patient. The</w:t>
            </w:r>
            <w:r w:rsidR="00D650D6">
              <w:rPr>
                <w:rFonts w:ascii="Calibri" w:eastAsia="Calibri" w:hAnsi="Calibri" w:cs="Calibri"/>
              </w:rPr>
              <w:t xml:space="preserve"> telehealth working group </w:t>
            </w:r>
            <w:r w:rsidR="00D400E6">
              <w:rPr>
                <w:rFonts w:ascii="Calibri" w:eastAsia="Calibri" w:hAnsi="Calibri" w:cs="Calibri"/>
              </w:rPr>
              <w:t>supported</w:t>
            </w:r>
            <w:r w:rsidRPr="6EE85499">
              <w:rPr>
                <w:rFonts w:ascii="Calibri" w:eastAsia="Calibri" w:hAnsi="Calibri" w:cs="Calibri"/>
              </w:rPr>
              <w:t xml:space="preserve"> modifi</w:t>
            </w:r>
            <w:r w:rsidR="00D400E6">
              <w:rPr>
                <w:rFonts w:ascii="Calibri" w:eastAsia="Calibri" w:hAnsi="Calibri" w:cs="Calibri"/>
              </w:rPr>
              <w:t xml:space="preserve">cations to align with </w:t>
            </w:r>
            <w:r w:rsidRPr="6EE85499">
              <w:rPr>
                <w:rFonts w:ascii="Calibri" w:eastAsia="Calibri" w:hAnsi="Calibri" w:cs="Calibri"/>
              </w:rPr>
              <w:t xml:space="preserve">Principle 1 </w:t>
            </w:r>
            <w:r w:rsidR="006E452B" w:rsidRPr="006E452B">
              <w:rPr>
                <w:rFonts w:ascii="Calibri" w:eastAsia="Calibri" w:hAnsi="Calibri" w:cs="Calibri"/>
                <w:i/>
              </w:rPr>
              <w:t>S</w:t>
            </w:r>
            <w:r w:rsidRPr="6EE85499">
              <w:rPr>
                <w:rFonts w:ascii="Calibri" w:eastAsia="Calibri" w:hAnsi="Calibri" w:cs="Calibri"/>
                <w:i/>
                <w:iCs/>
              </w:rPr>
              <w:t xml:space="preserve">hould be </w:t>
            </w:r>
            <w:r w:rsidR="002C3194">
              <w:rPr>
                <w:rFonts w:ascii="Calibri" w:eastAsia="Calibri" w:hAnsi="Calibri" w:cs="Calibri"/>
                <w:i/>
                <w:iCs/>
              </w:rPr>
              <w:t>patient focused</w:t>
            </w:r>
            <w:r w:rsidR="00477960">
              <w:rPr>
                <w:rFonts w:ascii="Calibri" w:eastAsia="Calibri" w:hAnsi="Calibri" w:cs="Calibri"/>
                <w:i/>
                <w:iCs/>
              </w:rPr>
              <w:t xml:space="preserve">, and </w:t>
            </w:r>
            <w:r w:rsidRPr="6EE85499">
              <w:rPr>
                <w:rFonts w:ascii="Calibri" w:eastAsia="Calibri" w:hAnsi="Calibri" w:cs="Calibri"/>
                <w:i/>
                <w:iCs/>
              </w:rPr>
              <w:t xml:space="preserve">based on patient need, rather than geographical location </w:t>
            </w:r>
            <w:r w:rsidRPr="6EE85499">
              <w:rPr>
                <w:rFonts w:ascii="Calibri" w:eastAsia="Calibri" w:hAnsi="Calibri" w:cs="Calibri"/>
              </w:rPr>
              <w:t xml:space="preserve">and 3 </w:t>
            </w:r>
            <w:r w:rsidR="006E452B" w:rsidRPr="006E452B">
              <w:rPr>
                <w:rFonts w:ascii="Calibri" w:eastAsia="Calibri" w:hAnsi="Calibri" w:cs="Calibri"/>
                <w:i/>
              </w:rPr>
              <w:t>S</w:t>
            </w:r>
            <w:r w:rsidRPr="6EE85499">
              <w:rPr>
                <w:rFonts w:ascii="Calibri" w:eastAsia="Calibri" w:hAnsi="Calibri" w:cs="Calibri"/>
                <w:i/>
                <w:iCs/>
              </w:rPr>
              <w:t>hould be provided in the context of continuity of care between patient and practitioner</w:t>
            </w:r>
            <w:r w:rsidRPr="6EE85499">
              <w:rPr>
                <w:rFonts w:ascii="Calibri" w:eastAsia="Calibri" w:hAnsi="Calibri" w:cs="Calibri"/>
              </w:rPr>
              <w:t xml:space="preserve">, respectively. </w:t>
            </w:r>
          </w:p>
        </w:tc>
      </w:tr>
    </w:tbl>
    <w:p w14:paraId="7E0C5689" w14:textId="36271E0D" w:rsidR="00141818" w:rsidRPr="008E7FF0" w:rsidRDefault="00141818" w:rsidP="008E7FF0">
      <w:pPr>
        <w:pStyle w:val="Style4"/>
        <w:rPr>
          <w:color w:val="4F6228" w:themeColor="accent3" w:themeShade="80"/>
        </w:rPr>
      </w:pPr>
      <w:bookmarkStart w:id="52" w:name="_mn640t407v5q" w:colFirst="0" w:colLast="0"/>
      <w:bookmarkEnd w:id="52"/>
      <w:r w:rsidRPr="008E7FF0">
        <w:rPr>
          <w:color w:val="4F6228" w:themeColor="accent3" w:themeShade="80"/>
        </w:rPr>
        <w:t>Allied Health Reference Group Recommendations</w:t>
      </w:r>
    </w:p>
    <w:p w14:paraId="4C4BA991" w14:textId="5B417859" w:rsidR="006D2440" w:rsidRDefault="004D7CE6" w:rsidP="008E7FF0">
      <w:pPr>
        <w:pStyle w:val="Style4"/>
      </w:pPr>
      <w:bookmarkStart w:id="53" w:name="_30j0zll" w:colFirst="0" w:colLast="0"/>
      <w:bookmarkEnd w:id="53"/>
      <w:r>
        <w:t>Recommendation 13 – Improve access to allied health services via telehealth</w:t>
      </w:r>
    </w:p>
    <w:p w14:paraId="0DB4F446" w14:textId="77777777" w:rsidR="006D2440" w:rsidRDefault="004D7CE6" w:rsidP="001E571D">
      <w:pPr>
        <w:spacing w:line="240" w:lineRule="auto"/>
        <w:rPr>
          <w:rFonts w:ascii="Calibri" w:eastAsia="Calibri" w:hAnsi="Calibri" w:cs="Calibri"/>
        </w:rPr>
      </w:pPr>
      <w:r>
        <w:rPr>
          <w:rFonts w:ascii="Calibri" w:eastAsia="Calibri" w:hAnsi="Calibri" w:cs="Calibri"/>
        </w:rPr>
        <w:t>The Reference Group recommends:</w:t>
      </w:r>
    </w:p>
    <w:p w14:paraId="720BD7AD" w14:textId="77777777" w:rsidR="006D2440" w:rsidRDefault="004D7CE6" w:rsidP="001E571D">
      <w:pPr>
        <w:numPr>
          <w:ilvl w:val="0"/>
          <w:numId w:val="1"/>
        </w:numPr>
        <w:spacing w:line="240" w:lineRule="auto"/>
        <w:rPr>
          <w:rFonts w:ascii="Calibri" w:eastAsia="Calibri" w:hAnsi="Calibri" w:cs="Calibri"/>
        </w:rPr>
      </w:pPr>
      <w:r>
        <w:rPr>
          <w:rFonts w:ascii="Calibri" w:eastAsia="Calibri" w:hAnsi="Calibri" w:cs="Calibri"/>
        </w:rPr>
        <w:t>undertaking a follow-on piece of work detailing the highest-value opportunities for telehealth integration into allied health care, to gather national evidence, building on existing research on telehealth interventions conducted at the state and territory level and in federally funded trials and to identify:</w:t>
      </w:r>
    </w:p>
    <w:p w14:paraId="4B5DF52B" w14:textId="77777777" w:rsidR="006D2440" w:rsidRDefault="004D7CE6" w:rsidP="001E571D">
      <w:pPr>
        <w:numPr>
          <w:ilvl w:val="0"/>
          <w:numId w:val="34"/>
        </w:numPr>
        <w:spacing w:line="240" w:lineRule="auto"/>
        <w:rPr>
          <w:rFonts w:ascii="Calibri" w:eastAsia="Calibri" w:hAnsi="Calibri" w:cs="Calibri"/>
        </w:rPr>
      </w:pPr>
      <w:r>
        <w:rPr>
          <w:rFonts w:ascii="Calibri" w:eastAsia="Calibri" w:hAnsi="Calibri" w:cs="Calibri"/>
        </w:rPr>
        <w:t>Telehealth interventions provided by allied health professionals with evidence for comparable or superior clinical outcomes (compared with face-to-face interventions).</w:t>
      </w:r>
    </w:p>
    <w:p w14:paraId="6E934D0F" w14:textId="77777777" w:rsidR="006D2440" w:rsidRDefault="004D7CE6" w:rsidP="001E571D">
      <w:pPr>
        <w:numPr>
          <w:ilvl w:val="0"/>
          <w:numId w:val="34"/>
        </w:numPr>
        <w:spacing w:line="240" w:lineRule="auto"/>
        <w:rPr>
          <w:rFonts w:ascii="Calibri" w:eastAsia="Calibri" w:hAnsi="Calibri" w:cs="Calibri"/>
        </w:rPr>
      </w:pPr>
      <w:r>
        <w:rPr>
          <w:rFonts w:ascii="Calibri" w:eastAsia="Calibri" w:hAnsi="Calibri" w:cs="Calibri"/>
        </w:rPr>
        <w:t>Cost savings associated with using telehealth in allied health care.</w:t>
      </w:r>
    </w:p>
    <w:p w14:paraId="24001B82" w14:textId="77777777" w:rsidR="006D2440" w:rsidRDefault="004D7CE6" w:rsidP="001E571D">
      <w:pPr>
        <w:numPr>
          <w:ilvl w:val="0"/>
          <w:numId w:val="34"/>
        </w:numPr>
        <w:spacing w:line="240" w:lineRule="auto"/>
        <w:rPr>
          <w:rFonts w:ascii="Calibri" w:eastAsia="Calibri" w:hAnsi="Calibri" w:cs="Calibri"/>
        </w:rPr>
      </w:pPr>
      <w:r>
        <w:rPr>
          <w:rFonts w:ascii="Calibri" w:eastAsia="Calibri" w:hAnsi="Calibri" w:cs="Calibri"/>
        </w:rPr>
        <w:t>The views of consumers and feedback on telehealth use in allied health care.</w:t>
      </w:r>
    </w:p>
    <w:p w14:paraId="332C02CC" w14:textId="77777777" w:rsidR="006D2440" w:rsidRDefault="004D7CE6" w:rsidP="001E571D">
      <w:pPr>
        <w:numPr>
          <w:ilvl w:val="0"/>
          <w:numId w:val="34"/>
        </w:numPr>
        <w:spacing w:line="240" w:lineRule="auto"/>
        <w:rPr>
          <w:rFonts w:ascii="Calibri" w:eastAsia="Calibri" w:hAnsi="Calibri" w:cs="Calibri"/>
        </w:rPr>
      </w:pPr>
      <w:r>
        <w:rPr>
          <w:rFonts w:ascii="Calibri" w:eastAsia="Calibri" w:hAnsi="Calibri" w:cs="Calibri"/>
        </w:rPr>
        <w:t>Exploring the use of telehealth interventions to complement existing models of care, especially for rural and remote areas.</w:t>
      </w:r>
    </w:p>
    <w:p w14:paraId="3A742B45" w14:textId="77777777" w:rsidR="006D2440" w:rsidRDefault="004D7CE6" w:rsidP="001E571D">
      <w:pPr>
        <w:numPr>
          <w:ilvl w:val="0"/>
          <w:numId w:val="1"/>
        </w:numPr>
        <w:spacing w:line="240" w:lineRule="auto"/>
        <w:rPr>
          <w:rFonts w:ascii="Calibri" w:eastAsia="Calibri" w:hAnsi="Calibri" w:cs="Calibri"/>
        </w:rPr>
      </w:pPr>
      <w:r>
        <w:rPr>
          <w:rFonts w:ascii="Calibri" w:eastAsia="Calibri" w:hAnsi="Calibri" w:cs="Calibri"/>
        </w:rPr>
        <w:lastRenderedPageBreak/>
        <w:t>in the interim, creating a new MBS item for the provision of telehealth services for patients consulting with an allied health professional via teleconference, with the following restrictions:</w:t>
      </w:r>
    </w:p>
    <w:p w14:paraId="15ACC3C5" w14:textId="77777777" w:rsidR="006D2440" w:rsidRDefault="004D7CE6" w:rsidP="001E571D">
      <w:pPr>
        <w:numPr>
          <w:ilvl w:val="0"/>
          <w:numId w:val="24"/>
        </w:numPr>
        <w:spacing w:line="240" w:lineRule="auto"/>
        <w:ind w:right="142"/>
        <w:rPr>
          <w:rFonts w:ascii="Calibri" w:eastAsia="Calibri" w:hAnsi="Calibri" w:cs="Calibri"/>
        </w:rPr>
      </w:pPr>
      <w:r>
        <w:rPr>
          <w:rFonts w:ascii="Calibri" w:eastAsia="Calibri" w:hAnsi="Calibri" w:cs="Calibri"/>
        </w:rPr>
        <w:t>The patient must not be an admitted patient.</w:t>
      </w:r>
    </w:p>
    <w:p w14:paraId="1FDF1DE8" w14:textId="77777777" w:rsidR="006D2440" w:rsidRDefault="004D7CE6" w:rsidP="001E571D">
      <w:pPr>
        <w:numPr>
          <w:ilvl w:val="0"/>
          <w:numId w:val="24"/>
        </w:numPr>
        <w:spacing w:line="240" w:lineRule="auto"/>
        <w:ind w:right="142"/>
        <w:rPr>
          <w:rFonts w:ascii="Calibri" w:eastAsia="Calibri" w:hAnsi="Calibri" w:cs="Calibri"/>
        </w:rPr>
      </w:pPr>
      <w:r>
        <w:rPr>
          <w:rFonts w:ascii="Calibri" w:eastAsia="Calibri" w:hAnsi="Calibri" w:cs="Calibri"/>
        </w:rPr>
        <w:t xml:space="preserve">The patient must be located both within a telehealth-eligible area and at least 15 </w:t>
      </w:r>
      <w:proofErr w:type="spellStart"/>
      <w:r>
        <w:rPr>
          <w:rFonts w:ascii="Calibri" w:eastAsia="Calibri" w:hAnsi="Calibri" w:cs="Calibri"/>
        </w:rPr>
        <w:t>kilometres</w:t>
      </w:r>
      <w:proofErr w:type="spellEnd"/>
      <w:r>
        <w:rPr>
          <w:rFonts w:ascii="Calibri" w:eastAsia="Calibri" w:hAnsi="Calibri" w:cs="Calibri"/>
        </w:rPr>
        <w:t xml:space="preserve"> from the Allied Health Professional. </w:t>
      </w:r>
    </w:p>
    <w:p w14:paraId="4D8B0FBE" w14:textId="77777777" w:rsidR="006D2440" w:rsidRDefault="004D7CE6" w:rsidP="001E571D">
      <w:pPr>
        <w:numPr>
          <w:ilvl w:val="0"/>
          <w:numId w:val="24"/>
        </w:numPr>
        <w:spacing w:line="240" w:lineRule="auto"/>
        <w:ind w:right="142"/>
        <w:rPr>
          <w:rFonts w:ascii="Calibri" w:eastAsia="Calibri" w:hAnsi="Calibri" w:cs="Calibri"/>
        </w:rPr>
      </w:pPr>
      <w:r>
        <w:rPr>
          <w:rFonts w:ascii="Calibri" w:eastAsia="Calibri" w:hAnsi="Calibri" w:cs="Calibri"/>
        </w:rPr>
        <w:t>The patient must reside in a rural or remote region (defined as Modified Monash Regions 4 to 7).</w:t>
      </w:r>
    </w:p>
    <w:p w14:paraId="6AE7CA48" w14:textId="77777777" w:rsidR="006D2440" w:rsidRDefault="004D7CE6" w:rsidP="001E571D">
      <w:pPr>
        <w:numPr>
          <w:ilvl w:val="0"/>
          <w:numId w:val="24"/>
        </w:numPr>
        <w:spacing w:line="240" w:lineRule="auto"/>
        <w:ind w:right="142"/>
        <w:rPr>
          <w:rFonts w:ascii="Calibri" w:eastAsia="Calibri" w:hAnsi="Calibri" w:cs="Calibri"/>
        </w:rPr>
      </w:pPr>
      <w:r>
        <w:rPr>
          <w:rFonts w:ascii="Calibri" w:eastAsia="Calibri" w:hAnsi="Calibri" w:cs="Calibri"/>
        </w:rPr>
        <w:t>The allied health professional must be a primary health care provider for the patient, defined as having had at least two consultations with the patient.</w:t>
      </w:r>
    </w:p>
    <w:p w14:paraId="59481953" w14:textId="77777777" w:rsidR="006D2440" w:rsidRDefault="004D7CE6" w:rsidP="001E571D">
      <w:pPr>
        <w:spacing w:line="240" w:lineRule="auto"/>
        <w:ind w:left="567"/>
        <w:rPr>
          <w:rFonts w:ascii="Calibri" w:eastAsia="Calibri" w:hAnsi="Calibri" w:cs="Calibri"/>
        </w:rPr>
      </w:pPr>
      <w:r>
        <w:rPr>
          <w:rFonts w:ascii="Calibri" w:eastAsia="Calibri" w:hAnsi="Calibri" w:cs="Calibri"/>
        </w:rPr>
        <w:t>and</w:t>
      </w:r>
    </w:p>
    <w:p w14:paraId="3E007805" w14:textId="77777777" w:rsidR="006D2440" w:rsidRDefault="004D7CE6" w:rsidP="001E571D">
      <w:pPr>
        <w:numPr>
          <w:ilvl w:val="0"/>
          <w:numId w:val="1"/>
        </w:numPr>
        <w:spacing w:line="240" w:lineRule="auto"/>
        <w:rPr>
          <w:rFonts w:ascii="Calibri" w:eastAsia="Calibri" w:hAnsi="Calibri" w:cs="Calibri"/>
        </w:rPr>
      </w:pPr>
      <w:r>
        <w:rPr>
          <w:rFonts w:ascii="Calibri" w:eastAsia="Calibri" w:hAnsi="Calibri" w:cs="Calibri"/>
        </w:rPr>
        <w:t xml:space="preserve">that the new item should only be claimable for types of allied health professionals who can deliver comparable outcomes via teleconference as in face-to-face consultations to ensure that there is no compromise in service delivery or standard of care. </w:t>
      </w:r>
    </w:p>
    <w:p w14:paraId="33091CC0" w14:textId="77777777" w:rsidR="006D2440" w:rsidRDefault="004D7CE6" w:rsidP="001E571D">
      <w:pPr>
        <w:pStyle w:val="Style4"/>
        <w:spacing w:before="0" w:after="0" w:line="240" w:lineRule="auto"/>
        <w:ind w:left="0" w:firstLine="0"/>
      </w:pPr>
      <w:bookmarkStart w:id="54" w:name="_1fob9te" w:colFirst="0" w:colLast="0"/>
      <w:bookmarkEnd w:id="54"/>
      <w:r>
        <w:t>Rationale 13</w:t>
      </w:r>
    </w:p>
    <w:p w14:paraId="7FA0CFC8" w14:textId="77777777" w:rsidR="006D2440" w:rsidRDefault="004D7CE6" w:rsidP="001E571D">
      <w:pPr>
        <w:spacing w:line="240" w:lineRule="auto"/>
        <w:rPr>
          <w:rFonts w:ascii="Calibri" w:eastAsia="Calibri" w:hAnsi="Calibri" w:cs="Calibri"/>
        </w:rPr>
      </w:pPr>
      <w:r>
        <w:rPr>
          <w:rFonts w:ascii="Calibri" w:eastAsia="Calibri" w:hAnsi="Calibri" w:cs="Calibri"/>
        </w:rPr>
        <w:t>This recommendation focuses on improving access to effective telehealth services. It is based on the following:</w:t>
      </w:r>
    </w:p>
    <w:p w14:paraId="57502A49" w14:textId="77777777" w:rsidR="006D2440" w:rsidRDefault="004D7CE6" w:rsidP="001E571D">
      <w:pPr>
        <w:numPr>
          <w:ilvl w:val="0"/>
          <w:numId w:val="43"/>
        </w:numPr>
        <w:spacing w:line="240" w:lineRule="auto"/>
        <w:ind w:left="360"/>
        <w:rPr>
          <w:rFonts w:ascii="Calibri" w:eastAsia="Calibri" w:hAnsi="Calibri" w:cs="Calibri"/>
        </w:rPr>
      </w:pPr>
      <w:r>
        <w:rPr>
          <w:rFonts w:ascii="Calibri" w:eastAsia="Calibri" w:hAnsi="Calibri" w:cs="Calibri"/>
        </w:rPr>
        <w:t xml:space="preserve">The Reference Group acknowledged that telehealth could be used to improve delivery of allied health care for rural and remote populations. However, it also noted that the current fee-for-service system under the MBS does not always create the right incentives for telehealth. </w:t>
      </w:r>
    </w:p>
    <w:p w14:paraId="39730B76" w14:textId="77777777" w:rsidR="006D2440" w:rsidRPr="008E7FF0" w:rsidRDefault="004D7CE6" w:rsidP="001E571D">
      <w:pPr>
        <w:numPr>
          <w:ilvl w:val="0"/>
          <w:numId w:val="43"/>
        </w:numPr>
        <w:spacing w:line="240" w:lineRule="auto"/>
        <w:ind w:left="360"/>
        <w:rPr>
          <w:rFonts w:ascii="Calibri" w:eastAsia="Calibri" w:hAnsi="Calibri" w:cs="Calibri"/>
        </w:rPr>
      </w:pPr>
      <w:r>
        <w:rPr>
          <w:rFonts w:ascii="Calibri" w:eastAsia="Calibri" w:hAnsi="Calibri" w:cs="Calibri"/>
        </w:rPr>
        <w:t>There are 382 allied health professionals per 100,000 people in metropolitan areas, compared to just 136 in remote/very remote areas. (46) In rural and remote areas, one in five patients report that they experience longer-than-acceptable waits to access health services (47).</w:t>
      </w:r>
    </w:p>
    <w:p w14:paraId="0D8B78A6" w14:textId="77777777" w:rsidR="006D2440" w:rsidRDefault="004D7CE6" w:rsidP="001E571D">
      <w:pPr>
        <w:numPr>
          <w:ilvl w:val="0"/>
          <w:numId w:val="43"/>
        </w:numPr>
        <w:spacing w:line="240" w:lineRule="auto"/>
        <w:ind w:left="360"/>
        <w:rPr>
          <w:rFonts w:ascii="Calibri" w:eastAsia="Calibri" w:hAnsi="Calibri" w:cs="Calibri"/>
        </w:rPr>
      </w:pPr>
      <w:r>
        <w:rPr>
          <w:rFonts w:ascii="Calibri" w:eastAsia="Calibri" w:hAnsi="Calibri" w:cs="Calibri"/>
        </w:rPr>
        <w:t>The Reference Group agreed that this recommendation has the following benefits:</w:t>
      </w:r>
    </w:p>
    <w:p w14:paraId="3AA0366C" w14:textId="77777777" w:rsidR="006D2440" w:rsidRDefault="004D7CE6" w:rsidP="001E571D">
      <w:pPr>
        <w:numPr>
          <w:ilvl w:val="0"/>
          <w:numId w:val="43"/>
        </w:numPr>
        <w:spacing w:line="240" w:lineRule="auto"/>
        <w:ind w:left="360"/>
        <w:rPr>
          <w:rFonts w:ascii="Calibri" w:eastAsia="Calibri" w:hAnsi="Calibri" w:cs="Calibri"/>
        </w:rPr>
      </w:pPr>
      <w:r>
        <w:rPr>
          <w:rFonts w:ascii="Calibri" w:eastAsia="Calibri" w:hAnsi="Calibri" w:cs="Calibri"/>
        </w:rPr>
        <w:t>It would increase allied health service provision in remote, regional and rural areas. This would decrease the need for patients in rural and remote communities to travel (and take time off work) to receive allied health care.</w:t>
      </w:r>
    </w:p>
    <w:p w14:paraId="2F5496F7" w14:textId="77777777" w:rsidR="006D2440" w:rsidRDefault="004D7CE6" w:rsidP="001E571D">
      <w:pPr>
        <w:numPr>
          <w:ilvl w:val="0"/>
          <w:numId w:val="43"/>
        </w:numPr>
        <w:spacing w:line="240" w:lineRule="auto"/>
        <w:ind w:left="360"/>
        <w:rPr>
          <w:rFonts w:ascii="Calibri" w:eastAsia="Calibri" w:hAnsi="Calibri" w:cs="Calibri"/>
        </w:rPr>
      </w:pPr>
      <w:r>
        <w:rPr>
          <w:rFonts w:ascii="Calibri" w:eastAsia="Calibri" w:hAnsi="Calibri" w:cs="Calibri"/>
        </w:rPr>
        <w:t>For providers already providing telehealth services, the recommendation would reduce out-of-pocket fees by allowing rebates for patients. This would relieve the financial burden on patients who already face the hardships of distance, limited service provision and inequitable access to services.</w:t>
      </w:r>
    </w:p>
    <w:p w14:paraId="5B305161" w14:textId="77777777" w:rsidR="006D2440" w:rsidRDefault="004D7CE6" w:rsidP="001E571D">
      <w:pPr>
        <w:numPr>
          <w:ilvl w:val="0"/>
          <w:numId w:val="43"/>
        </w:numPr>
        <w:spacing w:line="240" w:lineRule="auto"/>
        <w:ind w:left="360"/>
        <w:rPr>
          <w:rFonts w:ascii="Calibri" w:eastAsia="Calibri" w:hAnsi="Calibri" w:cs="Calibri"/>
        </w:rPr>
      </w:pPr>
      <w:r>
        <w:rPr>
          <w:rFonts w:ascii="Calibri" w:eastAsia="Calibri" w:hAnsi="Calibri" w:cs="Calibri"/>
        </w:rPr>
        <w:t xml:space="preserve">The recommendation would increase local employment by creating opportunities for locally based allied health assistants (who may provide patient-side support). </w:t>
      </w:r>
    </w:p>
    <w:p w14:paraId="67AED34C" w14:textId="77777777" w:rsidR="006D2440" w:rsidRDefault="004D7CE6" w:rsidP="001E571D">
      <w:pPr>
        <w:numPr>
          <w:ilvl w:val="0"/>
          <w:numId w:val="43"/>
        </w:numPr>
        <w:spacing w:line="240" w:lineRule="auto"/>
        <w:ind w:left="360"/>
        <w:rPr>
          <w:rFonts w:ascii="Calibri" w:eastAsia="Calibri" w:hAnsi="Calibri" w:cs="Calibri"/>
        </w:rPr>
      </w:pPr>
      <w:r>
        <w:rPr>
          <w:rFonts w:ascii="Calibri" w:eastAsia="Calibri" w:hAnsi="Calibri" w:cs="Calibri"/>
        </w:rPr>
        <w:t xml:space="preserve">There is some evidence to support telehealth interventions in allied health care. A recent Australian review of allied health video consultation services found that clinical outcomes have generally been </w:t>
      </w:r>
      <w:proofErr w:type="gramStart"/>
      <w:r>
        <w:rPr>
          <w:rFonts w:ascii="Calibri" w:eastAsia="Calibri" w:hAnsi="Calibri" w:cs="Calibri"/>
        </w:rPr>
        <w:t>similar to</w:t>
      </w:r>
      <w:proofErr w:type="gramEnd"/>
      <w:r>
        <w:rPr>
          <w:rFonts w:ascii="Calibri" w:eastAsia="Calibri" w:hAnsi="Calibri" w:cs="Calibri"/>
        </w:rPr>
        <w:t xml:space="preserve"> outcomes for usual care, although it acknowledged large differences in the breadth and quality of evidence between different allied health professionals (48). </w:t>
      </w:r>
    </w:p>
    <w:p w14:paraId="38ECFB61" w14:textId="55033594" w:rsidR="006D2440" w:rsidRDefault="004D7CE6" w:rsidP="001E571D">
      <w:pPr>
        <w:spacing w:line="240" w:lineRule="auto"/>
        <w:ind w:left="-71"/>
        <w:rPr>
          <w:rFonts w:ascii="Calibri" w:eastAsia="Calibri" w:hAnsi="Calibri" w:cs="Calibri"/>
        </w:rPr>
      </w:pPr>
      <w:r>
        <w:rPr>
          <w:rFonts w:ascii="Calibri" w:eastAsia="Calibri" w:hAnsi="Calibri" w:cs="Calibri"/>
        </w:rPr>
        <w:t xml:space="preserve">There is evidence that telephone counselling by a dietitian achieves dietary </w:t>
      </w:r>
      <w:proofErr w:type="spellStart"/>
      <w:r>
        <w:rPr>
          <w:rFonts w:ascii="Calibri" w:eastAsia="Calibri" w:hAnsi="Calibri" w:cs="Calibri"/>
        </w:rPr>
        <w:t>behaviour</w:t>
      </w:r>
      <w:proofErr w:type="spellEnd"/>
      <w:r>
        <w:rPr>
          <w:rFonts w:ascii="Calibri" w:eastAsia="Calibri" w:hAnsi="Calibri" w:cs="Calibri"/>
        </w:rPr>
        <w:t xml:space="preserve"> change and improves metabolic parameters in individuals with metabolic syndrome. Swanepoel and Hall (2010) conducted a systematic review of telehealth applications in audiology and found that outcome measures for conventional face-to-face services and remote telehealth services were similar, with no negative impact on patients who received telehealth services. Various types of audiological assessment were found to be viable, such as otoscopy, pure-tone audiometry, im</w:t>
      </w:r>
      <w:r w:rsidR="005646C3">
        <w:rPr>
          <w:rFonts w:ascii="Calibri" w:eastAsia="Calibri" w:hAnsi="Calibri" w:cs="Calibri"/>
        </w:rPr>
        <w:t>pedance</w:t>
      </w:r>
      <w:r>
        <w:rPr>
          <w:rFonts w:ascii="Calibri" w:eastAsia="Calibri" w:hAnsi="Calibri" w:cs="Calibri"/>
        </w:rPr>
        <w:t xml:space="preserve"> audiometry, otoacoustic emission, and auditory brainstem response audiometry, with no clinically significant differences in results compared to face-to-face administration of these assessments (49)</w:t>
      </w:r>
    </w:p>
    <w:p w14:paraId="767479DF" w14:textId="77777777" w:rsidR="006D2440" w:rsidRDefault="004D7CE6">
      <w:pPr>
        <w:spacing w:line="240" w:lineRule="auto"/>
        <w:jc w:val="both"/>
        <w:rPr>
          <w:rFonts w:ascii="Calibri" w:eastAsia="Calibri" w:hAnsi="Calibri" w:cs="Calibri"/>
        </w:rPr>
      </w:pPr>
      <w:r>
        <w:br w:type="page"/>
      </w:r>
    </w:p>
    <w:p w14:paraId="7390458D" w14:textId="4BE1D352" w:rsidR="009B5A41" w:rsidRPr="008E7FF0" w:rsidRDefault="009B5A41" w:rsidP="008E7FF0">
      <w:pPr>
        <w:pStyle w:val="Heading1"/>
        <w:keepLines w:val="0"/>
        <w:widowControl w:val="0"/>
        <w:pBdr>
          <w:bottom w:val="single" w:sz="16" w:space="11" w:color="BFBFBF"/>
        </w:pBdr>
        <w:spacing w:before="720" w:after="720" w:line="312" w:lineRule="auto"/>
        <w:rPr>
          <w:rFonts w:ascii="Calibri" w:eastAsia="Calibri" w:hAnsi="Calibri" w:cs="Calibri"/>
          <w:b/>
          <w:color w:val="01653F"/>
        </w:rPr>
      </w:pPr>
      <w:bookmarkStart w:id="55" w:name="_wpw0r2tdl4oo" w:colFirst="0" w:colLast="0"/>
      <w:bookmarkStart w:id="56" w:name="_739y1bcl6xc" w:colFirst="0" w:colLast="0"/>
      <w:bookmarkStart w:id="57" w:name="_Toc42764244"/>
      <w:bookmarkEnd w:id="55"/>
      <w:bookmarkEnd w:id="56"/>
      <w:r w:rsidRPr="008E7FF0">
        <w:rPr>
          <w:rFonts w:ascii="Calibri" w:eastAsia="Calibri" w:hAnsi="Calibri" w:cs="Calibri"/>
          <w:b/>
          <w:color w:val="01653F"/>
        </w:rPr>
        <w:lastRenderedPageBreak/>
        <w:t>General Practice and Primary Care</w:t>
      </w:r>
      <w:r w:rsidR="00FE4A00">
        <w:rPr>
          <w:rFonts w:ascii="Calibri" w:eastAsia="Calibri" w:hAnsi="Calibri" w:cs="Calibri"/>
          <w:b/>
          <w:color w:val="01653F"/>
        </w:rPr>
        <w:t xml:space="preserve"> Clinical Committee</w:t>
      </w:r>
      <w:bookmarkEnd w:id="57"/>
    </w:p>
    <w:p w14:paraId="00C92372" w14:textId="77777777" w:rsidR="009B5A41" w:rsidRPr="008E7FF0" w:rsidRDefault="009B5A41" w:rsidP="009B5A41">
      <w:pPr>
        <w:pStyle w:val="Style4"/>
        <w:rPr>
          <w:color w:val="4F6228" w:themeColor="accent3" w:themeShade="80"/>
        </w:rPr>
      </w:pPr>
      <w:r w:rsidRPr="008E7FF0">
        <w:rPr>
          <w:color w:val="4F6228" w:themeColor="accent3" w:themeShade="80"/>
        </w:rPr>
        <w:t>Telehealth Working Group Consideration</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FE1D4A" w14:paraId="175AC333"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3F616B36" w14:textId="77A491D3" w:rsidR="009B5A41" w:rsidRDefault="009B5A41" w:rsidP="000E2172">
            <w:pPr>
              <w:spacing w:before="120"/>
              <w:ind w:right="142"/>
              <w:rPr>
                <w:rFonts w:ascii="Calibri" w:eastAsia="Calibri" w:hAnsi="Calibri" w:cs="Calibri"/>
                <w:b/>
              </w:rPr>
            </w:pPr>
            <w:r>
              <w:rPr>
                <w:rFonts w:ascii="Calibri" w:eastAsia="Calibri" w:hAnsi="Calibri" w:cs="Calibri"/>
                <w:b/>
              </w:rPr>
              <w:t xml:space="preserve">Telehealth Recommendation </w:t>
            </w:r>
            <w:r w:rsidR="000E2172">
              <w:rPr>
                <w:rFonts w:ascii="Calibri" w:eastAsia="Calibri" w:hAnsi="Calibri" w:cs="Calibri"/>
                <w:b/>
              </w:rPr>
              <w:t>2</w:t>
            </w:r>
            <w:r>
              <w:rPr>
                <w:rFonts w:ascii="Calibri" w:eastAsia="Calibri" w:hAnsi="Calibri" w:cs="Calibri"/>
                <w:b/>
              </w:rPr>
              <w:t xml:space="preserve"> of 21: General Practice and Primary Care Clinical Committee Recommendation 11</w:t>
            </w:r>
            <w:r w:rsidR="000959AE">
              <w:rPr>
                <w:rFonts w:ascii="Calibri" w:eastAsia="Calibri" w:hAnsi="Calibri" w:cs="Calibri"/>
                <w:b/>
              </w:rPr>
              <w:t xml:space="preserve"> - </w:t>
            </w:r>
            <w:r w:rsidR="000959AE">
              <w:rPr>
                <w:rFonts w:ascii="Calibri" w:eastAsia="Calibri" w:hAnsi="Calibri" w:cs="Calibri"/>
              </w:rPr>
              <w:t>Enable GP</w:t>
            </w:r>
            <w:r w:rsidR="00045F57">
              <w:rPr>
                <w:rFonts w:ascii="Calibri" w:eastAsia="Calibri" w:hAnsi="Calibri" w:cs="Calibri"/>
              </w:rPr>
              <w:t xml:space="preserve"> to act as consultants </w:t>
            </w:r>
            <w:r w:rsidR="00265F70">
              <w:rPr>
                <w:rFonts w:ascii="Calibri" w:eastAsia="Calibri" w:hAnsi="Calibri" w:cs="Calibri"/>
              </w:rPr>
              <w:t>when engaging patients through</w:t>
            </w:r>
            <w:r w:rsidR="000959AE">
              <w:rPr>
                <w:rFonts w:ascii="Calibri" w:eastAsia="Calibri" w:hAnsi="Calibri" w:cs="Calibri"/>
              </w:rPr>
              <w:t xml:space="preserve"> telehealth consultations </w:t>
            </w:r>
            <w:r w:rsidR="00595E48">
              <w:rPr>
                <w:rFonts w:ascii="Calibri" w:eastAsia="Calibri" w:hAnsi="Calibri" w:cs="Calibri"/>
              </w:rPr>
              <w:t>with Nurse Practitioners, Aboriginal Health Workers and Allied Health Professionals at the patient side.</w:t>
            </w:r>
          </w:p>
        </w:tc>
      </w:tr>
      <w:tr w:rsidR="00FE1D4A" w14:paraId="4B5C2F4D"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0FFF2C89" w14:textId="063EDAAB" w:rsidR="009B5A41" w:rsidRDefault="000959AE" w:rsidP="008E7FF0">
            <w:pPr>
              <w:spacing w:before="120"/>
              <w:rPr>
                <w:rFonts w:ascii="Calibri" w:eastAsia="Calibri" w:hAnsi="Calibri" w:cs="Calibri"/>
              </w:rPr>
            </w:pPr>
            <w:r>
              <w:rPr>
                <w:rFonts w:ascii="Calibri" w:eastAsia="Calibri" w:hAnsi="Calibri" w:cs="Calibri"/>
                <w:b/>
              </w:rPr>
              <w:t xml:space="preserve">TWG </w:t>
            </w:r>
            <w:r w:rsidR="009B5A41">
              <w:rPr>
                <w:rFonts w:ascii="Calibri" w:eastAsia="Calibri" w:hAnsi="Calibri" w:cs="Calibri"/>
                <w:b/>
              </w:rPr>
              <w:t xml:space="preserve">Recommendation: </w:t>
            </w:r>
            <w:r>
              <w:rPr>
                <w:rFonts w:ascii="Calibri" w:eastAsia="Calibri" w:hAnsi="Calibri" w:cs="Calibri"/>
              </w:rPr>
              <w:t xml:space="preserve">The TWG </w:t>
            </w:r>
            <w:r w:rsidR="001B7072">
              <w:rPr>
                <w:rFonts w:ascii="Calibri" w:eastAsia="Calibri" w:hAnsi="Calibri" w:cs="Calibri"/>
              </w:rPr>
              <w:t>supported this recommendation</w:t>
            </w:r>
            <w:r>
              <w:rPr>
                <w:rFonts w:ascii="Calibri" w:eastAsia="Calibri" w:hAnsi="Calibri" w:cs="Calibri"/>
              </w:rPr>
              <w:t>.</w:t>
            </w:r>
          </w:p>
        </w:tc>
      </w:tr>
      <w:tr w:rsidR="00FE1D4A" w14:paraId="52AC1E70"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84A58F9" w14:textId="77777777" w:rsidR="002F30A1" w:rsidRDefault="002F30A1" w:rsidP="002F30A1">
            <w:pPr>
              <w:spacing w:before="120"/>
              <w:rPr>
                <w:rFonts w:ascii="Calibri" w:eastAsia="Calibri" w:hAnsi="Calibri" w:cs="Calibri"/>
                <w:b/>
              </w:rPr>
            </w:pPr>
            <w:r>
              <w:rPr>
                <w:rFonts w:ascii="Calibri" w:eastAsia="Calibri" w:hAnsi="Calibri" w:cs="Calibri"/>
                <w:b/>
              </w:rPr>
              <w:t>TWG Rationale:</w:t>
            </w:r>
          </w:p>
          <w:p w14:paraId="0DD8D691" w14:textId="35C4488E" w:rsidR="009B5A41" w:rsidRPr="001C36A5" w:rsidRDefault="001C36A5" w:rsidP="00EF3B78">
            <w:pPr>
              <w:spacing w:after="120"/>
              <w:rPr>
                <w:rFonts w:ascii="Calibri" w:eastAsia="Calibri" w:hAnsi="Calibri" w:cs="Calibri"/>
                <w:bCs/>
              </w:rPr>
            </w:pPr>
            <w:proofErr w:type="gramStart"/>
            <w:r w:rsidRPr="001C36A5">
              <w:rPr>
                <w:rFonts w:ascii="Calibri" w:eastAsia="Calibri" w:hAnsi="Calibri" w:cs="Calibri"/>
                <w:bCs/>
              </w:rPr>
              <w:t>All of</w:t>
            </w:r>
            <w:proofErr w:type="gramEnd"/>
            <w:r w:rsidRPr="001C36A5">
              <w:rPr>
                <w:rFonts w:ascii="Calibri" w:eastAsia="Calibri" w:hAnsi="Calibri" w:cs="Calibri"/>
                <w:bCs/>
              </w:rPr>
              <w:t xml:space="preserve"> the committees above supported this recommendation as high value care.</w:t>
            </w:r>
          </w:p>
        </w:tc>
      </w:tr>
    </w:tbl>
    <w:p w14:paraId="30189D82" w14:textId="77777777" w:rsidR="009B5A41" w:rsidRPr="008E7FF0" w:rsidRDefault="009B5A41" w:rsidP="009B5A41">
      <w:pPr>
        <w:pStyle w:val="Style4"/>
        <w:rPr>
          <w:color w:val="4F6228" w:themeColor="accent3" w:themeShade="80"/>
        </w:rPr>
      </w:pPr>
      <w:r w:rsidRPr="008E7FF0">
        <w:rPr>
          <w:color w:val="4F6228" w:themeColor="accent3" w:themeShade="80"/>
        </w:rPr>
        <w:t>General Practice and Primary Care Clinical Committee recommendations</w:t>
      </w:r>
    </w:p>
    <w:p w14:paraId="3B5F5081" w14:textId="77777777" w:rsidR="009B5A41" w:rsidRDefault="009B5A41" w:rsidP="009B5A41">
      <w:pPr>
        <w:pStyle w:val="Style4"/>
      </w:pPr>
      <w:r>
        <w:t>Recommendation 11</w:t>
      </w:r>
    </w:p>
    <w:p w14:paraId="52A03B41" w14:textId="77777777" w:rsidR="009B5A41" w:rsidRDefault="009B5A41" w:rsidP="009B5A41">
      <w:pPr>
        <w:pBdr>
          <w:top w:val="single" w:sz="4" w:space="1" w:color="000000"/>
          <w:left w:val="single" w:sz="4" w:space="4" w:color="000000"/>
          <w:bottom w:val="single" w:sz="4" w:space="1" w:color="000000"/>
          <w:right w:val="single" w:sz="4" w:space="4" w:color="000000"/>
        </w:pBdr>
        <w:shd w:val="clear" w:color="auto" w:fill="F2F2F2"/>
        <w:spacing w:before="180" w:after="60" w:line="312" w:lineRule="auto"/>
        <w:rPr>
          <w:rFonts w:ascii="Calibri" w:eastAsia="Calibri" w:hAnsi="Calibri" w:cs="Calibri"/>
          <w:b/>
        </w:rPr>
      </w:pPr>
      <w:r>
        <w:rPr>
          <w:rFonts w:ascii="Calibri" w:eastAsia="Calibri" w:hAnsi="Calibri" w:cs="Calibri"/>
        </w:rPr>
        <w:t>Enable GP telehealth consultations and expand GP telehealth eligibility to patients with mobility concerns who cannot easily be seen face-to-face.</w:t>
      </w:r>
    </w:p>
    <w:p w14:paraId="680E1702" w14:textId="77777777" w:rsidR="009B5A41" w:rsidRDefault="009B5A41" w:rsidP="001E571D">
      <w:pPr>
        <w:numPr>
          <w:ilvl w:val="0"/>
          <w:numId w:val="21"/>
        </w:numPr>
        <w:spacing w:after="120" w:line="240" w:lineRule="auto"/>
        <w:ind w:left="431"/>
        <w:rPr>
          <w:rFonts w:ascii="Calibri" w:eastAsia="Calibri" w:hAnsi="Calibri" w:cs="Calibri"/>
        </w:rPr>
      </w:pPr>
      <w:r>
        <w:rPr>
          <w:rFonts w:ascii="Calibri" w:eastAsia="Calibri" w:hAnsi="Calibri" w:cs="Calibri"/>
        </w:rPr>
        <w:t>The Committee recommends that the descriptors of items 99 and 82220-82222 be expanded to make GPs eligible to provide a telehealth consultation, in addition to other specialists and consultants.  Provision of these GP telehealth services should be restricted to a patient’s usual provider.</w:t>
      </w:r>
    </w:p>
    <w:p w14:paraId="7F95A53A" w14:textId="77777777" w:rsidR="009B5A41" w:rsidRDefault="009B5A41" w:rsidP="001E571D">
      <w:pPr>
        <w:numPr>
          <w:ilvl w:val="0"/>
          <w:numId w:val="21"/>
        </w:numPr>
        <w:spacing w:after="120" w:line="240" w:lineRule="auto"/>
        <w:ind w:left="431"/>
        <w:rPr>
          <w:rFonts w:ascii="Calibri" w:eastAsia="Calibri" w:hAnsi="Calibri" w:cs="Calibri"/>
        </w:rPr>
      </w:pPr>
      <w:r>
        <w:rPr>
          <w:rFonts w:ascii="Calibri" w:eastAsia="Calibri" w:hAnsi="Calibri" w:cs="Calibri"/>
        </w:rPr>
        <w:t>The Committee recommends that new items be created to reimburse GPs for their time for telehealth consultations (similar to items which currently exist to reimburse other specialists) to support Nurse Practitioners and Aboriginal and Torres Strait Islander Health Practitioners consulting with patients in remote and rural settings.</w:t>
      </w:r>
    </w:p>
    <w:p w14:paraId="2AF0ABCA" w14:textId="77777777" w:rsidR="009B5A41" w:rsidRDefault="009B5A41" w:rsidP="001E571D">
      <w:pPr>
        <w:pStyle w:val="Style4"/>
        <w:spacing w:before="0" w:line="240" w:lineRule="auto"/>
      </w:pPr>
      <w:r>
        <w:t>Rationale 11</w:t>
      </w:r>
    </w:p>
    <w:p w14:paraId="6DFB38D3" w14:textId="77777777" w:rsidR="009B5A41" w:rsidRDefault="009B5A41" w:rsidP="001E571D">
      <w:pPr>
        <w:spacing w:after="120" w:line="240" w:lineRule="auto"/>
        <w:rPr>
          <w:rFonts w:ascii="Calibri" w:eastAsia="Calibri" w:hAnsi="Calibri" w:cs="Calibri"/>
        </w:rPr>
      </w:pPr>
      <w:r>
        <w:rPr>
          <w:rFonts w:ascii="Calibri" w:eastAsia="Calibri" w:hAnsi="Calibri" w:cs="Calibri"/>
        </w:rPr>
        <w:t>This recommendation focuses on increasing patient access to, and usage of, telehealth services. It is based on the following observations:</w:t>
      </w:r>
    </w:p>
    <w:p w14:paraId="59BFEBB0" w14:textId="77777777" w:rsidR="009B5A41" w:rsidRDefault="009B5A41" w:rsidP="001E571D">
      <w:pPr>
        <w:numPr>
          <w:ilvl w:val="0"/>
          <w:numId w:val="21"/>
        </w:numPr>
        <w:spacing w:after="120" w:line="240" w:lineRule="auto"/>
        <w:ind w:left="431"/>
        <w:rPr>
          <w:rFonts w:ascii="Calibri" w:eastAsia="Calibri" w:hAnsi="Calibri" w:cs="Calibri"/>
        </w:rPr>
      </w:pPr>
      <w:r>
        <w:rPr>
          <w:rFonts w:ascii="Calibri" w:eastAsia="Calibri" w:hAnsi="Calibri" w:cs="Calibri"/>
        </w:rPr>
        <w:t xml:space="preserve">The requirement for telehealth services to take place with specialists/consultations limits patient access to telehealth items. A survey of 73 Nurse Practitioners (NPs) working in primary care and accessing MBS indicated that only 12% used telehealth </w:t>
      </w:r>
      <w:proofErr w:type="gramStart"/>
      <w:r>
        <w:rPr>
          <w:rFonts w:ascii="Calibri" w:eastAsia="Calibri" w:hAnsi="Calibri" w:cs="Calibri"/>
        </w:rPr>
        <w:t>items, and</w:t>
      </w:r>
      <w:proofErr w:type="gramEnd"/>
      <w:r>
        <w:rPr>
          <w:rFonts w:ascii="Calibri" w:eastAsia="Calibri" w:hAnsi="Calibri" w:cs="Calibri"/>
        </w:rPr>
        <w:t xml:space="preserve"> identified that the main reason for non-use of the telehealth items was the stipulation of having a specialist or consultant present. (</w:t>
      </w:r>
      <w:r>
        <w:rPr>
          <w:rFonts w:ascii="Calibri" w:eastAsia="Calibri" w:hAnsi="Calibri" w:cs="Calibri"/>
          <w:vertAlign w:val="superscript"/>
        </w:rPr>
        <w:footnoteReference w:id="15"/>
      </w:r>
      <w:r>
        <w:rPr>
          <w:rFonts w:ascii="Calibri" w:eastAsia="Calibri" w:hAnsi="Calibri" w:cs="Calibri"/>
        </w:rPr>
        <w:t>)</w:t>
      </w:r>
    </w:p>
    <w:p w14:paraId="32C1B4A7" w14:textId="77777777" w:rsidR="009B5A41" w:rsidRDefault="009B5A41" w:rsidP="001E571D">
      <w:pPr>
        <w:numPr>
          <w:ilvl w:val="0"/>
          <w:numId w:val="21"/>
        </w:numPr>
        <w:spacing w:after="120" w:line="240" w:lineRule="auto"/>
        <w:ind w:left="431"/>
        <w:rPr>
          <w:rFonts w:ascii="Calibri" w:eastAsia="Calibri" w:hAnsi="Calibri" w:cs="Calibri"/>
        </w:rPr>
      </w:pPr>
      <w:r>
        <w:rPr>
          <w:rFonts w:ascii="Calibri" w:eastAsia="Calibri" w:hAnsi="Calibri" w:cs="Calibri"/>
        </w:rPr>
        <w:t>The addition of GPs as eligible telehealth providers will increase patient access to GPs, particularly in remote areas where GP access is more limited. The restriction to a patient’s usual provider will ensure rural and remote practice sustainability. Rigorous consultation should be undertaken with rural and remote providers in the implementation of this recommendation.</w:t>
      </w:r>
    </w:p>
    <w:p w14:paraId="4C3C2BDB" w14:textId="77777777" w:rsidR="009B5A41" w:rsidRDefault="009B5A41" w:rsidP="001E571D">
      <w:pPr>
        <w:numPr>
          <w:ilvl w:val="0"/>
          <w:numId w:val="21"/>
        </w:numPr>
        <w:spacing w:after="120" w:line="240" w:lineRule="auto"/>
        <w:ind w:left="431"/>
        <w:rPr>
          <w:rFonts w:ascii="Calibri" w:eastAsia="Calibri" w:hAnsi="Calibri" w:cs="Calibri"/>
        </w:rPr>
      </w:pPr>
      <w:r>
        <w:rPr>
          <w:rFonts w:ascii="Calibri" w:eastAsia="Calibri" w:hAnsi="Calibri" w:cs="Calibri"/>
        </w:rPr>
        <w:lastRenderedPageBreak/>
        <w:t>Expanding GP telehealth eligibility criteria to include patients with mobility concerns, such as patients who are elderly and frail, will increase patient access to essential services.</w:t>
      </w:r>
    </w:p>
    <w:p w14:paraId="3B6B4B72" w14:textId="77777777" w:rsidR="009B5A41" w:rsidRDefault="009B5A41" w:rsidP="001E571D">
      <w:pPr>
        <w:spacing w:after="120" w:line="240" w:lineRule="auto"/>
        <w:rPr>
          <w:rFonts w:ascii="Calibri" w:eastAsia="Calibri" w:hAnsi="Calibri" w:cs="Calibri"/>
        </w:rPr>
      </w:pPr>
      <w:r>
        <w:rPr>
          <w:rFonts w:ascii="Calibri" w:eastAsia="Calibri" w:hAnsi="Calibri" w:cs="Calibri"/>
        </w:rPr>
        <w:t>The GPPCCC notes that the Nurse Practitioner Reference Group supports this recommendation.</w:t>
      </w:r>
    </w:p>
    <w:p w14:paraId="130E72E3" w14:textId="77777777" w:rsidR="006D2440" w:rsidRDefault="004D7CE6">
      <w:pPr>
        <w:pStyle w:val="Heading1"/>
        <w:keepLines w:val="0"/>
        <w:widowControl w:val="0"/>
        <w:pBdr>
          <w:bottom w:val="single" w:sz="16" w:space="11" w:color="BFBFBF"/>
        </w:pBdr>
        <w:spacing w:before="720" w:after="720" w:line="312" w:lineRule="auto"/>
        <w:ind w:left="432"/>
        <w:rPr>
          <w:rFonts w:ascii="Calibri" w:eastAsia="Calibri" w:hAnsi="Calibri" w:cs="Calibri"/>
          <w:b/>
          <w:color w:val="01653F"/>
        </w:rPr>
      </w:pPr>
      <w:bookmarkStart w:id="58" w:name="_2et92p0" w:colFirst="0" w:colLast="0"/>
      <w:bookmarkStart w:id="59" w:name="_tyjcwt" w:colFirst="0" w:colLast="0"/>
      <w:bookmarkStart w:id="60" w:name="_3dy6vkm" w:colFirst="0" w:colLast="0"/>
      <w:bookmarkStart w:id="61" w:name="_hj7nx0oplzg9" w:colFirst="0" w:colLast="0"/>
      <w:bookmarkStart w:id="62" w:name="_2s8eyo1" w:colFirst="0" w:colLast="0"/>
      <w:bookmarkStart w:id="63" w:name="_17dp8vu" w:colFirst="0" w:colLast="0"/>
      <w:bookmarkStart w:id="64" w:name="_Toc42764245"/>
      <w:bookmarkEnd w:id="58"/>
      <w:bookmarkEnd w:id="59"/>
      <w:bookmarkEnd w:id="60"/>
      <w:bookmarkEnd w:id="61"/>
      <w:bookmarkEnd w:id="62"/>
      <w:bookmarkEnd w:id="63"/>
      <w:r>
        <w:rPr>
          <w:rFonts w:ascii="Calibri" w:eastAsia="Calibri" w:hAnsi="Calibri" w:cs="Calibri"/>
          <w:b/>
          <w:color w:val="01653F"/>
        </w:rPr>
        <w:t>Mental Health Reference Group</w:t>
      </w:r>
      <w:bookmarkEnd w:id="64"/>
    </w:p>
    <w:p w14:paraId="2C5A2F0E" w14:textId="77237BB2" w:rsidR="006D2440" w:rsidRPr="008E7FF0" w:rsidRDefault="00004598" w:rsidP="008E7FF0">
      <w:pPr>
        <w:pStyle w:val="Style4"/>
        <w:rPr>
          <w:color w:val="4F6228" w:themeColor="accent3" w:themeShade="80"/>
        </w:rPr>
      </w:pPr>
      <w:r w:rsidRPr="008E7FF0">
        <w:rPr>
          <w:color w:val="4F6228" w:themeColor="accent3" w:themeShade="80"/>
        </w:rPr>
        <w:t>Telehealth Working Group Consideration</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1D9982F7"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1ACBF598" w14:textId="34CCDF88" w:rsidR="006D2440" w:rsidRDefault="004D7CE6">
            <w:pPr>
              <w:spacing w:before="120"/>
              <w:ind w:right="142"/>
              <w:rPr>
                <w:rFonts w:ascii="Calibri" w:eastAsia="Calibri" w:hAnsi="Calibri" w:cs="Calibri"/>
              </w:rPr>
            </w:pPr>
            <w:r>
              <w:rPr>
                <w:rFonts w:ascii="Calibri" w:eastAsia="Calibri" w:hAnsi="Calibri" w:cs="Calibri"/>
                <w:b/>
              </w:rPr>
              <w:t xml:space="preserve">Telehealth Recommendation </w:t>
            </w:r>
            <w:r w:rsidR="000E2172">
              <w:rPr>
                <w:rFonts w:ascii="Calibri" w:eastAsia="Calibri" w:hAnsi="Calibri" w:cs="Calibri"/>
                <w:b/>
              </w:rPr>
              <w:t>3</w:t>
            </w:r>
            <w:r>
              <w:rPr>
                <w:rFonts w:ascii="Calibri" w:eastAsia="Calibri" w:hAnsi="Calibri" w:cs="Calibri"/>
                <w:b/>
              </w:rPr>
              <w:t xml:space="preserve"> of 21: </w:t>
            </w:r>
            <w:r w:rsidRPr="008E7FF0">
              <w:rPr>
                <w:rFonts w:ascii="Calibri" w:eastAsia="Calibri" w:hAnsi="Calibri" w:cs="Calibri"/>
                <w:b/>
              </w:rPr>
              <w:t>Mental Health Reference Group Recommendation 14</w:t>
            </w:r>
            <w:r w:rsidR="000959AE">
              <w:rPr>
                <w:rFonts w:ascii="Calibri" w:eastAsia="Calibri" w:hAnsi="Calibri" w:cs="Calibri"/>
                <w:b/>
              </w:rPr>
              <w:t xml:space="preserve"> - </w:t>
            </w:r>
            <w:r w:rsidR="000959AE">
              <w:rPr>
                <w:rFonts w:ascii="Calibri" w:eastAsia="Calibri" w:hAnsi="Calibri" w:cs="Calibri"/>
              </w:rPr>
              <w:t>Increase access to telehealth services</w:t>
            </w:r>
          </w:p>
        </w:tc>
      </w:tr>
      <w:tr w:rsidR="00716DA7" w14:paraId="70253506"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254200CB" w14:textId="7B58B435" w:rsidR="00A23C7D" w:rsidRDefault="000959AE">
            <w:pPr>
              <w:spacing w:before="120"/>
              <w:rPr>
                <w:rFonts w:ascii="Calibri" w:eastAsia="Calibri" w:hAnsi="Calibri" w:cs="Calibri"/>
              </w:rPr>
            </w:pPr>
            <w:r>
              <w:rPr>
                <w:rFonts w:ascii="Calibri" w:eastAsia="Calibri" w:hAnsi="Calibri" w:cs="Calibri"/>
                <w:b/>
              </w:rPr>
              <w:t xml:space="preserve">TWG </w:t>
            </w:r>
            <w:r w:rsidR="004D7CE6">
              <w:rPr>
                <w:rFonts w:ascii="Calibri" w:eastAsia="Calibri" w:hAnsi="Calibri" w:cs="Calibri"/>
                <w:b/>
              </w:rPr>
              <w:t xml:space="preserve">Recommendation: </w:t>
            </w:r>
            <w:r w:rsidR="002B2443" w:rsidRPr="00B066BD">
              <w:rPr>
                <w:rFonts w:ascii="Calibri" w:eastAsia="Calibri" w:hAnsi="Calibri" w:cs="Calibri"/>
                <w:bCs/>
              </w:rPr>
              <w:t xml:space="preserve">Supported by the </w:t>
            </w:r>
            <w:r>
              <w:rPr>
                <w:rFonts w:ascii="Calibri" w:eastAsia="Calibri" w:hAnsi="Calibri" w:cs="Calibri"/>
              </w:rPr>
              <w:t>TWG</w:t>
            </w:r>
            <w:r w:rsidR="00087283">
              <w:rPr>
                <w:rFonts w:ascii="Calibri" w:eastAsia="Calibri" w:hAnsi="Calibri" w:cs="Calibri"/>
              </w:rPr>
              <w:t xml:space="preserve"> with </w:t>
            </w:r>
            <w:r w:rsidR="00622626">
              <w:rPr>
                <w:rFonts w:ascii="Calibri" w:eastAsia="Calibri" w:hAnsi="Calibri" w:cs="Calibri"/>
              </w:rPr>
              <w:t xml:space="preserve">qualification to </w:t>
            </w:r>
            <w:r w:rsidR="00A23C7D">
              <w:rPr>
                <w:rFonts w:ascii="Calibri" w:eastAsia="Calibri" w:hAnsi="Calibri" w:cs="Calibri"/>
              </w:rPr>
              <w:t>align with the principles</w:t>
            </w:r>
            <w:r>
              <w:rPr>
                <w:rFonts w:ascii="Calibri" w:eastAsia="Calibri" w:hAnsi="Calibri" w:cs="Calibri"/>
              </w:rPr>
              <w:t>.</w:t>
            </w:r>
          </w:p>
        </w:tc>
      </w:tr>
      <w:tr w:rsidR="00716DA7" w14:paraId="12CA2A40"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56F613A" w14:textId="77777777" w:rsidR="002F30A1" w:rsidRDefault="002F30A1" w:rsidP="002F30A1">
            <w:pPr>
              <w:spacing w:before="120"/>
              <w:rPr>
                <w:rFonts w:ascii="Calibri" w:eastAsia="Calibri" w:hAnsi="Calibri" w:cs="Calibri"/>
                <w:b/>
              </w:rPr>
            </w:pPr>
            <w:r>
              <w:rPr>
                <w:rFonts w:ascii="Calibri" w:eastAsia="Calibri" w:hAnsi="Calibri" w:cs="Calibri"/>
                <w:b/>
              </w:rPr>
              <w:t>TWG Rationale:</w:t>
            </w:r>
          </w:p>
          <w:p w14:paraId="5A5BE76D" w14:textId="3B806819" w:rsidR="006D2440" w:rsidRPr="00601013" w:rsidRDefault="0009578A" w:rsidP="00601013">
            <w:pPr>
              <w:spacing w:after="120"/>
              <w:rPr>
                <w:rFonts w:ascii="Calibri" w:eastAsia="Calibri" w:hAnsi="Calibri" w:cs="Calibri"/>
                <w:bCs/>
              </w:rPr>
            </w:pPr>
            <w:r>
              <w:rPr>
                <w:rFonts w:ascii="Calibri" w:eastAsia="Calibri" w:hAnsi="Calibri" w:cs="Calibri"/>
                <w:bCs/>
              </w:rPr>
              <w:t xml:space="preserve">In the implementation consideration.  All the principles need to be </w:t>
            </w:r>
            <w:proofErr w:type="gramStart"/>
            <w:r>
              <w:rPr>
                <w:rFonts w:ascii="Calibri" w:eastAsia="Calibri" w:hAnsi="Calibri" w:cs="Calibri"/>
                <w:bCs/>
              </w:rPr>
              <w:t>taken into account</w:t>
            </w:r>
            <w:proofErr w:type="gramEnd"/>
            <w:r>
              <w:rPr>
                <w:rFonts w:ascii="Calibri" w:eastAsia="Calibri" w:hAnsi="Calibri" w:cs="Calibri"/>
                <w:bCs/>
              </w:rPr>
              <w:t xml:space="preserve">.  </w:t>
            </w:r>
          </w:p>
        </w:tc>
      </w:tr>
    </w:tbl>
    <w:p w14:paraId="4EDBAB29" w14:textId="534142EC" w:rsidR="00386893" w:rsidRPr="008E7FF0" w:rsidRDefault="00386893" w:rsidP="008E7FF0">
      <w:pPr>
        <w:pStyle w:val="Style4"/>
        <w:rPr>
          <w:color w:val="4F6228" w:themeColor="accent3" w:themeShade="80"/>
        </w:rPr>
      </w:pPr>
      <w:bookmarkStart w:id="65" w:name="_mc6ke3j2y689" w:colFirst="0" w:colLast="0"/>
      <w:bookmarkEnd w:id="65"/>
      <w:r w:rsidRPr="008E7FF0">
        <w:rPr>
          <w:color w:val="4F6228" w:themeColor="accent3" w:themeShade="80"/>
        </w:rPr>
        <w:t>Mental Health Reference Group Recommendations</w:t>
      </w:r>
    </w:p>
    <w:p w14:paraId="19A145BE" w14:textId="77777777" w:rsidR="006D2440" w:rsidRDefault="004D7CE6" w:rsidP="008E7FF0">
      <w:pPr>
        <w:pStyle w:val="Style3"/>
      </w:pPr>
      <w:r>
        <w:t>Recommendation 14 – Increase access to telehealth services</w:t>
      </w:r>
    </w:p>
    <w:p w14:paraId="5AFD5A92" w14:textId="77777777" w:rsidR="006D2440" w:rsidRDefault="004D7CE6" w:rsidP="00165E5B">
      <w:pPr>
        <w:spacing w:after="120" w:line="240" w:lineRule="auto"/>
        <w:rPr>
          <w:rFonts w:ascii="Calibri" w:eastAsia="Calibri" w:hAnsi="Calibri" w:cs="Calibri"/>
        </w:rPr>
      </w:pPr>
      <w:bookmarkStart w:id="66" w:name="_3rdcrjn" w:colFirst="0" w:colLast="0"/>
      <w:bookmarkEnd w:id="66"/>
      <w:r>
        <w:rPr>
          <w:rFonts w:ascii="Calibri" w:eastAsia="Calibri" w:hAnsi="Calibri" w:cs="Calibri"/>
        </w:rPr>
        <w:t>The Reference Group recommends a review of the recent announced expansion of access to mental health telehealth services in rural and remote areas in two years to:</w:t>
      </w:r>
    </w:p>
    <w:p w14:paraId="448876FE" w14:textId="77777777" w:rsidR="006D2440" w:rsidRDefault="004D7CE6" w:rsidP="00165E5B">
      <w:pPr>
        <w:numPr>
          <w:ilvl w:val="0"/>
          <w:numId w:val="27"/>
        </w:numPr>
        <w:spacing w:after="120" w:line="240" w:lineRule="auto"/>
        <w:ind w:left="851" w:right="142"/>
        <w:rPr>
          <w:rFonts w:ascii="Calibri" w:eastAsia="Calibri" w:hAnsi="Calibri" w:cs="Calibri"/>
        </w:rPr>
      </w:pPr>
      <w:r>
        <w:rPr>
          <w:rFonts w:ascii="Calibri" w:eastAsia="Calibri" w:hAnsi="Calibri" w:cs="Calibri"/>
        </w:rPr>
        <w:t xml:space="preserve">Assess whether it has delivered the hoped-for outcomes, and </w:t>
      </w:r>
    </w:p>
    <w:p w14:paraId="4249D3F4" w14:textId="77777777" w:rsidR="006D2440" w:rsidRDefault="004D7CE6" w:rsidP="00165E5B">
      <w:pPr>
        <w:numPr>
          <w:ilvl w:val="0"/>
          <w:numId w:val="27"/>
        </w:numPr>
        <w:spacing w:after="120" w:line="240" w:lineRule="auto"/>
        <w:ind w:left="851" w:right="142"/>
        <w:rPr>
          <w:rFonts w:ascii="Calibri" w:eastAsia="Calibri" w:hAnsi="Calibri" w:cs="Calibri"/>
        </w:rPr>
      </w:pPr>
      <w:r>
        <w:rPr>
          <w:rFonts w:ascii="Calibri" w:eastAsia="Calibri" w:hAnsi="Calibri" w:cs="Calibri"/>
        </w:rPr>
        <w:t>Ensure that the change is a permanent one and is not seen as a temporary emergency fix.</w:t>
      </w:r>
    </w:p>
    <w:p w14:paraId="2554FDC7" w14:textId="77777777" w:rsidR="006D2440" w:rsidRDefault="004D7CE6" w:rsidP="00165E5B">
      <w:pPr>
        <w:pStyle w:val="Style4"/>
        <w:spacing w:before="0" w:line="240" w:lineRule="auto"/>
      </w:pPr>
      <w:bookmarkStart w:id="67" w:name="_26in1rg" w:colFirst="0" w:colLast="0"/>
      <w:bookmarkEnd w:id="67"/>
      <w:r>
        <w:t>Rationale 14</w:t>
      </w:r>
    </w:p>
    <w:p w14:paraId="48986F5E" w14:textId="77777777" w:rsidR="006D2440" w:rsidRDefault="004D7CE6" w:rsidP="00165E5B">
      <w:pPr>
        <w:spacing w:after="120" w:line="240" w:lineRule="auto"/>
        <w:rPr>
          <w:rFonts w:ascii="Calibri" w:eastAsia="Calibri" w:hAnsi="Calibri" w:cs="Calibri"/>
        </w:rPr>
      </w:pPr>
      <w:r>
        <w:rPr>
          <w:rFonts w:ascii="Calibri" w:eastAsia="Calibri" w:hAnsi="Calibri" w:cs="Calibri"/>
        </w:rPr>
        <w:t>This recommendation notes the Reference Group’s agreement with a recent decision to increase availability of telehealth services. It is based on the following:</w:t>
      </w:r>
    </w:p>
    <w:p w14:paraId="1AF54C35" w14:textId="77777777" w:rsidR="006D2440" w:rsidRDefault="004D7CE6" w:rsidP="00165E5B">
      <w:pPr>
        <w:spacing w:after="120" w:line="240" w:lineRule="auto"/>
        <w:ind w:left="431"/>
        <w:rPr>
          <w:rFonts w:ascii="Calibri" w:eastAsia="Calibri" w:hAnsi="Calibri" w:cs="Calibri"/>
        </w:rPr>
      </w:pPr>
      <w:r>
        <w:rPr>
          <w:rFonts w:ascii="Calibri" w:eastAsia="Calibri" w:hAnsi="Calibri" w:cs="Calibri"/>
        </w:rPr>
        <w:t xml:space="preserve">The Reference Group agreed that telehealth services were high value care for patients. However, the Reference Group agreed that there was a risk that this decision reflected a temporary change given the current state of drought, and </w:t>
      </w:r>
      <w:proofErr w:type="spellStart"/>
      <w:r>
        <w:rPr>
          <w:rFonts w:ascii="Calibri" w:eastAsia="Calibri" w:hAnsi="Calibri" w:cs="Calibri"/>
        </w:rPr>
        <w:t>emphasised</w:t>
      </w:r>
      <w:proofErr w:type="spellEnd"/>
      <w:r>
        <w:rPr>
          <w:rFonts w:ascii="Calibri" w:eastAsia="Calibri" w:hAnsi="Calibri" w:cs="Calibri"/>
        </w:rPr>
        <w:t xml:space="preserve"> that this decision should permanently enable all Better Access sessions to be offered via telehealth.</w:t>
      </w:r>
    </w:p>
    <w:p w14:paraId="4F7945AD"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The Reference Group discussed the recent announcement expanding access to telehealth services in rural and remote areas. The change, effective from 1 September 2018, allows eligible patients in rural and remote areas to access </w:t>
      </w:r>
      <w:proofErr w:type="gramStart"/>
      <w:r>
        <w:rPr>
          <w:rFonts w:ascii="Calibri" w:eastAsia="Calibri" w:hAnsi="Calibri" w:cs="Calibri"/>
        </w:rPr>
        <w:t>all of</w:t>
      </w:r>
      <w:proofErr w:type="gramEnd"/>
      <w:r>
        <w:rPr>
          <w:rFonts w:ascii="Calibri" w:eastAsia="Calibri" w:hAnsi="Calibri" w:cs="Calibri"/>
        </w:rPr>
        <w:t xml:space="preserve"> their Better Access sessions via videoconference (as opposed to seven out of 10 sessions) (21).</w:t>
      </w:r>
    </w:p>
    <w:p w14:paraId="7A72CF11"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 Reference Group supports telehealth access for people with disabilities, frail and elderly people and those residing in rural and remote areas, when accessed through their usual GP.</w:t>
      </w:r>
    </w:p>
    <w:p w14:paraId="217EBB7C" w14:textId="77777777" w:rsidR="006D2440" w:rsidRDefault="004D7CE6" w:rsidP="00165E5B">
      <w:pPr>
        <w:spacing w:after="120" w:line="240" w:lineRule="auto"/>
        <w:rPr>
          <w:rFonts w:ascii="Calibri" w:eastAsia="Calibri" w:hAnsi="Calibri" w:cs="Calibri"/>
        </w:rPr>
      </w:pPr>
      <w:r>
        <w:br w:type="page"/>
      </w:r>
    </w:p>
    <w:p w14:paraId="15EB44B6" w14:textId="77777777" w:rsidR="006D2440" w:rsidRDefault="004D7CE6">
      <w:pPr>
        <w:pStyle w:val="Heading1"/>
        <w:keepLines w:val="0"/>
        <w:widowControl w:val="0"/>
        <w:pBdr>
          <w:bottom w:val="single" w:sz="16" w:space="11" w:color="BFBFBF"/>
        </w:pBdr>
        <w:spacing w:before="720" w:after="720" w:line="312" w:lineRule="auto"/>
        <w:ind w:left="432"/>
        <w:rPr>
          <w:rFonts w:ascii="Calibri" w:eastAsia="Calibri" w:hAnsi="Calibri" w:cs="Calibri"/>
          <w:b/>
          <w:color w:val="01653F"/>
        </w:rPr>
      </w:pPr>
      <w:bookmarkStart w:id="68" w:name="_Toc42764246"/>
      <w:r>
        <w:rPr>
          <w:rFonts w:ascii="Calibri" w:eastAsia="Calibri" w:hAnsi="Calibri" w:cs="Calibri"/>
          <w:b/>
          <w:color w:val="01653F"/>
        </w:rPr>
        <w:lastRenderedPageBreak/>
        <w:t>Nurse Practitioners Reference Group</w:t>
      </w:r>
      <w:bookmarkEnd w:id="68"/>
    </w:p>
    <w:p w14:paraId="7DB7CA96" w14:textId="6031FAF2" w:rsidR="006D2440" w:rsidRPr="008E7FF0" w:rsidRDefault="00004598" w:rsidP="008E7FF0">
      <w:pPr>
        <w:pStyle w:val="Style4"/>
        <w:rPr>
          <w:color w:val="4F6228" w:themeColor="accent3" w:themeShade="80"/>
        </w:rPr>
      </w:pPr>
      <w:r w:rsidRPr="008E7FF0">
        <w:rPr>
          <w:color w:val="4F6228" w:themeColor="accent3" w:themeShade="80"/>
        </w:rPr>
        <w:t>Telehealth Working Group Consideration</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570F24FA" w14:textId="77777777">
        <w:tc>
          <w:tcPr>
            <w:tcW w:w="10206" w:type="dxa"/>
            <w:tcBorders>
              <w:top w:val="single" w:sz="4" w:space="0" w:color="000000"/>
              <w:left w:val="single" w:sz="4" w:space="0" w:color="000000"/>
              <w:bottom w:val="single" w:sz="4" w:space="0" w:color="000000"/>
              <w:right w:val="single" w:sz="4" w:space="0" w:color="000000"/>
            </w:tcBorders>
            <w:shd w:val="clear" w:color="auto" w:fill="DBE5F1"/>
          </w:tcPr>
          <w:p w14:paraId="0EE3DFD8" w14:textId="0385E754" w:rsidR="006D2440" w:rsidRDefault="004D7CE6">
            <w:pPr>
              <w:spacing w:before="120"/>
              <w:ind w:right="142"/>
              <w:rPr>
                <w:rFonts w:ascii="Calibri" w:eastAsia="Calibri" w:hAnsi="Calibri" w:cs="Calibri"/>
              </w:rPr>
            </w:pPr>
            <w:r>
              <w:rPr>
                <w:rFonts w:ascii="Calibri" w:eastAsia="Calibri" w:hAnsi="Calibri" w:cs="Calibri"/>
                <w:b/>
              </w:rPr>
              <w:t xml:space="preserve">Telehealth Recommendation </w:t>
            </w:r>
            <w:r w:rsidR="000E2172">
              <w:rPr>
                <w:rFonts w:ascii="Calibri" w:eastAsia="Calibri" w:hAnsi="Calibri" w:cs="Calibri"/>
                <w:b/>
              </w:rPr>
              <w:t>4</w:t>
            </w:r>
            <w:r>
              <w:rPr>
                <w:rFonts w:ascii="Calibri" w:eastAsia="Calibri" w:hAnsi="Calibri" w:cs="Calibri"/>
                <w:b/>
              </w:rPr>
              <w:t xml:space="preserve"> of 21: </w:t>
            </w:r>
            <w:r w:rsidRPr="008E7FF0">
              <w:rPr>
                <w:rFonts w:ascii="Calibri" w:eastAsia="Calibri" w:hAnsi="Calibri" w:cs="Calibri"/>
                <w:b/>
              </w:rPr>
              <w:t>Nurse Practitioners Reference Group Recommendation 11</w:t>
            </w:r>
            <w:r w:rsidR="000959AE">
              <w:rPr>
                <w:rFonts w:ascii="Calibri" w:eastAsia="Calibri" w:hAnsi="Calibri" w:cs="Calibri"/>
                <w:b/>
              </w:rPr>
              <w:t xml:space="preserve"> - </w:t>
            </w:r>
            <w:r w:rsidR="000959AE">
              <w:rPr>
                <w:rFonts w:ascii="Calibri" w:eastAsia="Calibri" w:hAnsi="Calibri" w:cs="Calibri"/>
              </w:rPr>
              <w:t>Add GPs as eligible participants in Nurse Practitioners patient-side telehealth services</w:t>
            </w:r>
          </w:p>
        </w:tc>
      </w:tr>
      <w:tr w:rsidR="00716DA7" w14:paraId="5C8D2D7B" w14:textId="77777777">
        <w:tc>
          <w:tcPr>
            <w:tcW w:w="10206" w:type="dxa"/>
            <w:tcBorders>
              <w:top w:val="single" w:sz="4" w:space="0" w:color="000000"/>
              <w:left w:val="single" w:sz="4" w:space="0" w:color="000000"/>
              <w:bottom w:val="single" w:sz="4" w:space="0" w:color="000000"/>
              <w:right w:val="single" w:sz="4" w:space="0" w:color="000000"/>
            </w:tcBorders>
            <w:shd w:val="clear" w:color="auto" w:fill="E5B8B7"/>
          </w:tcPr>
          <w:p w14:paraId="7B0A7DE8" w14:textId="67A0B4F7" w:rsidR="006D2440" w:rsidRDefault="000959AE" w:rsidP="008E7FF0">
            <w:pPr>
              <w:spacing w:before="120"/>
              <w:rPr>
                <w:rFonts w:ascii="Calibri" w:eastAsia="Calibri" w:hAnsi="Calibri" w:cs="Calibri"/>
              </w:rPr>
            </w:pPr>
            <w:r>
              <w:rPr>
                <w:rFonts w:ascii="Calibri" w:eastAsia="Calibri" w:hAnsi="Calibri" w:cs="Calibri"/>
                <w:b/>
              </w:rPr>
              <w:t xml:space="preserve">TWG </w:t>
            </w:r>
            <w:r w:rsidR="004D7CE6">
              <w:rPr>
                <w:rFonts w:ascii="Calibri" w:eastAsia="Calibri" w:hAnsi="Calibri" w:cs="Calibri"/>
                <w:b/>
              </w:rPr>
              <w:t xml:space="preserve">Recommendation: </w:t>
            </w:r>
            <w:r>
              <w:rPr>
                <w:rFonts w:ascii="Calibri" w:eastAsia="Calibri" w:hAnsi="Calibri" w:cs="Calibri"/>
              </w:rPr>
              <w:t>The TWG support</w:t>
            </w:r>
            <w:r w:rsidR="00B64AEB">
              <w:rPr>
                <w:rFonts w:ascii="Calibri" w:eastAsia="Calibri" w:hAnsi="Calibri" w:cs="Calibri"/>
              </w:rPr>
              <w:t>ed</w:t>
            </w:r>
            <w:r>
              <w:rPr>
                <w:rFonts w:ascii="Calibri" w:eastAsia="Calibri" w:hAnsi="Calibri" w:cs="Calibri"/>
              </w:rPr>
              <w:t xml:space="preserve"> this recommendation.</w:t>
            </w:r>
          </w:p>
        </w:tc>
      </w:tr>
      <w:tr w:rsidR="00716DA7" w14:paraId="24637C43" w14:textId="77777777">
        <w:tc>
          <w:tcPr>
            <w:tcW w:w="10206" w:type="dxa"/>
            <w:tcBorders>
              <w:top w:val="single" w:sz="4" w:space="0" w:color="000000"/>
              <w:left w:val="single" w:sz="4" w:space="0" w:color="000000"/>
              <w:bottom w:val="single" w:sz="4" w:space="0" w:color="000000"/>
              <w:right w:val="single" w:sz="4" w:space="0" w:color="000000"/>
            </w:tcBorders>
            <w:shd w:val="clear" w:color="auto" w:fill="FFFFFF"/>
          </w:tcPr>
          <w:p w14:paraId="2F16BFCC" w14:textId="26548405" w:rsidR="006D2440" w:rsidRDefault="006E452B">
            <w:pPr>
              <w:spacing w:before="120"/>
              <w:rPr>
                <w:rFonts w:ascii="Calibri" w:eastAsia="Calibri" w:hAnsi="Calibri" w:cs="Calibri"/>
                <w:b/>
              </w:rPr>
            </w:pPr>
            <w:r>
              <w:rPr>
                <w:rFonts w:ascii="Calibri" w:eastAsia="Calibri" w:hAnsi="Calibri" w:cs="Calibri"/>
                <w:b/>
              </w:rPr>
              <w:t>TWG Rationale:</w:t>
            </w:r>
          </w:p>
          <w:p w14:paraId="265EF82C" w14:textId="2F2D73D7" w:rsidR="006D2440" w:rsidRPr="006E452B" w:rsidRDefault="004D7CE6">
            <w:pPr>
              <w:spacing w:before="120"/>
              <w:rPr>
                <w:rFonts w:ascii="Calibri" w:eastAsia="Calibri" w:hAnsi="Calibri" w:cs="Calibri"/>
              </w:rPr>
            </w:pPr>
            <w:r>
              <w:rPr>
                <w:rFonts w:ascii="Calibri" w:eastAsia="Calibri" w:hAnsi="Calibri" w:cs="Calibri"/>
              </w:rPr>
              <w:t xml:space="preserve">This recommendation is in line with Guiding Principle 5 </w:t>
            </w:r>
            <w:r>
              <w:rPr>
                <w:rFonts w:ascii="Calibri" w:eastAsia="Calibri" w:hAnsi="Calibri" w:cs="Calibri"/>
                <w:i/>
              </w:rPr>
              <w:t>MBS Telehealth should aim to have clinicians at both ends of the interaction with the patient to support optimal clinical interchange.</w:t>
            </w:r>
          </w:p>
        </w:tc>
      </w:tr>
    </w:tbl>
    <w:p w14:paraId="17A2ECBC" w14:textId="77777777" w:rsidR="006D2440" w:rsidRDefault="006D2440">
      <w:pPr>
        <w:spacing w:line="240" w:lineRule="auto"/>
        <w:jc w:val="both"/>
        <w:rPr>
          <w:rFonts w:ascii="Calibri" w:eastAsia="Calibri" w:hAnsi="Calibri" w:cs="Calibri"/>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77C01004"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6060AC55" w14:textId="05CB8FC2" w:rsidR="006D2440" w:rsidRDefault="004D7CE6" w:rsidP="000E2172">
            <w:pPr>
              <w:spacing w:before="120"/>
              <w:ind w:right="142"/>
              <w:rPr>
                <w:rFonts w:ascii="Calibri" w:eastAsia="Calibri" w:hAnsi="Calibri" w:cs="Calibri"/>
                <w:b/>
              </w:rPr>
            </w:pPr>
            <w:r>
              <w:rPr>
                <w:rFonts w:ascii="Calibri" w:eastAsia="Calibri" w:hAnsi="Calibri" w:cs="Calibri"/>
                <w:b/>
              </w:rPr>
              <w:t xml:space="preserve">Telehealth Recommendation </w:t>
            </w:r>
            <w:r w:rsidR="000E2172">
              <w:rPr>
                <w:rFonts w:ascii="Calibri" w:eastAsia="Calibri" w:hAnsi="Calibri" w:cs="Calibri"/>
                <w:b/>
              </w:rPr>
              <w:t>5</w:t>
            </w:r>
            <w:r>
              <w:rPr>
                <w:rFonts w:ascii="Calibri" w:eastAsia="Calibri" w:hAnsi="Calibri" w:cs="Calibri"/>
                <w:b/>
              </w:rPr>
              <w:t xml:space="preserve"> of 21: </w:t>
            </w:r>
            <w:r w:rsidRPr="008E7FF0">
              <w:rPr>
                <w:rFonts w:ascii="Calibri" w:eastAsia="Calibri" w:hAnsi="Calibri" w:cs="Calibri"/>
                <w:b/>
              </w:rPr>
              <w:t>Nurse Practitioners Reference Group Recommendation 12</w:t>
            </w:r>
            <w:r w:rsidR="00124B8C">
              <w:rPr>
                <w:rFonts w:ascii="Calibri" w:eastAsia="Calibri" w:hAnsi="Calibri" w:cs="Calibri"/>
                <w:b/>
              </w:rPr>
              <w:t xml:space="preserve"> - </w:t>
            </w:r>
            <w:r w:rsidR="00124B8C">
              <w:rPr>
                <w:rFonts w:ascii="Calibri" w:eastAsia="Calibri" w:hAnsi="Calibri" w:cs="Calibri"/>
              </w:rPr>
              <w:t>Add patients in community aged care settings to residential aged care telehealth items</w:t>
            </w:r>
          </w:p>
        </w:tc>
      </w:tr>
      <w:tr w:rsidR="00716DA7" w14:paraId="36D6336E"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1E33732C" w14:textId="37239798" w:rsidR="006D2440" w:rsidRDefault="00124B8C" w:rsidP="008E7FF0">
            <w:pPr>
              <w:spacing w:before="120"/>
              <w:rPr>
                <w:rFonts w:ascii="Calibri" w:eastAsia="Calibri" w:hAnsi="Calibri" w:cs="Calibri"/>
              </w:rPr>
            </w:pPr>
            <w:r>
              <w:rPr>
                <w:rFonts w:ascii="Calibri" w:eastAsia="Calibri" w:hAnsi="Calibri" w:cs="Calibri"/>
                <w:b/>
              </w:rPr>
              <w:t xml:space="preserve">TWG </w:t>
            </w:r>
            <w:r w:rsidR="004D7CE6">
              <w:rPr>
                <w:rFonts w:ascii="Calibri" w:eastAsia="Calibri" w:hAnsi="Calibri" w:cs="Calibri"/>
                <w:b/>
              </w:rPr>
              <w:t xml:space="preserve">Recommendation:  </w:t>
            </w:r>
            <w:r w:rsidR="00BE0804">
              <w:rPr>
                <w:rFonts w:ascii="Calibri" w:eastAsia="Calibri" w:hAnsi="Calibri" w:cs="Calibri"/>
              </w:rPr>
              <w:t>The TWG</w:t>
            </w:r>
            <w:r>
              <w:rPr>
                <w:rFonts w:ascii="Calibri" w:eastAsia="Calibri" w:hAnsi="Calibri" w:cs="Calibri"/>
              </w:rPr>
              <w:t xml:space="preserve"> supported</w:t>
            </w:r>
            <w:r w:rsidR="00BE0804">
              <w:rPr>
                <w:rFonts w:ascii="Calibri" w:eastAsia="Calibri" w:hAnsi="Calibri" w:cs="Calibri"/>
              </w:rPr>
              <w:t xml:space="preserve"> this recommendation</w:t>
            </w:r>
            <w:r>
              <w:rPr>
                <w:rFonts w:ascii="Calibri" w:eastAsia="Calibri" w:hAnsi="Calibri" w:cs="Calibri"/>
              </w:rPr>
              <w:t>.</w:t>
            </w:r>
          </w:p>
        </w:tc>
      </w:tr>
      <w:tr w:rsidR="00716DA7" w14:paraId="0D235141"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55D7850" w14:textId="40E532FC" w:rsidR="00124B8C" w:rsidRDefault="00124B8C">
            <w:pPr>
              <w:spacing w:before="120"/>
              <w:rPr>
                <w:rFonts w:ascii="Calibri" w:eastAsia="Calibri" w:hAnsi="Calibri" w:cs="Calibri"/>
                <w:b/>
              </w:rPr>
            </w:pPr>
            <w:r>
              <w:rPr>
                <w:rFonts w:ascii="Calibri" w:eastAsia="Calibri" w:hAnsi="Calibri" w:cs="Calibri"/>
                <w:b/>
              </w:rPr>
              <w:t>TWG Rationale:</w:t>
            </w:r>
          </w:p>
          <w:p w14:paraId="1133A120" w14:textId="5DA3122A" w:rsidR="006D2440" w:rsidRPr="006E452B" w:rsidRDefault="004D7CE6" w:rsidP="6EE85499">
            <w:pPr>
              <w:spacing w:before="120"/>
              <w:rPr>
                <w:rFonts w:ascii="Calibri" w:eastAsia="Calibri" w:hAnsi="Calibri" w:cs="Calibri"/>
                <w:i/>
                <w:iCs/>
              </w:rPr>
            </w:pPr>
            <w:r w:rsidRPr="006E452B">
              <w:rPr>
                <w:rFonts w:ascii="Calibri" w:eastAsia="Calibri" w:hAnsi="Calibri" w:cs="Calibri"/>
              </w:rPr>
              <w:t xml:space="preserve">This recommendation specifically mentions increasing “access to, and use of, telehealth services for patients who face difficulties accessing their primary health provider despite living in urban areas”- this complements Principle 1 </w:t>
            </w:r>
            <w:r w:rsidR="006E452B" w:rsidRPr="006E452B">
              <w:rPr>
                <w:rFonts w:asciiTheme="majorHAnsi" w:eastAsia="Calibri" w:hAnsiTheme="majorHAnsi" w:cstheme="majorHAnsi"/>
                <w:i/>
              </w:rPr>
              <w:t>Should be patient-focused, and based on patient need, rather than geographical location</w:t>
            </w:r>
            <w:r w:rsidRPr="006E452B">
              <w:rPr>
                <w:rFonts w:ascii="Calibri" w:eastAsia="Calibri" w:hAnsi="Calibri" w:cs="Calibri"/>
                <w:i/>
                <w:iCs/>
              </w:rPr>
              <w:t>.</w:t>
            </w:r>
          </w:p>
          <w:p w14:paraId="20B2F9BB" w14:textId="36E6D0B5" w:rsidR="006D2440" w:rsidRPr="00F12447" w:rsidRDefault="00657DA4" w:rsidP="00996788">
            <w:pPr>
              <w:spacing w:before="120"/>
              <w:rPr>
                <w:rFonts w:ascii="Calibri" w:eastAsia="Calibri" w:hAnsi="Calibri" w:cs="Calibri"/>
                <w:i/>
                <w:iCs/>
              </w:rPr>
            </w:pPr>
            <w:r w:rsidRPr="006E452B">
              <w:rPr>
                <w:rFonts w:ascii="Calibri" w:eastAsia="Calibri" w:hAnsi="Calibri" w:cs="Calibri"/>
              </w:rPr>
              <w:t xml:space="preserve">Any implementation of </w:t>
            </w:r>
            <w:r w:rsidR="004D7CE6" w:rsidRPr="006E452B">
              <w:rPr>
                <w:rFonts w:ascii="Calibri" w:eastAsia="Calibri" w:hAnsi="Calibri" w:cs="Calibri"/>
              </w:rPr>
              <w:t>Th</w:t>
            </w:r>
            <w:r w:rsidR="00BE0804" w:rsidRPr="006E452B">
              <w:rPr>
                <w:rFonts w:ascii="Calibri" w:eastAsia="Calibri" w:hAnsi="Calibri" w:cs="Calibri"/>
              </w:rPr>
              <w:t xml:space="preserve">is </w:t>
            </w:r>
            <w:r w:rsidRPr="006E452B">
              <w:rPr>
                <w:rFonts w:ascii="Calibri" w:eastAsia="Calibri" w:hAnsi="Calibri" w:cs="Calibri"/>
              </w:rPr>
              <w:t xml:space="preserve">recommendation needs to deliver consistency with </w:t>
            </w:r>
            <w:r w:rsidR="00F12447" w:rsidRPr="006E452B">
              <w:rPr>
                <w:rFonts w:ascii="Calibri" w:eastAsia="Calibri" w:hAnsi="Calibri" w:cs="Calibri"/>
              </w:rPr>
              <w:t xml:space="preserve">Principle </w:t>
            </w:r>
            <w:r w:rsidR="00F12447">
              <w:rPr>
                <w:rFonts w:ascii="Calibri" w:eastAsia="Calibri" w:hAnsi="Calibri" w:cs="Calibri"/>
              </w:rPr>
              <w:t>2</w:t>
            </w:r>
            <w:r w:rsidR="00F12447" w:rsidRPr="006E452B">
              <w:rPr>
                <w:rFonts w:asciiTheme="majorHAnsi" w:eastAsia="Calibri" w:hAnsiTheme="majorHAnsi" w:cstheme="majorHAnsi"/>
              </w:rPr>
              <w:t xml:space="preserve"> </w:t>
            </w:r>
            <w:r w:rsidR="00F12447" w:rsidRPr="00F12447">
              <w:rPr>
                <w:rFonts w:asciiTheme="majorHAnsi" w:eastAsia="Calibri" w:hAnsiTheme="majorHAnsi" w:cstheme="majorHAnsi"/>
                <w:i/>
              </w:rPr>
              <w:t>M</w:t>
            </w:r>
            <w:r w:rsidR="00F12447" w:rsidRPr="006E452B">
              <w:rPr>
                <w:rFonts w:asciiTheme="majorHAnsi" w:eastAsia="Calibri" w:hAnsiTheme="majorHAnsi" w:cstheme="majorHAnsi"/>
                <w:i/>
                <w:iCs/>
              </w:rPr>
              <w:t>ust support and facilitate services that are clinically safe and efficacious for patients</w:t>
            </w:r>
            <w:r w:rsidR="00F12447">
              <w:rPr>
                <w:rFonts w:asciiTheme="majorHAnsi" w:eastAsia="Calibri" w:hAnsiTheme="majorHAnsi" w:cstheme="majorHAnsi"/>
                <w:iCs/>
              </w:rPr>
              <w:t xml:space="preserve"> and</w:t>
            </w:r>
            <w:r w:rsidR="00F12447" w:rsidRPr="006E452B">
              <w:rPr>
                <w:rFonts w:ascii="Calibri" w:eastAsia="Calibri" w:hAnsi="Calibri" w:cs="Calibri"/>
                <w:i/>
                <w:iCs/>
              </w:rPr>
              <w:t xml:space="preserve"> </w:t>
            </w:r>
            <w:r w:rsidR="004D7CE6" w:rsidRPr="006E452B">
              <w:rPr>
                <w:rFonts w:ascii="Calibri" w:eastAsia="Calibri" w:hAnsi="Calibri" w:cs="Calibri"/>
              </w:rPr>
              <w:t xml:space="preserve">Principle </w:t>
            </w:r>
            <w:r w:rsidR="006E452B">
              <w:rPr>
                <w:rFonts w:ascii="Calibri" w:eastAsia="Calibri" w:hAnsi="Calibri" w:cs="Calibri"/>
              </w:rPr>
              <w:t>4</w:t>
            </w:r>
            <w:r w:rsidR="004D7CE6" w:rsidRPr="006E452B">
              <w:rPr>
                <w:rFonts w:ascii="Calibri" w:eastAsia="Calibri" w:hAnsi="Calibri" w:cs="Calibri"/>
              </w:rPr>
              <w:t xml:space="preserve"> </w:t>
            </w:r>
            <w:r w:rsidR="006E452B" w:rsidRPr="006E452B">
              <w:rPr>
                <w:rFonts w:ascii="Calibri" w:eastAsia="Calibri" w:hAnsi="Calibri" w:cs="Calibri"/>
                <w:i/>
                <w:iCs/>
              </w:rPr>
              <w:t>Must not create unintended consequences or perverse incentives that undermine the role of face-to-face care</w:t>
            </w:r>
            <w:r w:rsidR="00426F44" w:rsidRPr="006E452B">
              <w:rPr>
                <w:rFonts w:ascii="Calibri" w:eastAsia="Calibri" w:hAnsi="Calibri" w:cs="Calibri"/>
                <w:i/>
                <w:iCs/>
              </w:rPr>
              <w:t xml:space="preserve"> </w:t>
            </w:r>
            <w:r w:rsidR="00426F44" w:rsidRPr="006E452B">
              <w:rPr>
                <w:rFonts w:ascii="Calibri" w:eastAsia="Calibri" w:hAnsi="Calibri" w:cs="Calibri"/>
              </w:rPr>
              <w:t xml:space="preserve">and </w:t>
            </w:r>
          </w:p>
        </w:tc>
      </w:tr>
    </w:tbl>
    <w:p w14:paraId="1EF0E7AF" w14:textId="77777777" w:rsidR="006D2440" w:rsidRDefault="006D2440">
      <w:pPr>
        <w:spacing w:line="240" w:lineRule="auto"/>
        <w:jc w:val="both"/>
        <w:rPr>
          <w:rFonts w:ascii="Calibri" w:eastAsia="Calibri" w:hAnsi="Calibri" w:cs="Calibri"/>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3E47D9F0"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1AF4D97A" w14:textId="7712628D" w:rsidR="006D2440" w:rsidRDefault="004D7CE6" w:rsidP="000E2172">
            <w:pPr>
              <w:spacing w:before="120"/>
              <w:ind w:right="142"/>
              <w:rPr>
                <w:rFonts w:ascii="Calibri" w:eastAsia="Calibri" w:hAnsi="Calibri" w:cs="Calibri"/>
                <w:b/>
              </w:rPr>
            </w:pPr>
            <w:r>
              <w:rPr>
                <w:rFonts w:ascii="Calibri" w:eastAsia="Calibri" w:hAnsi="Calibri" w:cs="Calibri"/>
                <w:b/>
              </w:rPr>
              <w:t xml:space="preserve">Telehealth Recommendation </w:t>
            </w:r>
            <w:r w:rsidR="000E2172">
              <w:rPr>
                <w:rFonts w:ascii="Calibri" w:eastAsia="Calibri" w:hAnsi="Calibri" w:cs="Calibri"/>
                <w:b/>
              </w:rPr>
              <w:t>6</w:t>
            </w:r>
            <w:r>
              <w:rPr>
                <w:rFonts w:ascii="Calibri" w:eastAsia="Calibri" w:hAnsi="Calibri" w:cs="Calibri"/>
                <w:b/>
              </w:rPr>
              <w:t xml:space="preserve"> of 21: </w:t>
            </w:r>
            <w:r w:rsidRPr="008E7FF0">
              <w:rPr>
                <w:rFonts w:ascii="Calibri" w:eastAsia="Calibri" w:hAnsi="Calibri" w:cs="Calibri"/>
                <w:b/>
              </w:rPr>
              <w:t>Nurse Practitioners Reference Group Recommendation 13</w:t>
            </w:r>
            <w:r w:rsidR="00124B8C">
              <w:rPr>
                <w:rFonts w:ascii="Calibri" w:eastAsia="Calibri" w:hAnsi="Calibri" w:cs="Calibri"/>
                <w:b/>
              </w:rPr>
              <w:t xml:space="preserve"> - </w:t>
            </w:r>
            <w:r w:rsidR="00124B8C">
              <w:rPr>
                <w:rFonts w:ascii="Calibri" w:eastAsia="Calibri" w:hAnsi="Calibri" w:cs="Calibri"/>
              </w:rPr>
              <w:t>New MBS items for direct NP-to-patient telehealth consultations</w:t>
            </w:r>
          </w:p>
        </w:tc>
      </w:tr>
      <w:tr w:rsidR="00716DA7" w14:paraId="13208FB6"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6580A400" w14:textId="77B20D33" w:rsidR="006D2440" w:rsidRDefault="00124B8C" w:rsidP="008E7FF0">
            <w:pPr>
              <w:spacing w:before="120"/>
              <w:rPr>
                <w:rFonts w:ascii="Calibri" w:eastAsia="Calibri" w:hAnsi="Calibri" w:cs="Calibri"/>
              </w:rPr>
            </w:pPr>
            <w:r>
              <w:rPr>
                <w:rFonts w:ascii="Calibri" w:eastAsia="Calibri" w:hAnsi="Calibri" w:cs="Calibri"/>
                <w:b/>
              </w:rPr>
              <w:t xml:space="preserve">TWG </w:t>
            </w:r>
            <w:r w:rsidR="004D7CE6">
              <w:rPr>
                <w:rFonts w:ascii="Calibri" w:eastAsia="Calibri" w:hAnsi="Calibri" w:cs="Calibri"/>
                <w:b/>
              </w:rPr>
              <w:t xml:space="preserve">Recommendation: </w:t>
            </w:r>
            <w:r w:rsidRPr="008E7FF0">
              <w:rPr>
                <w:rFonts w:ascii="Calibri" w:eastAsia="Calibri" w:hAnsi="Calibri" w:cs="Calibri"/>
              </w:rPr>
              <w:t>Not Supported</w:t>
            </w:r>
            <w:r w:rsidR="00392AFB">
              <w:rPr>
                <w:rFonts w:ascii="Calibri" w:eastAsia="Calibri" w:hAnsi="Calibri" w:cs="Calibri"/>
              </w:rPr>
              <w:t xml:space="preserve"> at this time</w:t>
            </w:r>
          </w:p>
        </w:tc>
      </w:tr>
      <w:tr w:rsidR="00716DA7" w14:paraId="3DF24454"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93B8FD" w14:textId="77777777" w:rsidR="00124B8C" w:rsidRDefault="00124B8C">
            <w:pPr>
              <w:spacing w:before="120"/>
              <w:rPr>
                <w:rFonts w:ascii="Calibri" w:eastAsia="Calibri" w:hAnsi="Calibri" w:cs="Calibri"/>
                <w:b/>
              </w:rPr>
            </w:pPr>
            <w:r>
              <w:rPr>
                <w:rFonts w:ascii="Calibri" w:eastAsia="Calibri" w:hAnsi="Calibri" w:cs="Calibri"/>
                <w:b/>
              </w:rPr>
              <w:t>TWG Rationale:</w:t>
            </w:r>
          </w:p>
          <w:p w14:paraId="189597EE" w14:textId="611177C1" w:rsidR="006D2440" w:rsidRPr="00F12447" w:rsidRDefault="004D7CE6">
            <w:pPr>
              <w:spacing w:before="120"/>
              <w:rPr>
                <w:rFonts w:ascii="Calibri" w:eastAsia="Calibri" w:hAnsi="Calibri" w:cs="Calibri"/>
              </w:rPr>
            </w:pPr>
            <w:r>
              <w:rPr>
                <w:rFonts w:ascii="Calibri" w:eastAsia="Calibri" w:hAnsi="Calibri" w:cs="Calibri"/>
              </w:rPr>
              <w:t>The TWG agreed that based on the principle of equivalence in quality of care, the group could not support this recommendation as separate MBS item numbers</w:t>
            </w:r>
            <w:r w:rsidR="00392AFB">
              <w:rPr>
                <w:rFonts w:ascii="Calibri" w:eastAsia="Calibri" w:hAnsi="Calibri" w:cs="Calibri"/>
              </w:rPr>
              <w:t xml:space="preserve"> at this time until training and scope of practice</w:t>
            </w:r>
            <w:r w:rsidR="00107F28">
              <w:rPr>
                <w:rFonts w:ascii="Calibri" w:eastAsia="Calibri" w:hAnsi="Calibri" w:cs="Calibri"/>
              </w:rPr>
              <w:t xml:space="preserve"> issues are resolved</w:t>
            </w:r>
            <w:r w:rsidR="00392AFB">
              <w:rPr>
                <w:rFonts w:ascii="Calibri" w:eastAsia="Calibri" w:hAnsi="Calibri" w:cs="Calibri"/>
              </w:rPr>
              <w:t>.  I</w:t>
            </w:r>
            <w:r w:rsidR="00D21186">
              <w:rPr>
                <w:rFonts w:ascii="Calibri" w:eastAsia="Calibri" w:hAnsi="Calibri" w:cs="Calibri"/>
              </w:rPr>
              <w:t xml:space="preserve">t </w:t>
            </w:r>
            <w:proofErr w:type="gramStart"/>
            <w:r w:rsidR="00D21186">
              <w:rPr>
                <w:rFonts w:ascii="Calibri" w:eastAsia="Calibri" w:hAnsi="Calibri" w:cs="Calibri"/>
              </w:rPr>
              <w:t>agree</w:t>
            </w:r>
            <w:proofErr w:type="gramEnd"/>
            <w:r w:rsidR="00D21186">
              <w:rPr>
                <w:rFonts w:ascii="Calibri" w:eastAsia="Calibri" w:hAnsi="Calibri" w:cs="Calibri"/>
              </w:rPr>
              <w:t xml:space="preserve"> that telehealth could be an option through different funding models which might include </w:t>
            </w:r>
            <w:r>
              <w:rPr>
                <w:rFonts w:ascii="Calibri" w:eastAsia="Calibri" w:hAnsi="Calibri" w:cs="Calibri"/>
              </w:rPr>
              <w:t>VPE</w:t>
            </w:r>
            <w:r w:rsidR="00EB51F2">
              <w:rPr>
                <w:rFonts w:ascii="Calibri" w:eastAsia="Calibri" w:hAnsi="Calibri" w:cs="Calibri"/>
              </w:rPr>
              <w:t xml:space="preserve"> </w:t>
            </w:r>
            <w:r w:rsidR="006C033C">
              <w:rPr>
                <w:rFonts w:ascii="Calibri" w:eastAsia="Calibri" w:hAnsi="Calibri" w:cs="Calibri"/>
              </w:rPr>
              <w:t>or Health Care Home</w:t>
            </w:r>
            <w:r w:rsidR="00EB51F2">
              <w:rPr>
                <w:rFonts w:ascii="Calibri" w:eastAsia="Calibri" w:hAnsi="Calibri" w:cs="Calibri"/>
              </w:rPr>
              <w:t xml:space="preserve"> blended</w:t>
            </w:r>
            <w:r w:rsidR="006C033C">
              <w:rPr>
                <w:rFonts w:ascii="Calibri" w:eastAsia="Calibri" w:hAnsi="Calibri" w:cs="Calibri"/>
              </w:rPr>
              <w:t xml:space="preserve"> fundin</w:t>
            </w:r>
            <w:r w:rsidR="00EB51F2">
              <w:rPr>
                <w:rFonts w:ascii="Calibri" w:eastAsia="Calibri" w:hAnsi="Calibri" w:cs="Calibri"/>
              </w:rPr>
              <w:t>g</w:t>
            </w:r>
            <w:r>
              <w:rPr>
                <w:rFonts w:ascii="Calibri" w:eastAsia="Calibri" w:hAnsi="Calibri" w:cs="Calibri"/>
              </w:rPr>
              <w:t>.</w:t>
            </w:r>
          </w:p>
        </w:tc>
      </w:tr>
    </w:tbl>
    <w:p w14:paraId="12340D34" w14:textId="77777777" w:rsidR="006D2440" w:rsidRDefault="006D2440">
      <w:pPr>
        <w:spacing w:line="240" w:lineRule="auto"/>
        <w:jc w:val="both"/>
        <w:rPr>
          <w:rFonts w:ascii="Calibri" w:eastAsia="Calibri" w:hAnsi="Calibri" w:cs="Calibri"/>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6B83771B"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71EB50B0" w14:textId="3DE2E87C" w:rsidR="006D2440" w:rsidRDefault="004D7CE6">
            <w:pPr>
              <w:spacing w:before="120"/>
              <w:ind w:right="142"/>
              <w:rPr>
                <w:rFonts w:ascii="Calibri" w:eastAsia="Calibri" w:hAnsi="Calibri" w:cs="Calibri"/>
                <w:b/>
              </w:rPr>
            </w:pPr>
            <w:r>
              <w:rPr>
                <w:rFonts w:ascii="Calibri" w:eastAsia="Calibri" w:hAnsi="Calibri" w:cs="Calibri"/>
                <w:b/>
              </w:rPr>
              <w:t xml:space="preserve">Telehealth Recommendation </w:t>
            </w:r>
            <w:r w:rsidR="000E2172">
              <w:rPr>
                <w:rFonts w:ascii="Calibri" w:eastAsia="Calibri" w:hAnsi="Calibri" w:cs="Calibri"/>
                <w:b/>
              </w:rPr>
              <w:t>7</w:t>
            </w:r>
            <w:r>
              <w:rPr>
                <w:rFonts w:ascii="Calibri" w:eastAsia="Calibri" w:hAnsi="Calibri" w:cs="Calibri"/>
                <w:b/>
              </w:rPr>
              <w:t xml:space="preserve"> of 21: </w:t>
            </w:r>
            <w:r w:rsidRPr="008E7FF0">
              <w:rPr>
                <w:rFonts w:ascii="Calibri" w:eastAsia="Calibri" w:hAnsi="Calibri" w:cs="Calibri"/>
                <w:b/>
              </w:rPr>
              <w:t>Nurse Practitioners Reference Group Recommendation 14</w:t>
            </w:r>
            <w:r w:rsidR="00124B8C">
              <w:rPr>
                <w:rFonts w:ascii="Calibri" w:eastAsia="Calibri" w:hAnsi="Calibri" w:cs="Calibri"/>
                <w:b/>
              </w:rPr>
              <w:t xml:space="preserve"> - </w:t>
            </w:r>
            <w:r w:rsidR="00124B8C">
              <w:rPr>
                <w:rFonts w:ascii="Calibri" w:eastAsia="Calibri" w:hAnsi="Calibri" w:cs="Calibri"/>
              </w:rPr>
              <w:t>Allow telehealth consultations to take place via telephone where clinically appropriate.</w:t>
            </w:r>
          </w:p>
        </w:tc>
      </w:tr>
      <w:tr w:rsidR="00716DA7" w14:paraId="3842A50C"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2D7D3AB9" w14:textId="44FDAF65" w:rsidR="006D2440" w:rsidRDefault="00124B8C" w:rsidP="008E7FF0">
            <w:pPr>
              <w:spacing w:before="120"/>
              <w:rPr>
                <w:rFonts w:ascii="Calibri" w:eastAsia="Calibri" w:hAnsi="Calibri" w:cs="Calibri"/>
              </w:rPr>
            </w:pPr>
            <w:r>
              <w:rPr>
                <w:rFonts w:ascii="Calibri" w:eastAsia="Calibri" w:hAnsi="Calibri" w:cs="Calibri"/>
                <w:b/>
              </w:rPr>
              <w:t xml:space="preserve">TWG </w:t>
            </w:r>
            <w:r w:rsidR="004D7CE6">
              <w:rPr>
                <w:rFonts w:ascii="Calibri" w:eastAsia="Calibri" w:hAnsi="Calibri" w:cs="Calibri"/>
                <w:b/>
              </w:rPr>
              <w:t>Recommendation:</w:t>
            </w:r>
            <w:r>
              <w:rPr>
                <w:rFonts w:ascii="Calibri" w:eastAsia="Calibri" w:hAnsi="Calibri" w:cs="Calibri"/>
                <w:b/>
              </w:rPr>
              <w:t xml:space="preserve"> </w:t>
            </w:r>
            <w:r w:rsidRPr="008E7FF0">
              <w:rPr>
                <w:rFonts w:ascii="Calibri" w:eastAsia="Calibri" w:hAnsi="Calibri" w:cs="Calibri"/>
              </w:rPr>
              <w:t>Supported</w:t>
            </w:r>
            <w:r w:rsidR="005F77B4">
              <w:rPr>
                <w:rFonts w:ascii="Calibri" w:eastAsia="Calibri" w:hAnsi="Calibri" w:cs="Calibri"/>
              </w:rPr>
              <w:t xml:space="preserve"> with qualification</w:t>
            </w:r>
          </w:p>
        </w:tc>
      </w:tr>
      <w:tr w:rsidR="00716DA7" w14:paraId="00F742C3"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08EFBE" w14:textId="77777777" w:rsidR="00124B8C" w:rsidRDefault="00124B8C">
            <w:pPr>
              <w:spacing w:before="120"/>
              <w:rPr>
                <w:rFonts w:ascii="Calibri" w:eastAsia="Calibri" w:hAnsi="Calibri" w:cs="Calibri"/>
                <w:b/>
              </w:rPr>
            </w:pPr>
            <w:r>
              <w:rPr>
                <w:rFonts w:ascii="Calibri" w:eastAsia="Calibri" w:hAnsi="Calibri" w:cs="Calibri"/>
                <w:b/>
              </w:rPr>
              <w:t>TWG Rationale:</w:t>
            </w:r>
          </w:p>
          <w:p w14:paraId="22F7369F" w14:textId="754B8FA1" w:rsidR="006D2440" w:rsidRPr="00F12447" w:rsidRDefault="004D7CE6" w:rsidP="00F12447">
            <w:pPr>
              <w:spacing w:before="120"/>
              <w:rPr>
                <w:rFonts w:ascii="Calibri" w:eastAsia="Calibri" w:hAnsi="Calibri" w:cs="Calibri"/>
              </w:rPr>
            </w:pPr>
            <w:r>
              <w:rPr>
                <w:rFonts w:ascii="Calibri" w:eastAsia="Calibri" w:hAnsi="Calibri" w:cs="Calibri"/>
              </w:rPr>
              <w:lastRenderedPageBreak/>
              <w:t>The TWG agreed on</w:t>
            </w:r>
            <w:r w:rsidR="005F77B4">
              <w:rPr>
                <w:rFonts w:ascii="Calibri" w:eastAsia="Calibri" w:hAnsi="Calibri" w:cs="Calibri"/>
              </w:rPr>
              <w:t xml:space="preserve"> a preference for video consultation</w:t>
            </w:r>
            <w:r w:rsidR="00D508A3">
              <w:rPr>
                <w:rFonts w:ascii="Calibri" w:eastAsia="Calibri" w:hAnsi="Calibri" w:cs="Calibri"/>
              </w:rPr>
              <w:t xml:space="preserve"> with telephone as the exception</w:t>
            </w:r>
            <w:r w:rsidR="005F77B4">
              <w:rPr>
                <w:rFonts w:ascii="Calibri" w:eastAsia="Calibri" w:hAnsi="Calibri" w:cs="Calibri"/>
              </w:rPr>
              <w:t xml:space="preserve"> because of rich</w:t>
            </w:r>
            <w:r w:rsidR="00E62DC4">
              <w:rPr>
                <w:rFonts w:ascii="Calibri" w:eastAsia="Calibri" w:hAnsi="Calibri" w:cs="Calibri"/>
              </w:rPr>
              <w:t xml:space="preserve">er information </w:t>
            </w:r>
            <w:r w:rsidR="00186887">
              <w:rPr>
                <w:rFonts w:ascii="Calibri" w:eastAsia="Calibri" w:hAnsi="Calibri" w:cs="Calibri"/>
              </w:rPr>
              <w:t>transfer</w:t>
            </w:r>
            <w:r w:rsidR="00D508A3">
              <w:rPr>
                <w:rFonts w:ascii="Calibri" w:eastAsia="Calibri" w:hAnsi="Calibri" w:cs="Calibri"/>
              </w:rPr>
              <w:t xml:space="preserve"> with video</w:t>
            </w:r>
            <w:r w:rsidR="00186887">
              <w:rPr>
                <w:rFonts w:ascii="Calibri" w:eastAsia="Calibri" w:hAnsi="Calibri" w:cs="Calibri"/>
              </w:rPr>
              <w:t xml:space="preserve"> </w:t>
            </w:r>
            <w:r w:rsidR="00636848">
              <w:rPr>
                <w:rFonts w:ascii="Calibri" w:eastAsia="Calibri" w:hAnsi="Calibri" w:cs="Calibri"/>
              </w:rPr>
              <w:t xml:space="preserve">in alignment with Principle </w:t>
            </w:r>
            <w:r w:rsidR="00F12447">
              <w:rPr>
                <w:rFonts w:ascii="Calibri" w:eastAsia="Calibri" w:hAnsi="Calibri" w:cs="Calibri"/>
              </w:rPr>
              <w:t>5</w:t>
            </w:r>
            <w:r w:rsidR="00636848">
              <w:rPr>
                <w:rFonts w:ascii="Calibri" w:eastAsia="Calibri" w:hAnsi="Calibri" w:cs="Calibri"/>
              </w:rPr>
              <w:t xml:space="preserve"> </w:t>
            </w:r>
            <w:r w:rsidR="00F12447" w:rsidRPr="00F12447">
              <w:rPr>
                <w:rFonts w:asciiTheme="majorHAnsi" w:hAnsiTheme="majorHAnsi"/>
                <w:i/>
                <w:iCs/>
                <w:lang w:val="en-AU"/>
              </w:rPr>
              <w:t>Should not be specific to the technology used but video offers richer information transfer and should be favoured over phone with fewer exceptions being allowed over time.</w:t>
            </w:r>
          </w:p>
        </w:tc>
      </w:tr>
    </w:tbl>
    <w:p w14:paraId="75B46067" w14:textId="4FFB6944" w:rsidR="00386893" w:rsidRPr="008E7FF0" w:rsidRDefault="00386893" w:rsidP="008E7FF0">
      <w:pPr>
        <w:pStyle w:val="Style4"/>
        <w:rPr>
          <w:color w:val="4F6228" w:themeColor="accent3" w:themeShade="80"/>
        </w:rPr>
      </w:pPr>
      <w:bookmarkStart w:id="69" w:name="_5oapq9sc2ql2" w:colFirst="0" w:colLast="0"/>
      <w:bookmarkEnd w:id="69"/>
      <w:r w:rsidRPr="008E7FF0">
        <w:rPr>
          <w:color w:val="4F6228" w:themeColor="accent3" w:themeShade="80"/>
        </w:rPr>
        <w:lastRenderedPageBreak/>
        <w:t>Nurse Practitioners Reference Group Recommendations</w:t>
      </w:r>
    </w:p>
    <w:p w14:paraId="4040CBB1" w14:textId="77777777" w:rsidR="006D2440" w:rsidRDefault="004D7CE6" w:rsidP="008E7FF0">
      <w:pPr>
        <w:pStyle w:val="Style3"/>
      </w:pPr>
      <w:r w:rsidRPr="008E7FF0">
        <w:t>Improving</w:t>
      </w:r>
      <w:r>
        <w:t xml:space="preserve"> patient access to telehealth services </w:t>
      </w:r>
    </w:p>
    <w:p w14:paraId="10D31930" w14:textId="77777777" w:rsidR="006D2440" w:rsidRDefault="004D7CE6" w:rsidP="008E7FF0">
      <w:pPr>
        <w:pStyle w:val="Style4"/>
      </w:pPr>
      <w:r>
        <w:t xml:space="preserve">The </w:t>
      </w:r>
      <w:r w:rsidRPr="007C3184">
        <w:t>role</w:t>
      </w:r>
      <w:r>
        <w:t xml:space="preserve"> of telehealth</w:t>
      </w:r>
    </w:p>
    <w:p w14:paraId="0D79F3FF" w14:textId="77777777" w:rsidR="006D2440" w:rsidRDefault="004D7CE6" w:rsidP="00165E5B">
      <w:pPr>
        <w:spacing w:after="120" w:line="240" w:lineRule="auto"/>
        <w:rPr>
          <w:rFonts w:ascii="Calibri" w:eastAsia="Calibri" w:hAnsi="Calibri" w:cs="Calibri"/>
        </w:rPr>
      </w:pPr>
      <w:r>
        <w:rPr>
          <w:rFonts w:ascii="Calibri" w:eastAsia="Calibri" w:hAnsi="Calibri" w:cs="Calibri"/>
        </w:rPr>
        <w:t xml:space="preserve">The Reference Group acknowledged that the role of non-face-to-face communications is an increasingly important one in health services and patient care. For NPs acting as a primary care giver, as well as those in more </w:t>
      </w:r>
      <w:proofErr w:type="spellStart"/>
      <w:r>
        <w:rPr>
          <w:rFonts w:ascii="Calibri" w:eastAsia="Calibri" w:hAnsi="Calibri" w:cs="Calibri"/>
        </w:rPr>
        <w:t>specialised</w:t>
      </w:r>
      <w:proofErr w:type="spellEnd"/>
      <w:r>
        <w:rPr>
          <w:rFonts w:ascii="Calibri" w:eastAsia="Calibri" w:hAnsi="Calibri" w:cs="Calibri"/>
        </w:rPr>
        <w:t xml:space="preserve"> roles, telehealth offers an opportunity to provide high-value care to patients who may not be able to see their health provider in person. </w:t>
      </w:r>
    </w:p>
    <w:p w14:paraId="1A9241E6" w14:textId="77777777" w:rsidR="006D2440" w:rsidRDefault="004D7CE6" w:rsidP="00165E5B">
      <w:pPr>
        <w:spacing w:after="120" w:line="240" w:lineRule="auto"/>
        <w:rPr>
          <w:rFonts w:ascii="Calibri" w:eastAsia="Calibri" w:hAnsi="Calibri" w:cs="Calibri"/>
        </w:rPr>
      </w:pPr>
      <w:r>
        <w:rPr>
          <w:rFonts w:ascii="Calibri" w:eastAsia="Calibri" w:hAnsi="Calibri" w:cs="Calibri"/>
        </w:rPr>
        <w:t xml:space="preserve">The Reference Group noted that the long-term solution for telehealth support, as part of a comprehensive suite of health services, may not be through a fee-for-service MBS. However, it felt it was important to include actionable, shorter-term recommendations for specific items, both existing and new, that could address the current service gap in telehealth. </w:t>
      </w:r>
    </w:p>
    <w:p w14:paraId="77F6DA3C" w14:textId="77777777" w:rsidR="006D2440" w:rsidRDefault="004D7CE6" w:rsidP="00165E5B">
      <w:pPr>
        <w:spacing w:after="120" w:line="240" w:lineRule="auto"/>
        <w:rPr>
          <w:rFonts w:ascii="Calibri" w:eastAsia="Calibri" w:hAnsi="Calibri" w:cs="Calibri"/>
        </w:rPr>
      </w:pPr>
      <w:r>
        <w:rPr>
          <w:rFonts w:ascii="Calibri" w:eastAsia="Calibri" w:hAnsi="Calibri" w:cs="Calibri"/>
        </w:rPr>
        <w:t xml:space="preserve">The Reference Group considered various restrictions on proposed telehealth items in order to ensure that they are not abused, and that telehealth is only used when it is a mechanism for providing high-value care to a patient. These included: </w:t>
      </w:r>
    </w:p>
    <w:p w14:paraId="541F2D27"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Rurality: Ensure that patients who use telehealth services are not easily able to access a relevant health provider for a face-to-face consultation.</w:t>
      </w:r>
    </w:p>
    <w:p w14:paraId="4B1406A9"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Usual practitioner: Ensure that patients receive telehealth support from a provider who is focused on the patient and is providing telehealth support because it is the best medium available (rather than being focused on telehealth and providing a service to a patient simply because the option is available).</w:t>
      </w:r>
    </w:p>
    <w:p w14:paraId="5A5064E6"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Follow-up care: Ensure that patients only receive telehealth support when the attendance is in relation to a clinical issue already discussed at a face-to-face consultation.</w:t>
      </w:r>
    </w:p>
    <w:p w14:paraId="593BADC9"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Patient-side support: Ensure that, where relevant, an appropriate practitioner is physically in attendance with the patient during their telehealth consultation.</w:t>
      </w:r>
    </w:p>
    <w:p w14:paraId="6186D6E1" w14:textId="77777777" w:rsidR="006D2440" w:rsidRDefault="004D7CE6" w:rsidP="00165E5B">
      <w:pPr>
        <w:spacing w:after="120" w:line="240" w:lineRule="auto"/>
        <w:rPr>
          <w:rFonts w:ascii="Calibri" w:eastAsia="Calibri" w:hAnsi="Calibri" w:cs="Calibri"/>
        </w:rPr>
      </w:pPr>
      <w:r>
        <w:rPr>
          <w:rFonts w:ascii="Calibri" w:eastAsia="Calibri" w:hAnsi="Calibri" w:cs="Calibri"/>
        </w:rPr>
        <w:t xml:space="preserve">Ultimately, the Reference Group decided against identifying the specific conditions associated with these dimensions, as several exceptions could be found for each of them. Some suggestions are included with each of the recommendations below, as a starting place for implementation. </w:t>
      </w:r>
    </w:p>
    <w:p w14:paraId="0CEE4DEF" w14:textId="77777777" w:rsidR="006D2440" w:rsidRDefault="004D7CE6" w:rsidP="00165E5B">
      <w:pPr>
        <w:pStyle w:val="Style4"/>
        <w:spacing w:before="0" w:line="240" w:lineRule="auto"/>
      </w:pPr>
      <w:r>
        <w:t>The advantages of telehealth</w:t>
      </w:r>
    </w:p>
    <w:p w14:paraId="2D307549" w14:textId="77777777" w:rsidR="006D2440" w:rsidRDefault="004D7CE6" w:rsidP="00165E5B">
      <w:pPr>
        <w:spacing w:after="120" w:line="240" w:lineRule="auto"/>
        <w:rPr>
          <w:rFonts w:ascii="Calibri" w:eastAsia="Calibri" w:hAnsi="Calibri" w:cs="Calibri"/>
        </w:rPr>
      </w:pPr>
      <w:r>
        <w:rPr>
          <w:rFonts w:ascii="Calibri" w:eastAsia="Calibri" w:hAnsi="Calibri" w:cs="Calibri"/>
        </w:rPr>
        <w:t>For patients, the main benefit of using telehealth services is increased access to health care, with non-inferior outcomes, where clinically appropriate. Evidence for this includes the following:</w:t>
      </w:r>
    </w:p>
    <w:p w14:paraId="3710327C"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Surveys have consistently found high patient satisfaction with telehealth consultations (34) (35) (36).</w:t>
      </w:r>
    </w:p>
    <w:p w14:paraId="036D8509"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Compared to usual care, a range of telehealth interventions have been found to produce at least equivalent outcomes in the management of asthma (37) (38), blood pressure (39) and depression, and in overall quality of life (40).</w:t>
      </w:r>
    </w:p>
    <w:p w14:paraId="1B955069" w14:textId="77777777" w:rsidR="006D2440" w:rsidRDefault="004D7CE6" w:rsidP="00165E5B">
      <w:pPr>
        <w:spacing w:after="120" w:line="240" w:lineRule="auto"/>
        <w:rPr>
          <w:rFonts w:ascii="Calibri" w:eastAsia="Calibri" w:hAnsi="Calibri" w:cs="Calibri"/>
        </w:rPr>
      </w:pPr>
      <w:r>
        <w:rPr>
          <w:rFonts w:ascii="Calibri" w:eastAsia="Calibri" w:hAnsi="Calibri" w:cs="Calibri"/>
        </w:rPr>
        <w:t>A systematic literature review of telehealth services in rural and remote Australia reviewed models of care and factors influencing success and sustainability. Funding for general medical and other practitioners for the provision of telehealth services is limited or non-existent (41).</w:t>
      </w:r>
    </w:p>
    <w:p w14:paraId="4A3A9114" w14:textId="77777777" w:rsidR="006D2440" w:rsidRDefault="004D7CE6" w:rsidP="00165E5B">
      <w:pPr>
        <w:spacing w:after="120" w:line="240" w:lineRule="auto"/>
        <w:rPr>
          <w:rFonts w:ascii="Calibri" w:eastAsia="Calibri" w:hAnsi="Calibri" w:cs="Calibri"/>
        </w:rPr>
      </w:pPr>
      <w:r>
        <w:rPr>
          <w:rFonts w:ascii="Calibri" w:eastAsia="Calibri" w:hAnsi="Calibri" w:cs="Calibri"/>
        </w:rPr>
        <w:lastRenderedPageBreak/>
        <w:t xml:space="preserve">In a study in the United States, the transaction costs of in-clinic consultations and telehealth presentations were compared for chronic pain management provided by community-based providers including NPs, primary care physicians and physician assistants. Although similar in terms of cost, telehealth consultations demonstrated preliminary evidence for improved patient satisfaction with treatment, improved provider satisfaction with the consultation process, reduced wait times and reduced health care </w:t>
      </w:r>
      <w:proofErr w:type="spellStart"/>
      <w:r>
        <w:rPr>
          <w:rFonts w:ascii="Calibri" w:eastAsia="Calibri" w:hAnsi="Calibri" w:cs="Calibri"/>
        </w:rPr>
        <w:t>utilisation</w:t>
      </w:r>
      <w:proofErr w:type="spellEnd"/>
      <w:r>
        <w:rPr>
          <w:rFonts w:ascii="Calibri" w:eastAsia="Calibri" w:hAnsi="Calibri" w:cs="Calibri"/>
        </w:rPr>
        <w:t xml:space="preserve"> (42).</w:t>
      </w:r>
    </w:p>
    <w:p w14:paraId="43DC8A4D" w14:textId="77777777" w:rsidR="006D2440" w:rsidRDefault="004D7CE6" w:rsidP="00165E5B">
      <w:pPr>
        <w:pStyle w:val="Style4"/>
        <w:spacing w:before="0" w:line="240" w:lineRule="auto"/>
      </w:pPr>
      <w:r>
        <w:t>Recommendation 11 - Add GPs as eligible participants in NP patient-side telehealth services</w:t>
      </w:r>
    </w:p>
    <w:p w14:paraId="7EB2843C" w14:textId="77777777" w:rsidR="006D2440" w:rsidRDefault="004D7CE6" w:rsidP="00165E5B">
      <w:pPr>
        <w:spacing w:after="120" w:line="240" w:lineRule="auto"/>
        <w:rPr>
          <w:rFonts w:ascii="Calibri" w:eastAsia="Calibri" w:hAnsi="Calibri" w:cs="Calibri"/>
        </w:rPr>
      </w:pPr>
      <w:r>
        <w:rPr>
          <w:rFonts w:ascii="Calibri" w:eastAsia="Calibri" w:hAnsi="Calibri" w:cs="Calibri"/>
        </w:rPr>
        <w:t>The Reference Group recommends:</w:t>
      </w:r>
    </w:p>
    <w:p w14:paraId="2187F0F4" w14:textId="77777777" w:rsidR="006D2440" w:rsidRDefault="004D7CE6" w:rsidP="00165E5B">
      <w:pPr>
        <w:numPr>
          <w:ilvl w:val="0"/>
          <w:numId w:val="7"/>
        </w:numPr>
        <w:spacing w:after="120" w:line="240" w:lineRule="auto"/>
        <w:rPr>
          <w:rFonts w:ascii="Calibri" w:eastAsia="Calibri" w:hAnsi="Calibri" w:cs="Calibri"/>
        </w:rPr>
      </w:pPr>
      <w:r>
        <w:rPr>
          <w:rFonts w:ascii="Calibri" w:eastAsia="Calibri" w:hAnsi="Calibri" w:cs="Calibri"/>
        </w:rPr>
        <w:t>adding GPs as eligible participants in NP patient-side telehealth services (items 82220, 82221 and 82222)</w:t>
      </w:r>
    </w:p>
    <w:p w14:paraId="77337D8E" w14:textId="77777777" w:rsidR="006D2440" w:rsidRDefault="004D7CE6" w:rsidP="00165E5B">
      <w:pPr>
        <w:numPr>
          <w:ilvl w:val="0"/>
          <w:numId w:val="7"/>
        </w:numPr>
        <w:spacing w:after="120" w:line="240" w:lineRule="auto"/>
        <w:rPr>
          <w:rFonts w:ascii="Calibri" w:eastAsia="Calibri" w:hAnsi="Calibri" w:cs="Calibri"/>
        </w:rPr>
      </w:pPr>
      <w:r>
        <w:rPr>
          <w:rFonts w:ascii="Calibri" w:eastAsia="Calibri" w:hAnsi="Calibri" w:cs="Calibri"/>
        </w:rPr>
        <w:t>including all Aboriginal and/or Torres Strait Islander peoples, not only patients of Aboriginal Medical Services or Aboriginal Community Controlled Health Services with a 19(2) exemption, and</w:t>
      </w:r>
    </w:p>
    <w:p w14:paraId="0D64A447" w14:textId="77777777" w:rsidR="006D2440" w:rsidRDefault="004D7CE6" w:rsidP="00165E5B">
      <w:pPr>
        <w:numPr>
          <w:ilvl w:val="0"/>
          <w:numId w:val="7"/>
        </w:numPr>
        <w:spacing w:after="120" w:line="240" w:lineRule="auto"/>
        <w:rPr>
          <w:rFonts w:ascii="Calibri" w:eastAsia="Calibri" w:hAnsi="Calibri" w:cs="Calibri"/>
        </w:rPr>
      </w:pPr>
      <w:r>
        <w:rPr>
          <w:rFonts w:ascii="Calibri" w:eastAsia="Calibri" w:hAnsi="Calibri" w:cs="Calibri"/>
        </w:rPr>
        <w:t>amending the item descriptors along the lines of the following example:</w:t>
      </w:r>
    </w:p>
    <w:p w14:paraId="68FEFCA6" w14:textId="77777777" w:rsidR="006D2440" w:rsidRDefault="004D7CE6" w:rsidP="00165E5B">
      <w:pPr>
        <w:spacing w:after="120" w:line="240" w:lineRule="auto"/>
        <w:rPr>
          <w:rFonts w:ascii="Calibri" w:eastAsia="Calibri" w:hAnsi="Calibri" w:cs="Calibri"/>
        </w:rPr>
      </w:pPr>
      <w:r>
        <w:rPr>
          <w:rFonts w:ascii="Calibri" w:eastAsia="Calibri" w:hAnsi="Calibri" w:cs="Calibri"/>
          <w:noProof/>
          <w:lang w:val="en-AU"/>
        </w:rPr>
        <mc:AlternateContent>
          <mc:Choice Requires="wps">
            <w:drawing>
              <wp:inline distT="0" distB="0" distL="0" distR="0" wp14:anchorId="0E2849F5" wp14:editId="3AA9FC38">
                <wp:extent cx="5287513" cy="982932"/>
                <wp:effectExtent l="0" t="0" r="0" b="0"/>
                <wp:docPr id="3" name="Rectangle 3"/>
                <wp:cNvGraphicFramePr/>
                <a:graphic xmlns:a="http://schemas.openxmlformats.org/drawingml/2006/main">
                  <a:graphicData uri="http://schemas.microsoft.com/office/word/2010/wordprocessingShape">
                    <wps:wsp>
                      <wps:cNvSpPr/>
                      <wps:spPr>
                        <a:xfrm>
                          <a:off x="2714944" y="3301234"/>
                          <a:ext cx="5262113" cy="957532"/>
                        </a:xfrm>
                        <a:prstGeom prst="rect">
                          <a:avLst/>
                        </a:prstGeom>
                        <a:solidFill>
                          <a:srgbClr val="FFFFFF"/>
                        </a:solidFill>
                        <a:ln w="25400" cap="flat" cmpd="sng">
                          <a:solidFill>
                            <a:srgbClr val="C0504D"/>
                          </a:solidFill>
                          <a:prstDash val="solid"/>
                          <a:miter lim="800000"/>
                          <a:headEnd type="none" w="sm" len="sm"/>
                          <a:tailEnd type="none" w="sm" len="sm"/>
                        </a:ln>
                      </wps:spPr>
                      <wps:txbx>
                        <w:txbxContent>
                          <w:p w14:paraId="58485839" w14:textId="77777777" w:rsidR="00D15367" w:rsidRDefault="00D15367">
                            <w:pPr>
                              <w:spacing w:after="60" w:line="311" w:lineRule="auto"/>
                              <w:textDirection w:val="btLr"/>
                            </w:pPr>
                            <w:r>
                              <w:rPr>
                                <w:rFonts w:ascii="Calibri" w:eastAsia="Calibri" w:hAnsi="Calibri" w:cs="Calibri"/>
                                <w:b/>
                                <w:color w:val="000000"/>
                              </w:rPr>
                              <w:t>Item 82220 – example text</w:t>
                            </w:r>
                          </w:p>
                          <w:p w14:paraId="6A6D5979" w14:textId="77777777" w:rsidR="00D15367" w:rsidRDefault="00D15367">
                            <w:pPr>
                              <w:spacing w:before="180" w:after="60" w:line="311" w:lineRule="auto"/>
                              <w:textDirection w:val="btLr"/>
                            </w:pPr>
                            <w:r>
                              <w:rPr>
                                <w:rFonts w:ascii="Calibri" w:eastAsia="Calibri" w:hAnsi="Calibri" w:cs="Calibri"/>
                                <w:color w:val="000000"/>
                              </w:rPr>
                              <w:t>A professional attendance lasting less than 20 minutes (</w:t>
                            </w:r>
                            <w:proofErr w:type="gramStart"/>
                            <w:r>
                              <w:rPr>
                                <w:rFonts w:ascii="Calibri" w:eastAsia="Calibri" w:hAnsi="Calibri" w:cs="Calibri"/>
                                <w:color w:val="000000"/>
                              </w:rPr>
                              <w:t>whether or not</w:t>
                            </w:r>
                            <w:proofErr w:type="gramEnd"/>
                            <w:r>
                              <w:rPr>
                                <w:rFonts w:ascii="Calibri" w:eastAsia="Calibri" w:hAnsi="Calibri" w:cs="Calibri"/>
                                <w:color w:val="000000"/>
                              </w:rPr>
                              <w:t xml:space="preserve"> continuous) by a participating NP that requires the provision of clinical support to a patient who:</w:t>
                            </w:r>
                          </w:p>
                          <w:p w14:paraId="000E5DD6" w14:textId="77777777" w:rsidR="00D15367" w:rsidRDefault="00D15367">
                            <w:pPr>
                              <w:spacing w:before="120" w:after="60" w:line="311" w:lineRule="auto"/>
                              <w:ind w:left="567" w:right="141" w:firstLine="210"/>
                              <w:textDirection w:val="btLr"/>
                            </w:pPr>
                            <w:r>
                              <w:rPr>
                                <w:rFonts w:ascii="Calibri" w:eastAsia="Calibri" w:hAnsi="Calibri" w:cs="Calibri"/>
                                <w:color w:val="000000"/>
                              </w:rPr>
                              <w:t>a) is participating in a video consultation with a specialist, consultant physician, or general practitioner; and</w:t>
                            </w:r>
                          </w:p>
                          <w:p w14:paraId="42329D47" w14:textId="77777777" w:rsidR="00D15367" w:rsidRDefault="00D15367">
                            <w:pPr>
                              <w:spacing w:before="120" w:after="60" w:line="311" w:lineRule="auto"/>
                              <w:ind w:left="567" w:right="141" w:firstLine="210"/>
                              <w:textDirection w:val="btLr"/>
                            </w:pPr>
                            <w:r>
                              <w:rPr>
                                <w:rFonts w:ascii="Calibri" w:eastAsia="Calibri" w:hAnsi="Calibri" w:cs="Calibri"/>
                                <w:color w:val="000000"/>
                              </w:rPr>
                              <w:t>b) is not an admitted patient of a hospital; and</w:t>
                            </w:r>
                          </w:p>
                          <w:p w14:paraId="2AC89206" w14:textId="77777777" w:rsidR="00D15367" w:rsidRDefault="00D15367">
                            <w:pPr>
                              <w:spacing w:before="120" w:after="60" w:line="311" w:lineRule="auto"/>
                              <w:ind w:left="567" w:right="141" w:firstLine="210"/>
                              <w:textDirection w:val="btLr"/>
                            </w:pPr>
                            <w:r>
                              <w:rPr>
                                <w:rFonts w:ascii="Calibri" w:eastAsia="Calibri" w:hAnsi="Calibri" w:cs="Calibri"/>
                                <w:color w:val="000000"/>
                              </w:rPr>
                              <w:t>c) is located:</w:t>
                            </w:r>
                          </w:p>
                          <w:p w14:paraId="6B96C080" w14:textId="77777777" w:rsidR="00D15367" w:rsidRDefault="00D15367">
                            <w:pPr>
                              <w:spacing w:before="120" w:after="60" w:line="311" w:lineRule="auto"/>
                              <w:ind w:left="567" w:right="141" w:firstLine="834"/>
                              <w:textDirection w:val="btLr"/>
                            </w:pPr>
                            <w:r>
                              <w:rPr>
                                <w:rFonts w:ascii="Calibri" w:eastAsia="Calibri" w:hAnsi="Calibri" w:cs="Calibri"/>
                                <w:color w:val="000000"/>
                              </w:rPr>
                              <w:t>(</w:t>
                            </w:r>
                            <w:proofErr w:type="spellStart"/>
                            <w:r>
                              <w:rPr>
                                <w:rFonts w:ascii="Calibri" w:eastAsia="Calibri" w:hAnsi="Calibri" w:cs="Calibri"/>
                                <w:color w:val="000000"/>
                              </w:rPr>
                              <w:t>i</w:t>
                            </w:r>
                            <w:proofErr w:type="spellEnd"/>
                            <w:r>
                              <w:rPr>
                                <w:rFonts w:ascii="Calibri" w:eastAsia="Calibri" w:hAnsi="Calibri" w:cs="Calibri"/>
                                <w:color w:val="000000"/>
                              </w:rPr>
                              <w:t>) both:</w:t>
                            </w:r>
                          </w:p>
                          <w:p w14:paraId="1163E3EA" w14:textId="77777777" w:rsidR="00D15367" w:rsidRDefault="00D15367">
                            <w:pPr>
                              <w:spacing w:before="120" w:after="60" w:line="311" w:lineRule="auto"/>
                              <w:ind w:left="1401" w:right="141" w:firstLine="1044"/>
                              <w:textDirection w:val="btLr"/>
                            </w:pPr>
                            <w:r>
                              <w:rPr>
                                <w:rFonts w:ascii="Calibri" w:eastAsia="Calibri" w:hAnsi="Calibri" w:cs="Calibri"/>
                                <w:color w:val="000000"/>
                              </w:rPr>
                              <w:t>(A) within a telehealth eligible area; and</w:t>
                            </w:r>
                          </w:p>
                          <w:p w14:paraId="402B53C3" w14:textId="77777777" w:rsidR="00D15367" w:rsidRDefault="00D15367">
                            <w:pPr>
                              <w:spacing w:before="120" w:after="60" w:line="311" w:lineRule="auto"/>
                              <w:ind w:left="1401" w:right="141" w:firstLine="1044"/>
                              <w:textDirection w:val="btLr"/>
                            </w:pPr>
                            <w:r>
                              <w:rPr>
                                <w:rFonts w:ascii="Calibri" w:eastAsia="Calibri" w:hAnsi="Calibri" w:cs="Calibri"/>
                                <w:color w:val="000000"/>
                              </w:rPr>
                              <w:t>(B) at the time of the attendance - at least 15 kms by road from the specialist, consultant physician or general practitioner mentioned in paragraph (a); or</w:t>
                            </w:r>
                          </w:p>
                          <w:p w14:paraId="59392BD1" w14:textId="77777777" w:rsidR="00D15367" w:rsidRDefault="00D15367">
                            <w:pPr>
                              <w:spacing w:before="180" w:after="60" w:line="311" w:lineRule="auto"/>
                              <w:ind w:left="834" w:firstLine="834"/>
                              <w:textDirection w:val="btLr"/>
                            </w:pPr>
                            <w:r>
                              <w:rPr>
                                <w:rFonts w:ascii="Calibri" w:eastAsia="Calibri" w:hAnsi="Calibri" w:cs="Calibri"/>
                                <w:color w:val="000000"/>
                              </w:rPr>
                              <w:t>(ii) in Australia if the patient is of Aboriginal or Torres Strait Islander descent.</w:t>
                            </w:r>
                          </w:p>
                        </w:txbxContent>
                      </wps:txbx>
                      <wps:bodyPr spcFirstLastPara="1" wrap="square" lIns="91425" tIns="45700" rIns="91425" bIns="45700" anchor="t" anchorCtr="0">
                        <a:noAutofit/>
                      </wps:bodyPr>
                    </wps:wsp>
                  </a:graphicData>
                </a:graphic>
              </wp:inline>
            </w:drawing>
          </mc:Choice>
          <mc:Fallback>
            <w:pict>
              <v:rect w14:anchorId="0E2849F5" id="Rectangle 3" o:spid="_x0000_s1038" style="width:416.35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" strokecolor="#c0504d" strokeweight="2pt">
                <v:stroke startarrowwidth="narrow" startarrowlength="short" endarrowwidth="narrow" endarrowlength="short"/>
                <v:textbox inset="2.53958mm,1.2694mm,2.53958mm,1.2694mm">
                  <w:txbxContent>
                    <w:p w14:paraId="58485839" w14:textId="77777777" w:rsidR="00D15367" w:rsidRDefault="00D15367">
                      <w:pPr>
                        <w:spacing w:after="60" w:line="311" w:lineRule="auto"/>
                        <w:textDirection w:val="btLr"/>
                      </w:pPr>
                      <w:r>
                        <w:rPr>
                          <w:rFonts w:ascii="Calibri" w:eastAsia="Calibri" w:hAnsi="Calibri" w:cs="Calibri"/>
                          <w:b/>
                          <w:color w:val="000000"/>
                        </w:rPr>
                        <w:t>Item 82220 – example text</w:t>
                      </w:r>
                    </w:p>
                    <w:p w14:paraId="6A6D5979" w14:textId="77777777" w:rsidR="00D15367" w:rsidRDefault="00D15367">
                      <w:pPr>
                        <w:spacing w:before="180" w:after="60" w:line="311" w:lineRule="auto"/>
                        <w:textDirection w:val="btLr"/>
                      </w:pPr>
                      <w:r>
                        <w:rPr>
                          <w:rFonts w:ascii="Calibri" w:eastAsia="Calibri" w:hAnsi="Calibri" w:cs="Calibri"/>
                          <w:color w:val="000000"/>
                        </w:rPr>
                        <w:t>A professional attendance lasting less than 20 minutes (whether or not continuous) by a participating NP that requires the provision of clinical support to a patient who:</w:t>
                      </w:r>
                    </w:p>
                    <w:p w14:paraId="000E5DD6" w14:textId="77777777" w:rsidR="00D15367" w:rsidRDefault="00D15367">
                      <w:pPr>
                        <w:spacing w:before="120" w:after="60" w:line="311" w:lineRule="auto"/>
                        <w:ind w:left="567" w:right="141" w:firstLine="210"/>
                        <w:textDirection w:val="btLr"/>
                      </w:pPr>
                      <w:r>
                        <w:rPr>
                          <w:rFonts w:ascii="Calibri" w:eastAsia="Calibri" w:hAnsi="Calibri" w:cs="Calibri"/>
                          <w:color w:val="000000"/>
                        </w:rPr>
                        <w:t xml:space="preserve">a) </w:t>
                      </w:r>
                      <w:proofErr w:type="gramStart"/>
                      <w:r>
                        <w:rPr>
                          <w:rFonts w:ascii="Calibri" w:eastAsia="Calibri" w:hAnsi="Calibri" w:cs="Calibri"/>
                          <w:color w:val="000000"/>
                        </w:rPr>
                        <w:t>is</w:t>
                      </w:r>
                      <w:proofErr w:type="gramEnd"/>
                      <w:r>
                        <w:rPr>
                          <w:rFonts w:ascii="Calibri" w:eastAsia="Calibri" w:hAnsi="Calibri" w:cs="Calibri"/>
                          <w:color w:val="000000"/>
                        </w:rPr>
                        <w:t xml:space="preserve"> participating in a video consultation with a specialist, consultant physician, or general practitioner; and</w:t>
                      </w:r>
                    </w:p>
                    <w:p w14:paraId="42329D47" w14:textId="77777777" w:rsidR="00D15367" w:rsidRDefault="00D15367">
                      <w:pPr>
                        <w:spacing w:before="120" w:after="60" w:line="311" w:lineRule="auto"/>
                        <w:ind w:left="567" w:right="141" w:firstLine="210"/>
                        <w:textDirection w:val="btLr"/>
                      </w:pPr>
                      <w:r>
                        <w:rPr>
                          <w:rFonts w:ascii="Calibri" w:eastAsia="Calibri" w:hAnsi="Calibri" w:cs="Calibri"/>
                          <w:color w:val="000000"/>
                        </w:rPr>
                        <w:t xml:space="preserve">b) </w:t>
                      </w:r>
                      <w:proofErr w:type="gramStart"/>
                      <w:r>
                        <w:rPr>
                          <w:rFonts w:ascii="Calibri" w:eastAsia="Calibri" w:hAnsi="Calibri" w:cs="Calibri"/>
                          <w:color w:val="000000"/>
                        </w:rPr>
                        <w:t>is</w:t>
                      </w:r>
                      <w:proofErr w:type="gramEnd"/>
                      <w:r>
                        <w:rPr>
                          <w:rFonts w:ascii="Calibri" w:eastAsia="Calibri" w:hAnsi="Calibri" w:cs="Calibri"/>
                          <w:color w:val="000000"/>
                        </w:rPr>
                        <w:t xml:space="preserve"> not an admitted patient of a hospital; and</w:t>
                      </w:r>
                    </w:p>
                    <w:p w14:paraId="2AC89206" w14:textId="77777777" w:rsidR="00D15367" w:rsidRDefault="00D15367">
                      <w:pPr>
                        <w:spacing w:before="120" w:after="60" w:line="311" w:lineRule="auto"/>
                        <w:ind w:left="567" w:right="141" w:firstLine="210"/>
                        <w:textDirection w:val="btLr"/>
                      </w:pPr>
                      <w:proofErr w:type="gramStart"/>
                      <w:r>
                        <w:rPr>
                          <w:rFonts w:ascii="Calibri" w:eastAsia="Calibri" w:hAnsi="Calibri" w:cs="Calibri"/>
                          <w:color w:val="000000"/>
                        </w:rPr>
                        <w:t>c</w:t>
                      </w:r>
                      <w:proofErr w:type="gramEnd"/>
                      <w:r>
                        <w:rPr>
                          <w:rFonts w:ascii="Calibri" w:eastAsia="Calibri" w:hAnsi="Calibri" w:cs="Calibri"/>
                          <w:color w:val="000000"/>
                        </w:rPr>
                        <w:t>) is located:</w:t>
                      </w:r>
                    </w:p>
                    <w:p w14:paraId="6B96C080" w14:textId="77777777" w:rsidR="00D15367" w:rsidRDefault="00D15367">
                      <w:pPr>
                        <w:spacing w:before="120" w:after="60" w:line="311" w:lineRule="auto"/>
                        <w:ind w:left="567" w:right="141" w:firstLine="834"/>
                        <w:textDirection w:val="btLr"/>
                      </w:pPr>
                      <w:r>
                        <w:rPr>
                          <w:rFonts w:ascii="Calibri" w:eastAsia="Calibri" w:hAnsi="Calibri" w:cs="Calibri"/>
                          <w:color w:val="000000"/>
                        </w:rPr>
                        <w:t>(</w:t>
                      </w:r>
                      <w:proofErr w:type="spellStart"/>
                      <w:r>
                        <w:rPr>
                          <w:rFonts w:ascii="Calibri" w:eastAsia="Calibri" w:hAnsi="Calibri" w:cs="Calibri"/>
                          <w:color w:val="000000"/>
                        </w:rPr>
                        <w:t>i</w:t>
                      </w:r>
                      <w:proofErr w:type="spellEnd"/>
                      <w:r>
                        <w:rPr>
                          <w:rFonts w:ascii="Calibri" w:eastAsia="Calibri" w:hAnsi="Calibri" w:cs="Calibri"/>
                          <w:color w:val="000000"/>
                        </w:rPr>
                        <w:t xml:space="preserve">) </w:t>
                      </w:r>
                      <w:proofErr w:type="gramStart"/>
                      <w:r>
                        <w:rPr>
                          <w:rFonts w:ascii="Calibri" w:eastAsia="Calibri" w:hAnsi="Calibri" w:cs="Calibri"/>
                          <w:color w:val="000000"/>
                        </w:rPr>
                        <w:t>both</w:t>
                      </w:r>
                      <w:proofErr w:type="gramEnd"/>
                      <w:r>
                        <w:rPr>
                          <w:rFonts w:ascii="Calibri" w:eastAsia="Calibri" w:hAnsi="Calibri" w:cs="Calibri"/>
                          <w:color w:val="000000"/>
                        </w:rPr>
                        <w:t>:</w:t>
                      </w:r>
                    </w:p>
                    <w:p w14:paraId="1163E3EA" w14:textId="77777777" w:rsidR="00D15367" w:rsidRDefault="00D15367">
                      <w:pPr>
                        <w:spacing w:before="120" w:after="60" w:line="311" w:lineRule="auto"/>
                        <w:ind w:left="1401" w:right="141" w:firstLine="1044"/>
                        <w:textDirection w:val="btLr"/>
                      </w:pPr>
                      <w:r>
                        <w:rPr>
                          <w:rFonts w:ascii="Calibri" w:eastAsia="Calibri" w:hAnsi="Calibri" w:cs="Calibri"/>
                          <w:color w:val="000000"/>
                        </w:rPr>
                        <w:t xml:space="preserve">(A) </w:t>
                      </w:r>
                      <w:proofErr w:type="gramStart"/>
                      <w:r>
                        <w:rPr>
                          <w:rFonts w:ascii="Calibri" w:eastAsia="Calibri" w:hAnsi="Calibri" w:cs="Calibri"/>
                          <w:color w:val="000000"/>
                        </w:rPr>
                        <w:t>within</w:t>
                      </w:r>
                      <w:proofErr w:type="gramEnd"/>
                      <w:r>
                        <w:rPr>
                          <w:rFonts w:ascii="Calibri" w:eastAsia="Calibri" w:hAnsi="Calibri" w:cs="Calibri"/>
                          <w:color w:val="000000"/>
                        </w:rPr>
                        <w:t xml:space="preserve"> a telehealth eligible area; and</w:t>
                      </w:r>
                    </w:p>
                    <w:p w14:paraId="402B53C3" w14:textId="77777777" w:rsidR="00D15367" w:rsidRDefault="00D15367">
                      <w:pPr>
                        <w:spacing w:before="120" w:after="60" w:line="311" w:lineRule="auto"/>
                        <w:ind w:left="1401" w:right="141" w:firstLine="1044"/>
                        <w:textDirection w:val="btLr"/>
                      </w:pPr>
                      <w:r>
                        <w:rPr>
                          <w:rFonts w:ascii="Calibri" w:eastAsia="Calibri" w:hAnsi="Calibri" w:cs="Calibri"/>
                          <w:color w:val="000000"/>
                        </w:rPr>
                        <w:t xml:space="preserve">(B) </w:t>
                      </w:r>
                      <w:proofErr w:type="gramStart"/>
                      <w:r>
                        <w:rPr>
                          <w:rFonts w:ascii="Calibri" w:eastAsia="Calibri" w:hAnsi="Calibri" w:cs="Calibri"/>
                          <w:color w:val="000000"/>
                        </w:rPr>
                        <w:t>at</w:t>
                      </w:r>
                      <w:proofErr w:type="gramEnd"/>
                      <w:r>
                        <w:rPr>
                          <w:rFonts w:ascii="Calibri" w:eastAsia="Calibri" w:hAnsi="Calibri" w:cs="Calibri"/>
                          <w:color w:val="000000"/>
                        </w:rPr>
                        <w:t xml:space="preserve"> the time of the attendance - at least 15 </w:t>
                      </w:r>
                      <w:proofErr w:type="spellStart"/>
                      <w:r>
                        <w:rPr>
                          <w:rFonts w:ascii="Calibri" w:eastAsia="Calibri" w:hAnsi="Calibri" w:cs="Calibri"/>
                          <w:color w:val="000000"/>
                        </w:rPr>
                        <w:t>kms</w:t>
                      </w:r>
                      <w:proofErr w:type="spellEnd"/>
                      <w:r>
                        <w:rPr>
                          <w:rFonts w:ascii="Calibri" w:eastAsia="Calibri" w:hAnsi="Calibri" w:cs="Calibri"/>
                          <w:color w:val="000000"/>
                        </w:rPr>
                        <w:t xml:space="preserve"> by road from the specialist, consultant physician or general practitioner mentioned in paragraph (a); or</w:t>
                      </w:r>
                    </w:p>
                    <w:p w14:paraId="59392BD1" w14:textId="77777777" w:rsidR="00D15367" w:rsidRDefault="00D15367">
                      <w:pPr>
                        <w:spacing w:before="180" w:after="60" w:line="311" w:lineRule="auto"/>
                        <w:ind w:left="834" w:firstLine="834"/>
                        <w:textDirection w:val="btLr"/>
                      </w:pPr>
                      <w:r>
                        <w:rPr>
                          <w:rFonts w:ascii="Calibri" w:eastAsia="Calibri" w:hAnsi="Calibri" w:cs="Calibri"/>
                          <w:color w:val="000000"/>
                        </w:rPr>
                        <w:t xml:space="preserve">(ii) </w:t>
                      </w:r>
                      <w:proofErr w:type="gramStart"/>
                      <w:r>
                        <w:rPr>
                          <w:rFonts w:ascii="Calibri" w:eastAsia="Calibri" w:hAnsi="Calibri" w:cs="Calibri"/>
                          <w:color w:val="000000"/>
                        </w:rPr>
                        <w:t>in</w:t>
                      </w:r>
                      <w:proofErr w:type="gramEnd"/>
                      <w:r>
                        <w:rPr>
                          <w:rFonts w:ascii="Calibri" w:eastAsia="Calibri" w:hAnsi="Calibri" w:cs="Calibri"/>
                          <w:color w:val="000000"/>
                        </w:rPr>
                        <w:t xml:space="preserve"> Australia if the patient is of Aboriginal or Torres Strait Islander descent.</w:t>
                      </w:r>
                    </w:p>
                  </w:txbxContent>
                </v:textbox>
                <w10:anchorlock/>
              </v:rect>
            </w:pict>
          </mc:Fallback>
        </mc:AlternateContent>
      </w:r>
    </w:p>
    <w:p w14:paraId="192F69BD" w14:textId="77777777" w:rsidR="006D2440" w:rsidRDefault="004D7CE6" w:rsidP="00165E5B">
      <w:pPr>
        <w:spacing w:after="120" w:line="240" w:lineRule="auto"/>
        <w:rPr>
          <w:rFonts w:ascii="Calibri" w:eastAsia="Calibri" w:hAnsi="Calibri" w:cs="Calibri"/>
          <w:i/>
        </w:rPr>
      </w:pPr>
      <w:r>
        <w:rPr>
          <w:rFonts w:ascii="Calibri" w:eastAsia="Calibri" w:hAnsi="Calibri" w:cs="Calibri"/>
          <w:i/>
        </w:rPr>
        <w:t xml:space="preserve">Note: The Reference Group </w:t>
      </w:r>
      <w:proofErr w:type="spellStart"/>
      <w:r>
        <w:rPr>
          <w:rFonts w:ascii="Calibri" w:eastAsia="Calibri" w:hAnsi="Calibri" w:cs="Calibri"/>
          <w:i/>
        </w:rPr>
        <w:t>recognises</w:t>
      </w:r>
      <w:proofErr w:type="spellEnd"/>
      <w:r>
        <w:rPr>
          <w:rFonts w:ascii="Calibri" w:eastAsia="Calibri" w:hAnsi="Calibri" w:cs="Calibri"/>
          <w:i/>
        </w:rPr>
        <w:t xml:space="preserve"> that this item would require GPs to have access to reimbursement for telehealth service provision, whether through an MBS item number or a different funding model.</w:t>
      </w:r>
    </w:p>
    <w:p w14:paraId="4AF82DAF" w14:textId="77777777" w:rsidR="006D2440" w:rsidRDefault="004D7CE6" w:rsidP="00165E5B">
      <w:pPr>
        <w:pStyle w:val="Style4"/>
        <w:spacing w:before="0" w:line="240" w:lineRule="auto"/>
      </w:pPr>
      <w:r>
        <w:t>Rationale 11</w:t>
      </w:r>
    </w:p>
    <w:p w14:paraId="2DFD6AFE" w14:textId="77777777" w:rsidR="006D2440" w:rsidRDefault="004D7CE6" w:rsidP="00165E5B">
      <w:pPr>
        <w:spacing w:after="120" w:line="240" w:lineRule="auto"/>
        <w:rPr>
          <w:rFonts w:ascii="Calibri" w:eastAsia="Calibri" w:hAnsi="Calibri" w:cs="Calibri"/>
        </w:rPr>
      </w:pPr>
      <w:r>
        <w:rPr>
          <w:rFonts w:ascii="Calibri" w:eastAsia="Calibri" w:hAnsi="Calibri" w:cs="Calibri"/>
        </w:rPr>
        <w:t>This recommendation focuses on increasing patient access to, and use of, telehealth services. It is based on the following:</w:t>
      </w:r>
    </w:p>
    <w:p w14:paraId="6DFE52A2"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Telehealth services provide high-quality care options for Australians.</w:t>
      </w:r>
    </w:p>
    <w:p w14:paraId="50B5122D"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GP-to-patient telehealth items with an NP on the patient side would help to fill current access gaps and allow for the provision of clinically effective, high-value services to patients, including:</w:t>
      </w:r>
    </w:p>
    <w:p w14:paraId="4D8735F8" w14:textId="77777777" w:rsidR="006D2440" w:rsidRDefault="004D7CE6" w:rsidP="00165E5B">
      <w:pPr>
        <w:numPr>
          <w:ilvl w:val="0"/>
          <w:numId w:val="43"/>
        </w:numPr>
        <w:spacing w:after="120" w:line="240" w:lineRule="auto"/>
        <w:ind w:left="720" w:right="142"/>
        <w:rPr>
          <w:rFonts w:ascii="Calibri" w:eastAsia="Calibri" w:hAnsi="Calibri" w:cs="Calibri"/>
        </w:rPr>
      </w:pPr>
      <w:r>
        <w:rPr>
          <w:rFonts w:ascii="Calibri" w:eastAsia="Calibri" w:hAnsi="Calibri" w:cs="Calibri"/>
        </w:rPr>
        <w:t>GPs as eligible telehealth providers will increase patient access to primary care, particularly in remote areas where such access is more limited. NPs are well placed to support these telehealth services due to their relatively higher presence in remote areas (compared to GPs).</w:t>
      </w:r>
    </w:p>
    <w:p w14:paraId="572E3AF7" w14:textId="77777777" w:rsidR="006D2440" w:rsidRDefault="004D7CE6" w:rsidP="00165E5B">
      <w:pPr>
        <w:numPr>
          <w:ilvl w:val="0"/>
          <w:numId w:val="43"/>
        </w:numPr>
        <w:spacing w:after="120" w:line="240" w:lineRule="auto"/>
        <w:ind w:left="720" w:right="142"/>
        <w:rPr>
          <w:rFonts w:ascii="Calibri" w:eastAsia="Calibri" w:hAnsi="Calibri" w:cs="Calibri"/>
        </w:rPr>
      </w:pPr>
      <w:r>
        <w:rPr>
          <w:rFonts w:ascii="Calibri" w:eastAsia="Calibri" w:hAnsi="Calibri" w:cs="Calibri"/>
        </w:rPr>
        <w:t xml:space="preserve">GPs would also decrease wait times to see the GP (by enabling consultation at the time of need), </w:t>
      </w:r>
      <w:proofErr w:type="spellStart"/>
      <w:r>
        <w:rPr>
          <w:rFonts w:ascii="Calibri" w:eastAsia="Calibri" w:hAnsi="Calibri" w:cs="Calibri"/>
        </w:rPr>
        <w:t>minimise</w:t>
      </w:r>
      <w:proofErr w:type="spellEnd"/>
      <w:r>
        <w:rPr>
          <w:rFonts w:ascii="Calibri" w:eastAsia="Calibri" w:hAnsi="Calibri" w:cs="Calibri"/>
        </w:rPr>
        <w:t xml:space="preserve"> cost for the patient (by mitigating the need to travel to the GP) and enhance buy-in from remote sites (43).</w:t>
      </w:r>
    </w:p>
    <w:p w14:paraId="239907B3" w14:textId="77777777" w:rsidR="006D2440" w:rsidRDefault="004D7CE6" w:rsidP="00165E5B">
      <w:pPr>
        <w:numPr>
          <w:ilvl w:val="0"/>
          <w:numId w:val="43"/>
        </w:numPr>
        <w:spacing w:after="120" w:line="240" w:lineRule="auto"/>
        <w:ind w:left="720" w:right="142"/>
        <w:rPr>
          <w:rFonts w:ascii="Calibri" w:eastAsia="Calibri" w:hAnsi="Calibri" w:cs="Calibri"/>
        </w:rPr>
      </w:pPr>
      <w:r>
        <w:rPr>
          <w:rFonts w:ascii="Calibri" w:eastAsia="Calibri" w:hAnsi="Calibri" w:cs="Calibri"/>
        </w:rPr>
        <w:t xml:space="preserve">Limiting the video telehealth attendance to clinical support with a specialist or consultant physician restricts patient access to health care providers when an NP is seeking consultation with a patient and a GP. Often it is more appropriate, cost-effective and efficient to consult with a collaborating GP, rather than a specialist or consultant physician, especially for people who are geographically </w:t>
      </w:r>
      <w:proofErr w:type="spellStart"/>
      <w:r>
        <w:rPr>
          <w:rFonts w:ascii="Calibri" w:eastAsia="Calibri" w:hAnsi="Calibri" w:cs="Calibri"/>
        </w:rPr>
        <w:t>marginalised</w:t>
      </w:r>
      <w:proofErr w:type="spellEnd"/>
      <w:r>
        <w:rPr>
          <w:rFonts w:ascii="Calibri" w:eastAsia="Calibri" w:hAnsi="Calibri" w:cs="Calibri"/>
        </w:rPr>
        <w:t xml:space="preserve"> (living in Modified Monash Model areas 4 to 7), people in aged care and people in palliative care who are being managed at home.</w:t>
      </w:r>
    </w:p>
    <w:p w14:paraId="40C91C11"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 current structure of telehealth items limits NP uptake. A survey of 73 NPs who work in primary care and access the MBS indicated that only 12 per cent had ever used telehealth items. It identified the requirement to have a specialist or consultant present as the main reason for non-use of telehealth items (44). MBS data showed that there were only 1,033 telehealth rebate claims in 2016/17 (less than 0.3 per cent of NP services for the year).</w:t>
      </w:r>
    </w:p>
    <w:p w14:paraId="7E46A14C"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lastRenderedPageBreak/>
        <w:t>GP telehealth items enable collaborative relationships between NPs and GPs, as NPs support from the patient side to facilitate care.</w:t>
      </w:r>
    </w:p>
    <w:p w14:paraId="76A6DABD"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 Royal Australian College of General Practitioners has developed clinical guidelines to enable the implementation of video consultations in general practice. These guidelines provide valuable insight and strategies to mitigate risk (45).</w:t>
      </w:r>
    </w:p>
    <w:p w14:paraId="7A2287DB"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Access to telehealth items for Aboriginal and/or Torres Strait Islander peoples in all regions, from urban to remote, may help to improve uptake of services where low cultural safety limits their ability to access services.</w:t>
      </w:r>
    </w:p>
    <w:p w14:paraId="19C2DEDD" w14:textId="77777777" w:rsidR="006D2440" w:rsidRDefault="004D7CE6" w:rsidP="00165E5B">
      <w:pPr>
        <w:pStyle w:val="Style4"/>
        <w:spacing w:before="0" w:line="240" w:lineRule="auto"/>
      </w:pPr>
      <w:r>
        <w:t>Recommendation 12 - Add patients in community aged care settings to residential aged care telehealth items</w:t>
      </w:r>
    </w:p>
    <w:p w14:paraId="63EC72F7" w14:textId="77777777" w:rsidR="006D2440" w:rsidRDefault="004D7CE6" w:rsidP="00165E5B">
      <w:pPr>
        <w:spacing w:after="120" w:line="240" w:lineRule="auto"/>
        <w:rPr>
          <w:rFonts w:ascii="Calibri" w:eastAsia="Calibri" w:hAnsi="Calibri" w:cs="Calibri"/>
        </w:rPr>
      </w:pPr>
      <w:r>
        <w:rPr>
          <w:rFonts w:ascii="Calibri" w:eastAsia="Calibri" w:hAnsi="Calibri" w:cs="Calibri"/>
        </w:rPr>
        <w:t>The Reference Group recommends adding patients in community aged care settings to residential aged care telehealth items (82223, 82224 and 82225) with the proposed descriptors as follows:</w:t>
      </w:r>
    </w:p>
    <w:p w14:paraId="01034DCB" w14:textId="77777777" w:rsidR="006D2440" w:rsidRDefault="004D7CE6" w:rsidP="00165E5B">
      <w:pPr>
        <w:spacing w:after="120" w:line="240" w:lineRule="auto"/>
        <w:jc w:val="center"/>
        <w:rPr>
          <w:rFonts w:ascii="Calibri" w:eastAsia="Calibri" w:hAnsi="Calibri" w:cs="Calibri"/>
          <w:i/>
        </w:rPr>
      </w:pPr>
      <w:r>
        <w:rPr>
          <w:rFonts w:ascii="Calibri" w:eastAsia="Calibri" w:hAnsi="Calibri" w:cs="Calibri"/>
          <w:i/>
        </w:rPr>
        <w:t>“… patients in receipt of, or assessed as eligible for, Government-funded Home Care Packages.”</w:t>
      </w:r>
    </w:p>
    <w:p w14:paraId="76CC12F9" w14:textId="77777777" w:rsidR="006D2440" w:rsidRDefault="004D7CE6" w:rsidP="00165E5B">
      <w:pPr>
        <w:pStyle w:val="Style4"/>
        <w:spacing w:before="0" w:line="240" w:lineRule="auto"/>
      </w:pPr>
      <w:r>
        <w:t>Rationale 12</w:t>
      </w:r>
    </w:p>
    <w:p w14:paraId="0E00DD70" w14:textId="77777777" w:rsidR="006D2440" w:rsidRDefault="004D7CE6" w:rsidP="00165E5B">
      <w:pPr>
        <w:spacing w:after="120" w:line="240" w:lineRule="auto"/>
        <w:rPr>
          <w:rFonts w:ascii="Calibri" w:eastAsia="Calibri" w:hAnsi="Calibri" w:cs="Calibri"/>
        </w:rPr>
      </w:pPr>
      <w:r>
        <w:rPr>
          <w:rFonts w:ascii="Calibri" w:eastAsia="Calibri" w:hAnsi="Calibri" w:cs="Calibri"/>
        </w:rPr>
        <w:t>This recommendation focuses on increasing access to, and use of, telehealth services for patients who face difficulties accessing their primary health provider despite living in urban areas. It is based on the following:</w:t>
      </w:r>
    </w:p>
    <w:p w14:paraId="523BBDD2"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NPs often provide services to older people living in RACFs and those who are still living at home but in receipt of (or assessed as eligible for) Government-funded HCP.</w:t>
      </w:r>
    </w:p>
    <w:p w14:paraId="58EDFA9A"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Patients receiving funding through the HCP program have similar levels of frailty and dependence to those living in residential aged care. Despite living in urban areas, they often have mobility and illness limitations, which impede their ability to access medical and nurse practitioner services.</w:t>
      </w:r>
    </w:p>
    <w:p w14:paraId="3CB3D391" w14:textId="77777777" w:rsidR="006D2440" w:rsidRDefault="004D7CE6" w:rsidP="00165E5B">
      <w:pPr>
        <w:pStyle w:val="Style4"/>
        <w:spacing w:before="0" w:line="240" w:lineRule="auto"/>
      </w:pPr>
      <w:r>
        <w:t>Recommendation 13 – Create new MBS items for direct NP-to-patient telehealth consultations</w:t>
      </w:r>
    </w:p>
    <w:p w14:paraId="59C8318C" w14:textId="77777777" w:rsidR="006D2440" w:rsidRDefault="004D7CE6" w:rsidP="00165E5B">
      <w:pPr>
        <w:spacing w:after="120" w:line="240" w:lineRule="auto"/>
        <w:rPr>
          <w:rFonts w:ascii="Calibri" w:eastAsia="Calibri" w:hAnsi="Calibri" w:cs="Calibri"/>
        </w:rPr>
      </w:pPr>
      <w:r>
        <w:rPr>
          <w:rFonts w:ascii="Calibri" w:eastAsia="Calibri" w:hAnsi="Calibri" w:cs="Calibri"/>
        </w:rPr>
        <w:t>The Reference Group recommends:</w:t>
      </w:r>
    </w:p>
    <w:p w14:paraId="7021B9D3" w14:textId="77777777" w:rsidR="006D2440" w:rsidRDefault="004D7CE6" w:rsidP="00165E5B">
      <w:pPr>
        <w:numPr>
          <w:ilvl w:val="0"/>
          <w:numId w:val="11"/>
        </w:numPr>
        <w:spacing w:after="120" w:line="240" w:lineRule="auto"/>
        <w:rPr>
          <w:rFonts w:ascii="Calibri" w:eastAsia="Calibri" w:hAnsi="Calibri" w:cs="Calibri"/>
        </w:rPr>
      </w:pPr>
      <w:r>
        <w:rPr>
          <w:rFonts w:ascii="Calibri" w:eastAsia="Calibri" w:hAnsi="Calibri" w:cs="Calibri"/>
        </w:rPr>
        <w:t>creating new MBS items for direct NP-to-patient telehealth consultations (items 8222A, 8222B and 8222C) with the proposed descriptors (using item 8222A as an example):</w:t>
      </w:r>
    </w:p>
    <w:p w14:paraId="58E2B80E" w14:textId="77777777" w:rsidR="006D2440" w:rsidRDefault="004D7CE6" w:rsidP="00165E5B">
      <w:pPr>
        <w:spacing w:after="120" w:line="240" w:lineRule="auto"/>
        <w:rPr>
          <w:rFonts w:ascii="Calibri" w:eastAsia="Calibri" w:hAnsi="Calibri" w:cs="Calibri"/>
        </w:rPr>
      </w:pPr>
      <w:r>
        <w:rPr>
          <w:rFonts w:ascii="Calibri" w:eastAsia="Calibri" w:hAnsi="Calibri" w:cs="Calibri"/>
          <w:noProof/>
          <w:lang w:val="en-AU"/>
        </w:rPr>
        <mc:AlternateContent>
          <mc:Choice Requires="wps">
            <w:drawing>
              <wp:inline distT="0" distB="0" distL="0" distR="0" wp14:anchorId="263DBD5F" wp14:editId="112B6E56">
                <wp:extent cx="5262113" cy="2363637"/>
                <wp:effectExtent l="0" t="0" r="15240" b="17780"/>
                <wp:docPr id="1" name="Rectangle 1"/>
                <wp:cNvGraphicFramePr/>
                <a:graphic xmlns:a="http://schemas.openxmlformats.org/drawingml/2006/main">
                  <a:graphicData uri="http://schemas.microsoft.com/office/word/2010/wordprocessingShape">
                    <wps:wsp>
                      <wps:cNvSpPr/>
                      <wps:spPr>
                        <a:xfrm>
                          <a:off x="0" y="0"/>
                          <a:ext cx="5262113" cy="2363637"/>
                        </a:xfrm>
                        <a:prstGeom prst="rect">
                          <a:avLst/>
                        </a:prstGeom>
                        <a:solidFill>
                          <a:srgbClr val="FFFFFF"/>
                        </a:solidFill>
                        <a:ln w="25400" cap="flat" cmpd="sng">
                          <a:solidFill>
                            <a:srgbClr val="C0504D"/>
                          </a:solidFill>
                          <a:prstDash val="solid"/>
                          <a:miter lim="800000"/>
                          <a:headEnd type="none" w="sm" len="sm"/>
                          <a:tailEnd type="none" w="sm" len="sm"/>
                        </a:ln>
                      </wps:spPr>
                      <wps:txbx>
                        <w:txbxContent>
                          <w:p w14:paraId="6147C6B7" w14:textId="77777777" w:rsidR="00D15367" w:rsidRDefault="00D15367" w:rsidP="00F12447">
                            <w:pPr>
                              <w:spacing w:line="240" w:lineRule="auto"/>
                              <w:textDirection w:val="btLr"/>
                            </w:pPr>
                            <w:r>
                              <w:rPr>
                                <w:rFonts w:ascii="Calibri" w:eastAsia="Calibri" w:hAnsi="Calibri" w:cs="Calibri"/>
                                <w:b/>
                                <w:color w:val="000000"/>
                              </w:rPr>
                              <w:t>New Item 8222A – example text</w:t>
                            </w:r>
                          </w:p>
                          <w:p w14:paraId="199F567E" w14:textId="77777777" w:rsidR="00D15367" w:rsidRDefault="00D15367" w:rsidP="00F12447">
                            <w:pPr>
                              <w:spacing w:line="240" w:lineRule="auto"/>
                              <w:textDirection w:val="btLr"/>
                            </w:pPr>
                            <w:r>
                              <w:rPr>
                                <w:rFonts w:ascii="Calibri" w:eastAsia="Calibri" w:hAnsi="Calibri" w:cs="Calibri"/>
                                <w:color w:val="000000"/>
                              </w:rPr>
                              <w:t>A professional attendance lasting less than 20 minutes (</w:t>
                            </w:r>
                            <w:proofErr w:type="gramStart"/>
                            <w:r>
                              <w:rPr>
                                <w:rFonts w:ascii="Calibri" w:eastAsia="Calibri" w:hAnsi="Calibri" w:cs="Calibri"/>
                                <w:color w:val="000000"/>
                              </w:rPr>
                              <w:t>whether or not</w:t>
                            </w:r>
                            <w:proofErr w:type="gramEnd"/>
                            <w:r>
                              <w:rPr>
                                <w:rFonts w:ascii="Calibri" w:eastAsia="Calibri" w:hAnsi="Calibri" w:cs="Calibri"/>
                                <w:color w:val="000000"/>
                              </w:rPr>
                              <w:t xml:space="preserve"> continuous) by a participating NP </w:t>
                            </w:r>
                            <w:proofErr w:type="spellStart"/>
                            <w:r>
                              <w:rPr>
                                <w:rFonts w:ascii="Calibri" w:eastAsia="Calibri" w:hAnsi="Calibri" w:cs="Calibri"/>
                                <w:color w:val="000000"/>
                              </w:rPr>
                              <w:t>practising</w:t>
                            </w:r>
                            <w:proofErr w:type="spellEnd"/>
                            <w:r>
                              <w:rPr>
                                <w:rFonts w:ascii="Calibri" w:eastAsia="Calibri" w:hAnsi="Calibri" w:cs="Calibri"/>
                                <w:color w:val="000000"/>
                              </w:rPr>
                              <w:t xml:space="preserve"> in MMM 2-7 that requires the provision of clinical support to a patient who:</w:t>
                            </w:r>
                          </w:p>
                          <w:p w14:paraId="10C5CFF5" w14:textId="77777777" w:rsidR="00D15367" w:rsidRDefault="00D15367" w:rsidP="00F12447">
                            <w:pPr>
                              <w:spacing w:line="240" w:lineRule="auto"/>
                              <w:ind w:left="567" w:right="141" w:firstLine="207"/>
                              <w:textDirection w:val="btLr"/>
                            </w:pPr>
                            <w:r>
                              <w:rPr>
                                <w:rFonts w:ascii="Calibri" w:eastAsia="Calibri" w:hAnsi="Calibri" w:cs="Calibri"/>
                                <w:color w:val="000000"/>
                              </w:rPr>
                              <w:t>a) is participating in a video consultation with the NP; and</w:t>
                            </w:r>
                          </w:p>
                          <w:p w14:paraId="0FC7959E" w14:textId="77777777" w:rsidR="00D15367" w:rsidRDefault="00D15367" w:rsidP="00F12447">
                            <w:pPr>
                              <w:spacing w:line="240" w:lineRule="auto"/>
                              <w:ind w:left="567" w:right="141" w:firstLine="207"/>
                              <w:textDirection w:val="btLr"/>
                            </w:pPr>
                            <w:r>
                              <w:rPr>
                                <w:rFonts w:ascii="Calibri" w:eastAsia="Calibri" w:hAnsi="Calibri" w:cs="Calibri"/>
                                <w:color w:val="000000"/>
                              </w:rPr>
                              <w:t>b) is not an admitted patient; and</w:t>
                            </w:r>
                          </w:p>
                          <w:p w14:paraId="76C376EE" w14:textId="77777777" w:rsidR="00D15367" w:rsidRDefault="00D15367" w:rsidP="00F12447">
                            <w:pPr>
                              <w:spacing w:line="240" w:lineRule="auto"/>
                              <w:ind w:left="567" w:right="141" w:firstLine="207"/>
                              <w:textDirection w:val="btLr"/>
                            </w:pPr>
                            <w:r>
                              <w:rPr>
                                <w:rFonts w:ascii="Calibri" w:eastAsia="Calibri" w:hAnsi="Calibri" w:cs="Calibri"/>
                                <w:color w:val="000000"/>
                              </w:rPr>
                              <w:t>c) is located:</w:t>
                            </w:r>
                          </w:p>
                          <w:p w14:paraId="43B692EE" w14:textId="77777777" w:rsidR="00D15367" w:rsidRDefault="00D15367" w:rsidP="00F12447">
                            <w:pPr>
                              <w:spacing w:line="240" w:lineRule="auto"/>
                              <w:ind w:left="904" w:right="141" w:firstLine="547"/>
                              <w:textDirection w:val="btLr"/>
                            </w:pPr>
                            <w:r>
                              <w:rPr>
                                <w:rFonts w:ascii="Calibri" w:eastAsia="Calibri" w:hAnsi="Calibri" w:cs="Calibri"/>
                                <w:color w:val="000000"/>
                              </w:rPr>
                              <w:t>(</w:t>
                            </w:r>
                            <w:proofErr w:type="spellStart"/>
                            <w:r>
                              <w:rPr>
                                <w:rFonts w:ascii="Calibri" w:eastAsia="Calibri" w:hAnsi="Calibri" w:cs="Calibri"/>
                                <w:color w:val="000000"/>
                              </w:rPr>
                              <w:t>i</w:t>
                            </w:r>
                            <w:proofErr w:type="spellEnd"/>
                            <w:r>
                              <w:rPr>
                                <w:rFonts w:ascii="Calibri" w:eastAsia="Calibri" w:hAnsi="Calibri" w:cs="Calibri"/>
                                <w:color w:val="000000"/>
                              </w:rPr>
                              <w:t>) both:</w:t>
                            </w:r>
                          </w:p>
                          <w:p w14:paraId="4E2F81B6" w14:textId="77777777" w:rsidR="00D15367" w:rsidRDefault="00D15367" w:rsidP="00F12447">
                            <w:pPr>
                              <w:spacing w:line="240" w:lineRule="auto"/>
                              <w:ind w:left="1170" w:right="141" w:firstLine="814"/>
                              <w:textDirection w:val="btLr"/>
                            </w:pPr>
                            <w:r>
                              <w:rPr>
                                <w:rFonts w:ascii="Calibri" w:eastAsia="Calibri" w:hAnsi="Calibri" w:cs="Calibri"/>
                                <w:color w:val="000000"/>
                              </w:rPr>
                              <w:t>(A) within an MMM 2-7 area; and</w:t>
                            </w:r>
                          </w:p>
                          <w:p w14:paraId="0F900760" w14:textId="77777777" w:rsidR="00D15367" w:rsidRDefault="00D15367" w:rsidP="00F12447">
                            <w:pPr>
                              <w:spacing w:line="240" w:lineRule="auto"/>
                              <w:ind w:left="1170" w:right="141" w:firstLine="814"/>
                              <w:textDirection w:val="btLr"/>
                            </w:pPr>
                            <w:r>
                              <w:rPr>
                                <w:rFonts w:ascii="Calibri" w:eastAsia="Calibri" w:hAnsi="Calibri" w:cs="Calibri"/>
                                <w:color w:val="000000"/>
                              </w:rPr>
                              <w:t xml:space="preserve">(B) at the time of the attendance - at least 35 </w:t>
                            </w:r>
                            <w:proofErr w:type="spellStart"/>
                            <w:r>
                              <w:rPr>
                                <w:rFonts w:ascii="Calibri" w:eastAsia="Calibri" w:hAnsi="Calibri" w:cs="Calibri"/>
                                <w:color w:val="000000"/>
                              </w:rPr>
                              <w:t>kilometres</w:t>
                            </w:r>
                            <w:proofErr w:type="spellEnd"/>
                            <w:r>
                              <w:rPr>
                                <w:rFonts w:ascii="Calibri" w:eastAsia="Calibri" w:hAnsi="Calibri" w:cs="Calibri"/>
                                <w:color w:val="000000"/>
                              </w:rPr>
                              <w:t xml:space="preserve"> from the NP’s location (a); or</w:t>
                            </w:r>
                          </w:p>
                          <w:p w14:paraId="2377A2B4" w14:textId="77777777" w:rsidR="00D15367" w:rsidRDefault="00D15367" w:rsidP="00F12447">
                            <w:pPr>
                              <w:spacing w:line="240" w:lineRule="auto"/>
                              <w:ind w:left="904" w:right="141" w:firstLine="547"/>
                              <w:textDirection w:val="btLr"/>
                            </w:pPr>
                            <w:r>
                              <w:rPr>
                                <w:rFonts w:ascii="Calibri" w:eastAsia="Calibri" w:hAnsi="Calibri" w:cs="Calibri"/>
                                <w:color w:val="000000"/>
                              </w:rPr>
                              <w:t>(ii) in Australia if the patient is of Aboriginal or Torres Strait Islander descent.</w:t>
                            </w:r>
                          </w:p>
                        </w:txbxContent>
                      </wps:txbx>
                      <wps:bodyPr spcFirstLastPara="1" wrap="square" lIns="91425" tIns="45700" rIns="91425" bIns="45700" anchor="t" anchorCtr="0">
                        <a:noAutofit/>
                      </wps:bodyPr>
                    </wps:wsp>
                  </a:graphicData>
                </a:graphic>
              </wp:inline>
            </w:drawing>
          </mc:Choice>
          <mc:Fallback>
            <w:pict>
              <v:rect w14:anchorId="263DBD5F" id="Rectangle 1" o:spid="_x0000_s1039" style="width:414.35pt;height:18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" strokecolor="#c0504d" strokeweight="2pt">
                <v:stroke startarrowwidth="narrow" startarrowlength="short" endarrowwidth="narrow" endarrowlength="short"/>
                <v:textbox inset="2.53958mm,1.2694mm,2.53958mm,1.2694mm">
                  <w:txbxContent>
                    <w:p w14:paraId="6147C6B7" w14:textId="77777777" w:rsidR="00D15367" w:rsidRDefault="00D15367" w:rsidP="00F12447">
                      <w:pPr>
                        <w:spacing w:line="240" w:lineRule="auto"/>
                        <w:textDirection w:val="btLr"/>
                      </w:pPr>
                      <w:r>
                        <w:rPr>
                          <w:rFonts w:ascii="Calibri" w:eastAsia="Calibri" w:hAnsi="Calibri" w:cs="Calibri"/>
                          <w:b/>
                          <w:color w:val="000000"/>
                        </w:rPr>
                        <w:t>New Item 8222A – example text</w:t>
                      </w:r>
                    </w:p>
                    <w:p w14:paraId="199F567E" w14:textId="77777777" w:rsidR="00D15367" w:rsidRDefault="00D15367" w:rsidP="00F12447">
                      <w:pPr>
                        <w:spacing w:line="240" w:lineRule="auto"/>
                        <w:textDirection w:val="btLr"/>
                      </w:pPr>
                      <w:r>
                        <w:rPr>
                          <w:rFonts w:ascii="Calibri" w:eastAsia="Calibri" w:hAnsi="Calibri" w:cs="Calibri"/>
                          <w:color w:val="000000"/>
                        </w:rPr>
                        <w:t xml:space="preserve">A professional attendance lasting less than 20 minutes (whether or not continuous) by a participating NP </w:t>
                      </w:r>
                      <w:proofErr w:type="spellStart"/>
                      <w:r>
                        <w:rPr>
                          <w:rFonts w:ascii="Calibri" w:eastAsia="Calibri" w:hAnsi="Calibri" w:cs="Calibri"/>
                          <w:color w:val="000000"/>
                        </w:rPr>
                        <w:t>practising</w:t>
                      </w:r>
                      <w:proofErr w:type="spellEnd"/>
                      <w:r>
                        <w:rPr>
                          <w:rFonts w:ascii="Calibri" w:eastAsia="Calibri" w:hAnsi="Calibri" w:cs="Calibri"/>
                          <w:color w:val="000000"/>
                        </w:rPr>
                        <w:t xml:space="preserve"> in MMM 2-7 that requires the provision of clinical support to a patient who:</w:t>
                      </w:r>
                    </w:p>
                    <w:p w14:paraId="10C5CFF5" w14:textId="77777777" w:rsidR="00D15367" w:rsidRDefault="00D15367" w:rsidP="00F12447">
                      <w:pPr>
                        <w:spacing w:line="240" w:lineRule="auto"/>
                        <w:ind w:left="567" w:right="141" w:firstLine="207"/>
                        <w:textDirection w:val="btLr"/>
                      </w:pPr>
                      <w:r>
                        <w:rPr>
                          <w:rFonts w:ascii="Calibri" w:eastAsia="Calibri" w:hAnsi="Calibri" w:cs="Calibri"/>
                          <w:color w:val="000000"/>
                        </w:rPr>
                        <w:t xml:space="preserve">a) </w:t>
                      </w:r>
                      <w:proofErr w:type="gramStart"/>
                      <w:r>
                        <w:rPr>
                          <w:rFonts w:ascii="Calibri" w:eastAsia="Calibri" w:hAnsi="Calibri" w:cs="Calibri"/>
                          <w:color w:val="000000"/>
                        </w:rPr>
                        <w:t>is</w:t>
                      </w:r>
                      <w:proofErr w:type="gramEnd"/>
                      <w:r>
                        <w:rPr>
                          <w:rFonts w:ascii="Calibri" w:eastAsia="Calibri" w:hAnsi="Calibri" w:cs="Calibri"/>
                          <w:color w:val="000000"/>
                        </w:rPr>
                        <w:t xml:space="preserve"> participating in a video consultation with the NP; and</w:t>
                      </w:r>
                    </w:p>
                    <w:p w14:paraId="0FC7959E" w14:textId="77777777" w:rsidR="00D15367" w:rsidRDefault="00D15367" w:rsidP="00F12447">
                      <w:pPr>
                        <w:spacing w:line="240" w:lineRule="auto"/>
                        <w:ind w:left="567" w:right="141" w:firstLine="207"/>
                        <w:textDirection w:val="btLr"/>
                      </w:pPr>
                      <w:r>
                        <w:rPr>
                          <w:rFonts w:ascii="Calibri" w:eastAsia="Calibri" w:hAnsi="Calibri" w:cs="Calibri"/>
                          <w:color w:val="000000"/>
                        </w:rPr>
                        <w:t xml:space="preserve">b) </w:t>
                      </w:r>
                      <w:proofErr w:type="gramStart"/>
                      <w:r>
                        <w:rPr>
                          <w:rFonts w:ascii="Calibri" w:eastAsia="Calibri" w:hAnsi="Calibri" w:cs="Calibri"/>
                          <w:color w:val="000000"/>
                        </w:rPr>
                        <w:t>is</w:t>
                      </w:r>
                      <w:proofErr w:type="gramEnd"/>
                      <w:r>
                        <w:rPr>
                          <w:rFonts w:ascii="Calibri" w:eastAsia="Calibri" w:hAnsi="Calibri" w:cs="Calibri"/>
                          <w:color w:val="000000"/>
                        </w:rPr>
                        <w:t xml:space="preserve"> not an admitted patient; and</w:t>
                      </w:r>
                    </w:p>
                    <w:p w14:paraId="76C376EE" w14:textId="77777777" w:rsidR="00D15367" w:rsidRDefault="00D15367" w:rsidP="00F12447">
                      <w:pPr>
                        <w:spacing w:line="240" w:lineRule="auto"/>
                        <w:ind w:left="567" w:right="141" w:firstLine="207"/>
                        <w:textDirection w:val="btLr"/>
                      </w:pPr>
                      <w:proofErr w:type="gramStart"/>
                      <w:r>
                        <w:rPr>
                          <w:rFonts w:ascii="Calibri" w:eastAsia="Calibri" w:hAnsi="Calibri" w:cs="Calibri"/>
                          <w:color w:val="000000"/>
                        </w:rPr>
                        <w:t>c</w:t>
                      </w:r>
                      <w:proofErr w:type="gramEnd"/>
                      <w:r>
                        <w:rPr>
                          <w:rFonts w:ascii="Calibri" w:eastAsia="Calibri" w:hAnsi="Calibri" w:cs="Calibri"/>
                          <w:color w:val="000000"/>
                        </w:rPr>
                        <w:t>) is located:</w:t>
                      </w:r>
                    </w:p>
                    <w:p w14:paraId="43B692EE" w14:textId="77777777" w:rsidR="00D15367" w:rsidRDefault="00D15367" w:rsidP="00F12447">
                      <w:pPr>
                        <w:spacing w:line="240" w:lineRule="auto"/>
                        <w:ind w:left="904" w:right="141" w:firstLine="547"/>
                        <w:textDirection w:val="btLr"/>
                      </w:pPr>
                      <w:r>
                        <w:rPr>
                          <w:rFonts w:ascii="Calibri" w:eastAsia="Calibri" w:hAnsi="Calibri" w:cs="Calibri"/>
                          <w:color w:val="000000"/>
                        </w:rPr>
                        <w:t>(</w:t>
                      </w:r>
                      <w:proofErr w:type="spellStart"/>
                      <w:r>
                        <w:rPr>
                          <w:rFonts w:ascii="Calibri" w:eastAsia="Calibri" w:hAnsi="Calibri" w:cs="Calibri"/>
                          <w:color w:val="000000"/>
                        </w:rPr>
                        <w:t>i</w:t>
                      </w:r>
                      <w:proofErr w:type="spellEnd"/>
                      <w:r>
                        <w:rPr>
                          <w:rFonts w:ascii="Calibri" w:eastAsia="Calibri" w:hAnsi="Calibri" w:cs="Calibri"/>
                          <w:color w:val="000000"/>
                        </w:rPr>
                        <w:t xml:space="preserve">) </w:t>
                      </w:r>
                      <w:proofErr w:type="gramStart"/>
                      <w:r>
                        <w:rPr>
                          <w:rFonts w:ascii="Calibri" w:eastAsia="Calibri" w:hAnsi="Calibri" w:cs="Calibri"/>
                          <w:color w:val="000000"/>
                        </w:rPr>
                        <w:t>both</w:t>
                      </w:r>
                      <w:proofErr w:type="gramEnd"/>
                      <w:r>
                        <w:rPr>
                          <w:rFonts w:ascii="Calibri" w:eastAsia="Calibri" w:hAnsi="Calibri" w:cs="Calibri"/>
                          <w:color w:val="000000"/>
                        </w:rPr>
                        <w:t>:</w:t>
                      </w:r>
                    </w:p>
                    <w:p w14:paraId="4E2F81B6" w14:textId="77777777" w:rsidR="00D15367" w:rsidRDefault="00D15367" w:rsidP="00F12447">
                      <w:pPr>
                        <w:spacing w:line="240" w:lineRule="auto"/>
                        <w:ind w:left="1170" w:right="141" w:firstLine="814"/>
                        <w:textDirection w:val="btLr"/>
                      </w:pPr>
                      <w:r>
                        <w:rPr>
                          <w:rFonts w:ascii="Calibri" w:eastAsia="Calibri" w:hAnsi="Calibri" w:cs="Calibri"/>
                          <w:color w:val="000000"/>
                        </w:rPr>
                        <w:t xml:space="preserve">(A) </w:t>
                      </w:r>
                      <w:proofErr w:type="gramStart"/>
                      <w:r>
                        <w:rPr>
                          <w:rFonts w:ascii="Calibri" w:eastAsia="Calibri" w:hAnsi="Calibri" w:cs="Calibri"/>
                          <w:color w:val="000000"/>
                        </w:rPr>
                        <w:t>within</w:t>
                      </w:r>
                      <w:proofErr w:type="gramEnd"/>
                      <w:r>
                        <w:rPr>
                          <w:rFonts w:ascii="Calibri" w:eastAsia="Calibri" w:hAnsi="Calibri" w:cs="Calibri"/>
                          <w:color w:val="000000"/>
                        </w:rPr>
                        <w:t xml:space="preserve"> an MMM 2-7 area; and</w:t>
                      </w:r>
                    </w:p>
                    <w:p w14:paraId="0F900760" w14:textId="77777777" w:rsidR="00D15367" w:rsidRDefault="00D15367" w:rsidP="00F12447">
                      <w:pPr>
                        <w:spacing w:line="240" w:lineRule="auto"/>
                        <w:ind w:left="1170" w:right="141" w:firstLine="814"/>
                        <w:textDirection w:val="btLr"/>
                      </w:pPr>
                      <w:r>
                        <w:rPr>
                          <w:rFonts w:ascii="Calibri" w:eastAsia="Calibri" w:hAnsi="Calibri" w:cs="Calibri"/>
                          <w:color w:val="000000"/>
                        </w:rPr>
                        <w:t xml:space="preserve">(B) </w:t>
                      </w:r>
                      <w:proofErr w:type="gramStart"/>
                      <w:r>
                        <w:rPr>
                          <w:rFonts w:ascii="Calibri" w:eastAsia="Calibri" w:hAnsi="Calibri" w:cs="Calibri"/>
                          <w:color w:val="000000"/>
                        </w:rPr>
                        <w:t>at</w:t>
                      </w:r>
                      <w:proofErr w:type="gramEnd"/>
                      <w:r>
                        <w:rPr>
                          <w:rFonts w:ascii="Calibri" w:eastAsia="Calibri" w:hAnsi="Calibri" w:cs="Calibri"/>
                          <w:color w:val="000000"/>
                        </w:rPr>
                        <w:t xml:space="preserve"> the time of the attendance - at least 35 </w:t>
                      </w:r>
                      <w:proofErr w:type="spellStart"/>
                      <w:r>
                        <w:rPr>
                          <w:rFonts w:ascii="Calibri" w:eastAsia="Calibri" w:hAnsi="Calibri" w:cs="Calibri"/>
                          <w:color w:val="000000"/>
                        </w:rPr>
                        <w:t>kilometres</w:t>
                      </w:r>
                      <w:proofErr w:type="spellEnd"/>
                      <w:r>
                        <w:rPr>
                          <w:rFonts w:ascii="Calibri" w:eastAsia="Calibri" w:hAnsi="Calibri" w:cs="Calibri"/>
                          <w:color w:val="000000"/>
                        </w:rPr>
                        <w:t xml:space="preserve"> from the NP’s location (a); or</w:t>
                      </w:r>
                    </w:p>
                    <w:p w14:paraId="2377A2B4" w14:textId="77777777" w:rsidR="00D15367" w:rsidRDefault="00D15367" w:rsidP="00F12447">
                      <w:pPr>
                        <w:spacing w:line="240" w:lineRule="auto"/>
                        <w:ind w:left="904" w:right="141" w:firstLine="547"/>
                        <w:textDirection w:val="btLr"/>
                      </w:pPr>
                      <w:r>
                        <w:rPr>
                          <w:rFonts w:ascii="Calibri" w:eastAsia="Calibri" w:hAnsi="Calibri" w:cs="Calibri"/>
                          <w:color w:val="000000"/>
                        </w:rPr>
                        <w:t xml:space="preserve">(ii) </w:t>
                      </w:r>
                      <w:proofErr w:type="gramStart"/>
                      <w:r>
                        <w:rPr>
                          <w:rFonts w:ascii="Calibri" w:eastAsia="Calibri" w:hAnsi="Calibri" w:cs="Calibri"/>
                          <w:color w:val="000000"/>
                        </w:rPr>
                        <w:t>in</w:t>
                      </w:r>
                      <w:proofErr w:type="gramEnd"/>
                      <w:r>
                        <w:rPr>
                          <w:rFonts w:ascii="Calibri" w:eastAsia="Calibri" w:hAnsi="Calibri" w:cs="Calibri"/>
                          <w:color w:val="000000"/>
                        </w:rPr>
                        <w:t xml:space="preserve"> Australia if the patient is of Aboriginal or Torres Strait Islander descent.</w:t>
                      </w:r>
                    </w:p>
                  </w:txbxContent>
                </v:textbox>
                <w10:anchorlock/>
              </v:rect>
            </w:pict>
          </mc:Fallback>
        </mc:AlternateContent>
      </w:r>
    </w:p>
    <w:p w14:paraId="0CBBDA37" w14:textId="77777777" w:rsidR="006D2440" w:rsidRDefault="004D7CE6" w:rsidP="00165E5B">
      <w:pPr>
        <w:numPr>
          <w:ilvl w:val="0"/>
          <w:numId w:val="11"/>
        </w:numPr>
        <w:spacing w:after="120" w:line="240" w:lineRule="auto"/>
        <w:rPr>
          <w:rFonts w:ascii="Calibri" w:eastAsia="Calibri" w:hAnsi="Calibri" w:cs="Calibri"/>
        </w:rPr>
      </w:pPr>
      <w:r>
        <w:rPr>
          <w:rFonts w:ascii="Calibri" w:eastAsia="Calibri" w:hAnsi="Calibri" w:cs="Calibri"/>
        </w:rPr>
        <w:t>these items should parallel the time-tiers of existing patient-side items (i.e. less than 20 minutes, at least 20 minutes and at least 40 minutes), and</w:t>
      </w:r>
    </w:p>
    <w:p w14:paraId="1DAF1D64" w14:textId="77777777" w:rsidR="006D2440" w:rsidRDefault="004D7CE6" w:rsidP="00165E5B">
      <w:pPr>
        <w:numPr>
          <w:ilvl w:val="0"/>
          <w:numId w:val="11"/>
        </w:numPr>
        <w:spacing w:after="120" w:line="240" w:lineRule="auto"/>
        <w:rPr>
          <w:rFonts w:ascii="Calibri" w:eastAsia="Calibri" w:hAnsi="Calibri" w:cs="Calibri"/>
        </w:rPr>
      </w:pPr>
      <w:r>
        <w:rPr>
          <w:rFonts w:ascii="Calibri" w:eastAsia="Calibri" w:hAnsi="Calibri" w:cs="Calibri"/>
        </w:rPr>
        <w:t xml:space="preserve">there should be no requirement for any </w:t>
      </w:r>
      <w:proofErr w:type="gramStart"/>
      <w:r>
        <w:rPr>
          <w:rFonts w:ascii="Calibri" w:eastAsia="Calibri" w:hAnsi="Calibri" w:cs="Calibri"/>
        </w:rPr>
        <w:t>particular health</w:t>
      </w:r>
      <w:proofErr w:type="gramEnd"/>
      <w:r>
        <w:rPr>
          <w:rFonts w:ascii="Calibri" w:eastAsia="Calibri" w:hAnsi="Calibri" w:cs="Calibri"/>
        </w:rPr>
        <w:t xml:space="preserve"> service professional to be patient-side.</w:t>
      </w:r>
    </w:p>
    <w:p w14:paraId="62073BA6" w14:textId="77777777" w:rsidR="006D2440" w:rsidRDefault="004D7CE6" w:rsidP="00165E5B">
      <w:pPr>
        <w:pStyle w:val="Style4"/>
        <w:spacing w:before="0" w:line="240" w:lineRule="auto"/>
      </w:pPr>
      <w:r>
        <w:lastRenderedPageBreak/>
        <w:t>Rationale 13</w:t>
      </w:r>
    </w:p>
    <w:p w14:paraId="4A884398" w14:textId="77777777" w:rsidR="006D2440" w:rsidRDefault="004D7CE6" w:rsidP="00165E5B">
      <w:pPr>
        <w:spacing w:after="120" w:line="240" w:lineRule="auto"/>
        <w:rPr>
          <w:rFonts w:ascii="Calibri" w:eastAsia="Calibri" w:hAnsi="Calibri" w:cs="Calibri"/>
        </w:rPr>
      </w:pPr>
      <w:r>
        <w:rPr>
          <w:rFonts w:ascii="Calibri" w:eastAsia="Calibri" w:hAnsi="Calibri" w:cs="Calibri"/>
        </w:rPr>
        <w:t>This recommendation focuses on increasing patient access to, and use of, telehealth services. It is based on the following:</w:t>
      </w:r>
    </w:p>
    <w:p w14:paraId="6895F476"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Telehealth services are high-quality care options for Australians.</w:t>
      </w:r>
    </w:p>
    <w:p w14:paraId="5BD02F54"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Telehealth sessions between an NP and a patient will improve access to timely care, reduce fragmentation, reduce or avoid the need for patients to be transferred to access required care, and allow for clinically effective, high-value services for patients. For example:</w:t>
      </w:r>
    </w:p>
    <w:p w14:paraId="5CB488E6" w14:textId="77777777" w:rsidR="006D2440" w:rsidRDefault="004D7CE6" w:rsidP="00165E5B">
      <w:pPr>
        <w:numPr>
          <w:ilvl w:val="0"/>
          <w:numId w:val="43"/>
        </w:numPr>
        <w:spacing w:after="120" w:line="240" w:lineRule="auto"/>
        <w:ind w:left="720" w:right="142"/>
        <w:rPr>
          <w:rFonts w:ascii="Calibri" w:eastAsia="Calibri" w:hAnsi="Calibri" w:cs="Calibri"/>
        </w:rPr>
      </w:pPr>
      <w:r>
        <w:rPr>
          <w:rFonts w:ascii="Calibri" w:eastAsia="Calibri" w:hAnsi="Calibri" w:cs="Calibri"/>
        </w:rPr>
        <w:t>Telehealth services could be used for managing a patient who may already have medications/dressing available, to triage for the need for a physical consult, and/or to follow up on a face-to-face consult.</w:t>
      </w:r>
    </w:p>
    <w:p w14:paraId="14F4C22A" w14:textId="77777777" w:rsidR="006D2440" w:rsidRDefault="004D7CE6" w:rsidP="00165E5B">
      <w:pPr>
        <w:numPr>
          <w:ilvl w:val="0"/>
          <w:numId w:val="43"/>
        </w:numPr>
        <w:spacing w:after="120" w:line="240" w:lineRule="auto"/>
        <w:ind w:left="720" w:right="142"/>
        <w:rPr>
          <w:rFonts w:ascii="Calibri" w:eastAsia="Calibri" w:hAnsi="Calibri" w:cs="Calibri"/>
        </w:rPr>
      </w:pPr>
      <w:r>
        <w:rPr>
          <w:rFonts w:ascii="Calibri" w:eastAsia="Calibri" w:hAnsi="Calibri" w:cs="Calibri"/>
        </w:rPr>
        <w:t>Telehealth services can increase access for patients in isolated areas. For example, a patient based at a cattle station will require access to care for an initial contact, for urgent or emergent care, or for follow-up care. If provided face to face, patients would face barriers including cost, travel and time away from community.</w:t>
      </w:r>
    </w:p>
    <w:p w14:paraId="0CC97A3C" w14:textId="77777777" w:rsidR="006D2440" w:rsidRDefault="004D7CE6" w:rsidP="00165E5B">
      <w:pPr>
        <w:numPr>
          <w:ilvl w:val="0"/>
          <w:numId w:val="43"/>
        </w:numPr>
        <w:spacing w:after="120" w:line="240" w:lineRule="auto"/>
        <w:ind w:left="720" w:right="142"/>
        <w:rPr>
          <w:rFonts w:ascii="Calibri" w:eastAsia="Calibri" w:hAnsi="Calibri" w:cs="Calibri"/>
        </w:rPr>
      </w:pPr>
      <w:r>
        <w:rPr>
          <w:rFonts w:ascii="Calibri" w:eastAsia="Calibri" w:hAnsi="Calibri" w:cs="Calibri"/>
        </w:rPr>
        <w:t>Telehealth consultations can help improve access for patients with physical disabilities (who may find it difficult to get to an NP’s office) and for patients with intellectual disabilities (who may not respond well to unfamiliar surroundings).</w:t>
      </w:r>
    </w:p>
    <w:p w14:paraId="28631362" w14:textId="77777777" w:rsidR="006D2440" w:rsidRDefault="004D7CE6" w:rsidP="00165E5B">
      <w:pPr>
        <w:numPr>
          <w:ilvl w:val="0"/>
          <w:numId w:val="43"/>
        </w:numPr>
        <w:spacing w:after="120" w:line="240" w:lineRule="auto"/>
        <w:ind w:left="720" w:right="142"/>
        <w:rPr>
          <w:rFonts w:ascii="Calibri" w:eastAsia="Calibri" w:hAnsi="Calibri" w:cs="Calibri"/>
        </w:rPr>
      </w:pPr>
      <w:r>
        <w:rPr>
          <w:rFonts w:ascii="Calibri" w:eastAsia="Calibri" w:hAnsi="Calibri" w:cs="Calibri"/>
        </w:rPr>
        <w:t>Telehealth consultations can support NPs in providing primary care across the aged care sector. Enabling aged care nurses to access the support of NPs, particularly after hours, would further enhance NPs’ contribution to improving health outcomes and avoid deterioration in health status for older people.</w:t>
      </w:r>
    </w:p>
    <w:p w14:paraId="7BEB6A4B"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 Reference Group acknowledges that there could be benefit in a patient-side attendance by an RN, an Aboriginal and Torres Strait Islander health worker or health practitioner, an allied health professional, an enrolled nurse, or other health care providers.</w:t>
      </w:r>
    </w:p>
    <w:p w14:paraId="1159BB55" w14:textId="77777777" w:rsidR="006D2440" w:rsidRDefault="004D7CE6" w:rsidP="00165E5B">
      <w:pPr>
        <w:pStyle w:val="Style4"/>
        <w:spacing w:before="0" w:line="240" w:lineRule="auto"/>
      </w:pPr>
      <w:r>
        <w:t>Recommendation 14 - Allow telehealth consultations to take place via telephone where clinically appropriate</w:t>
      </w:r>
    </w:p>
    <w:p w14:paraId="3A745790" w14:textId="77777777" w:rsidR="006D2440" w:rsidRDefault="004D7CE6" w:rsidP="00165E5B">
      <w:pPr>
        <w:spacing w:after="120" w:line="240" w:lineRule="auto"/>
        <w:rPr>
          <w:rFonts w:ascii="Calibri" w:eastAsia="Calibri" w:hAnsi="Calibri" w:cs="Calibri"/>
        </w:rPr>
      </w:pPr>
      <w:r>
        <w:rPr>
          <w:rFonts w:ascii="Calibri" w:eastAsia="Calibri" w:hAnsi="Calibri" w:cs="Calibri"/>
        </w:rPr>
        <w:t>The Reference Group recommends allowing telehealth consultations to take place via telephone where clinically appropriate (i.e. without requiring a video connection) (items 82220, 82221, 82222, 82223, 82224, 82225, 8222A, 8222B and 8222C).</w:t>
      </w:r>
    </w:p>
    <w:p w14:paraId="1C50052F" w14:textId="77777777" w:rsidR="006D2440" w:rsidRDefault="004D7CE6" w:rsidP="00165E5B">
      <w:pPr>
        <w:pStyle w:val="Style4"/>
        <w:spacing w:before="0" w:line="240" w:lineRule="auto"/>
      </w:pPr>
      <w:r>
        <w:t>Rationale 14</w:t>
      </w:r>
    </w:p>
    <w:p w14:paraId="44E395B2" w14:textId="77777777" w:rsidR="006D2440" w:rsidRDefault="004D7CE6" w:rsidP="00165E5B">
      <w:pPr>
        <w:spacing w:after="120" w:line="240" w:lineRule="auto"/>
        <w:rPr>
          <w:rFonts w:ascii="Calibri" w:eastAsia="Calibri" w:hAnsi="Calibri" w:cs="Calibri"/>
        </w:rPr>
      </w:pPr>
      <w:r>
        <w:rPr>
          <w:rFonts w:ascii="Calibri" w:eastAsia="Calibri" w:hAnsi="Calibri" w:cs="Calibri"/>
        </w:rPr>
        <w:t>This recommendation focuses on increasing patient access to, and use of, telehealth services. It is based on the following:</w:t>
      </w:r>
    </w:p>
    <w:p w14:paraId="69F29B4A"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Requiring video connections between patient and practitioner has been shown to limit patient access to telehealth services (46) (47).</w:t>
      </w:r>
    </w:p>
    <w:p w14:paraId="1B3C469E"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Patients may be unable to undertake video communication due to:</w:t>
      </w:r>
    </w:p>
    <w:p w14:paraId="726DE1FA" w14:textId="77777777" w:rsidR="006D2440" w:rsidRDefault="004D7CE6" w:rsidP="00165E5B">
      <w:pPr>
        <w:numPr>
          <w:ilvl w:val="0"/>
          <w:numId w:val="43"/>
        </w:numPr>
        <w:spacing w:after="120" w:line="240" w:lineRule="auto"/>
        <w:ind w:left="720" w:right="142"/>
        <w:rPr>
          <w:rFonts w:ascii="Calibri" w:eastAsia="Calibri" w:hAnsi="Calibri" w:cs="Calibri"/>
        </w:rPr>
      </w:pPr>
      <w:r>
        <w:rPr>
          <w:rFonts w:ascii="Calibri" w:eastAsia="Calibri" w:hAnsi="Calibri" w:cs="Calibri"/>
        </w:rPr>
        <w:t>Poor internet connections, often due to remoteness.</w:t>
      </w:r>
    </w:p>
    <w:p w14:paraId="7C833811" w14:textId="77777777" w:rsidR="006D2440" w:rsidRDefault="004D7CE6" w:rsidP="00165E5B">
      <w:pPr>
        <w:numPr>
          <w:ilvl w:val="0"/>
          <w:numId w:val="43"/>
        </w:numPr>
        <w:spacing w:after="120" w:line="240" w:lineRule="auto"/>
        <w:ind w:left="720" w:right="142"/>
        <w:rPr>
          <w:rFonts w:ascii="Calibri" w:eastAsia="Calibri" w:hAnsi="Calibri" w:cs="Calibri"/>
        </w:rPr>
      </w:pPr>
      <w:r>
        <w:rPr>
          <w:rFonts w:ascii="Calibri" w:eastAsia="Calibri" w:hAnsi="Calibri" w:cs="Calibri"/>
        </w:rPr>
        <w:t>Lack of access to necessary technology.</w:t>
      </w:r>
    </w:p>
    <w:p w14:paraId="510AD4F1" w14:textId="77777777" w:rsidR="006D2440" w:rsidRDefault="004D7CE6" w:rsidP="00165E5B">
      <w:pPr>
        <w:numPr>
          <w:ilvl w:val="0"/>
          <w:numId w:val="43"/>
        </w:numPr>
        <w:spacing w:after="120" w:line="240" w:lineRule="auto"/>
        <w:ind w:left="720" w:right="142"/>
        <w:rPr>
          <w:rFonts w:ascii="Calibri" w:eastAsia="Calibri" w:hAnsi="Calibri" w:cs="Calibri"/>
        </w:rPr>
      </w:pPr>
      <w:r>
        <w:rPr>
          <w:rFonts w:ascii="Calibri" w:eastAsia="Calibri" w:hAnsi="Calibri" w:cs="Calibri"/>
        </w:rPr>
        <w:t>Lack of understanding of or comfort with technology.</w:t>
      </w:r>
    </w:p>
    <w:p w14:paraId="279809A1"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Telephone communication for telehealth services offers non-inferior outcomes, where clinically appropriate (47) (48).</w:t>
      </w:r>
    </w:p>
    <w:p w14:paraId="0EB6246E" w14:textId="77777777" w:rsidR="006D2440" w:rsidRDefault="004D7CE6" w:rsidP="00165E5B">
      <w:pPr>
        <w:spacing w:after="120" w:line="240" w:lineRule="auto"/>
        <w:rPr>
          <w:rFonts w:ascii="Calibri" w:eastAsia="Calibri" w:hAnsi="Calibri" w:cs="Calibri"/>
          <w:b/>
          <w:color w:val="01653F"/>
          <w:sz w:val="40"/>
          <w:szCs w:val="40"/>
        </w:rPr>
      </w:pPr>
      <w:r>
        <w:br w:type="page"/>
      </w:r>
    </w:p>
    <w:p w14:paraId="496B02B5" w14:textId="77777777" w:rsidR="00FE4A00" w:rsidRDefault="00FE4A00" w:rsidP="00FE4A00">
      <w:pPr>
        <w:pStyle w:val="Heading1"/>
        <w:keepLines w:val="0"/>
        <w:widowControl w:val="0"/>
        <w:pBdr>
          <w:bottom w:val="single" w:sz="16" w:space="11" w:color="BFBFBF"/>
        </w:pBdr>
        <w:spacing w:before="720" w:after="720" w:line="312" w:lineRule="auto"/>
        <w:ind w:left="432"/>
        <w:rPr>
          <w:rFonts w:ascii="Calibri" w:eastAsia="Calibri" w:hAnsi="Calibri" w:cs="Calibri"/>
          <w:b/>
          <w:color w:val="01653F"/>
        </w:rPr>
      </w:pPr>
      <w:bookmarkStart w:id="70" w:name="_Toc42764247"/>
      <w:r>
        <w:rPr>
          <w:rFonts w:ascii="Calibri" w:eastAsia="Calibri" w:hAnsi="Calibri" w:cs="Calibri"/>
          <w:b/>
          <w:color w:val="01653F"/>
        </w:rPr>
        <w:lastRenderedPageBreak/>
        <w:t>Participating Midwives Reference Group</w:t>
      </w:r>
      <w:bookmarkEnd w:id="70"/>
      <w:r>
        <w:rPr>
          <w:rFonts w:ascii="Calibri" w:eastAsia="Calibri" w:hAnsi="Calibri" w:cs="Calibri"/>
          <w:b/>
          <w:color w:val="01653F"/>
        </w:rPr>
        <w:t xml:space="preserve"> </w:t>
      </w:r>
    </w:p>
    <w:p w14:paraId="2953A3A3" w14:textId="77777777" w:rsidR="00FE4A00" w:rsidRPr="008E7FF0" w:rsidRDefault="00FE4A00" w:rsidP="00FE4A00">
      <w:pPr>
        <w:pStyle w:val="Style4"/>
        <w:rPr>
          <w:color w:val="4F6228" w:themeColor="accent3" w:themeShade="80"/>
        </w:rPr>
      </w:pPr>
      <w:r w:rsidRPr="008E7FF0">
        <w:rPr>
          <w:color w:val="4F6228" w:themeColor="accent3" w:themeShade="80"/>
        </w:rPr>
        <w:t>Telehealth Working Group Consideration</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49F5AC82"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8B95B71" w14:textId="5E8C504B" w:rsidR="00FE4A00" w:rsidRDefault="00FE4A00" w:rsidP="000E2172">
            <w:pPr>
              <w:spacing w:before="120"/>
              <w:ind w:right="142"/>
              <w:rPr>
                <w:rFonts w:ascii="Calibri" w:eastAsia="Calibri" w:hAnsi="Calibri" w:cs="Calibri"/>
              </w:rPr>
            </w:pPr>
            <w:r>
              <w:rPr>
                <w:rFonts w:ascii="Calibri" w:eastAsia="Calibri" w:hAnsi="Calibri" w:cs="Calibri"/>
                <w:b/>
              </w:rPr>
              <w:t xml:space="preserve">Telehealth Recommendation </w:t>
            </w:r>
            <w:r w:rsidR="000E2172">
              <w:rPr>
                <w:rFonts w:ascii="Calibri" w:eastAsia="Calibri" w:hAnsi="Calibri" w:cs="Calibri"/>
                <w:b/>
              </w:rPr>
              <w:t>8</w:t>
            </w:r>
            <w:r>
              <w:rPr>
                <w:rFonts w:ascii="Calibri" w:eastAsia="Calibri" w:hAnsi="Calibri" w:cs="Calibri"/>
                <w:b/>
              </w:rPr>
              <w:t xml:space="preserve"> of 21: </w:t>
            </w:r>
            <w:r w:rsidRPr="008E7FF0">
              <w:rPr>
                <w:rFonts w:ascii="Calibri" w:eastAsia="Calibri" w:hAnsi="Calibri" w:cs="Calibri"/>
                <w:b/>
              </w:rPr>
              <w:t>Participating Midwives Reference Group Recommendation 11</w:t>
            </w:r>
            <w:r>
              <w:rPr>
                <w:rFonts w:ascii="Calibri" w:eastAsia="Calibri" w:hAnsi="Calibri" w:cs="Calibri"/>
                <w:b/>
              </w:rPr>
              <w:t xml:space="preserve"> - </w:t>
            </w:r>
            <w:r>
              <w:rPr>
                <w:rFonts w:ascii="Calibri" w:eastAsia="Calibri" w:hAnsi="Calibri" w:cs="Calibri"/>
              </w:rPr>
              <w:t>Include GPs as eligible specialists for existing telehealth items</w:t>
            </w:r>
          </w:p>
        </w:tc>
      </w:tr>
      <w:tr w:rsidR="00716DA7" w14:paraId="0618E433"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70E7C261" w14:textId="17CED2D7" w:rsidR="00FE4A00" w:rsidRDefault="00FE4A00" w:rsidP="00FE4A00">
            <w:pPr>
              <w:spacing w:before="120"/>
              <w:rPr>
                <w:rFonts w:ascii="Calibri" w:eastAsia="Calibri" w:hAnsi="Calibri" w:cs="Calibri"/>
              </w:rPr>
            </w:pPr>
            <w:r>
              <w:rPr>
                <w:rFonts w:ascii="Calibri" w:eastAsia="Calibri" w:hAnsi="Calibri" w:cs="Calibri"/>
                <w:b/>
              </w:rPr>
              <w:t xml:space="preserve">TWG Recommendation: </w:t>
            </w:r>
            <w:r w:rsidR="00B35BA1">
              <w:rPr>
                <w:rFonts w:ascii="Calibri" w:eastAsia="Calibri" w:hAnsi="Calibri" w:cs="Calibri"/>
              </w:rPr>
              <w:t>The TWG supports this recommendation assuming an alternative funding model.</w:t>
            </w:r>
          </w:p>
        </w:tc>
      </w:tr>
      <w:tr w:rsidR="00716DA7" w14:paraId="152E280E"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3F72DCE" w14:textId="77777777" w:rsidR="00FE4A00" w:rsidRDefault="00FE4A00" w:rsidP="00FE4A00">
            <w:pPr>
              <w:spacing w:before="120"/>
              <w:rPr>
                <w:rFonts w:ascii="Calibri" w:eastAsia="Calibri" w:hAnsi="Calibri" w:cs="Calibri"/>
                <w:b/>
              </w:rPr>
            </w:pPr>
            <w:r>
              <w:rPr>
                <w:rFonts w:ascii="Calibri" w:eastAsia="Calibri" w:hAnsi="Calibri" w:cs="Calibri"/>
                <w:b/>
              </w:rPr>
              <w:t>TWG Rationale:</w:t>
            </w:r>
          </w:p>
          <w:p w14:paraId="1EBBC40A" w14:textId="34C4A974" w:rsidR="00FE4A00" w:rsidRDefault="00FE4A00" w:rsidP="00FE4A00">
            <w:pPr>
              <w:spacing w:before="120"/>
              <w:rPr>
                <w:rFonts w:ascii="Calibri" w:eastAsia="Calibri" w:hAnsi="Calibri" w:cs="Calibri"/>
              </w:rPr>
            </w:pPr>
            <w:r>
              <w:rPr>
                <w:rFonts w:ascii="Calibri" w:eastAsia="Calibri" w:hAnsi="Calibri" w:cs="Calibri"/>
              </w:rPr>
              <w:t>The TWG agreed that any outputs from this group should reflect what the Taskforce has said and that an MBS funded model of independent midwifery care is unlikely to lead to a successful business model and other funding models would be more suitable.</w:t>
            </w:r>
            <w:r w:rsidR="00552BC5">
              <w:rPr>
                <w:rFonts w:ascii="Calibri" w:eastAsia="Calibri" w:hAnsi="Calibri" w:cs="Calibri"/>
              </w:rPr>
              <w:t xml:space="preserve">  That said the TWG supports this recommendation </w:t>
            </w:r>
            <w:r w:rsidR="00B35BA1">
              <w:rPr>
                <w:rFonts w:ascii="Calibri" w:eastAsia="Calibri" w:hAnsi="Calibri" w:cs="Calibri"/>
              </w:rPr>
              <w:t>assuming an alternative funding model.</w:t>
            </w:r>
          </w:p>
          <w:p w14:paraId="00C4B3B0" w14:textId="235D81EA" w:rsidR="00FE4A00" w:rsidRPr="002C2776" w:rsidRDefault="00FE4A00" w:rsidP="004F3ED5">
            <w:pPr>
              <w:spacing w:before="120"/>
              <w:rPr>
                <w:rFonts w:ascii="Calibri" w:eastAsia="Calibri" w:hAnsi="Calibri" w:cs="Calibri"/>
              </w:rPr>
            </w:pPr>
            <w:r>
              <w:rPr>
                <w:rFonts w:ascii="Calibri" w:eastAsia="Calibri" w:hAnsi="Calibri" w:cs="Calibri"/>
              </w:rPr>
              <w:t xml:space="preserve">This recommendation is </w:t>
            </w:r>
            <w:proofErr w:type="gramStart"/>
            <w:r>
              <w:rPr>
                <w:rFonts w:ascii="Calibri" w:eastAsia="Calibri" w:hAnsi="Calibri" w:cs="Calibri"/>
              </w:rPr>
              <w:t>similar to</w:t>
            </w:r>
            <w:proofErr w:type="gramEnd"/>
            <w:r>
              <w:rPr>
                <w:rFonts w:ascii="Calibri" w:eastAsia="Calibri" w:hAnsi="Calibri" w:cs="Calibri"/>
              </w:rPr>
              <w:t xml:space="preserve"> a recommendation made by the NPRG and GP</w:t>
            </w:r>
            <w:r w:rsidR="002C2776">
              <w:rPr>
                <w:rFonts w:ascii="Calibri" w:eastAsia="Calibri" w:hAnsi="Calibri" w:cs="Calibri"/>
              </w:rPr>
              <w:t>PCCC.</w:t>
            </w:r>
          </w:p>
        </w:tc>
      </w:tr>
    </w:tbl>
    <w:p w14:paraId="26C34EA5" w14:textId="77777777" w:rsidR="00FE4A00" w:rsidRDefault="00FE4A00" w:rsidP="00FE4A00">
      <w:pPr>
        <w:spacing w:line="240" w:lineRule="auto"/>
        <w:jc w:val="both"/>
        <w:rPr>
          <w:rFonts w:ascii="Calibri" w:eastAsia="Calibri" w:hAnsi="Calibri" w:cs="Calibri"/>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5C0ED0B9"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2DACDFB4" w14:textId="26BBFEC4" w:rsidR="00FE4A00" w:rsidRDefault="00FE4A00" w:rsidP="000E2172">
            <w:pPr>
              <w:spacing w:before="120"/>
              <w:ind w:right="142"/>
              <w:rPr>
                <w:rFonts w:ascii="Calibri" w:eastAsia="Calibri" w:hAnsi="Calibri" w:cs="Calibri"/>
                <w:b/>
              </w:rPr>
            </w:pPr>
            <w:r>
              <w:rPr>
                <w:rFonts w:ascii="Calibri" w:eastAsia="Calibri" w:hAnsi="Calibri" w:cs="Calibri"/>
                <w:b/>
              </w:rPr>
              <w:t xml:space="preserve">Telehealth Recommendation </w:t>
            </w:r>
            <w:r w:rsidR="000E2172">
              <w:rPr>
                <w:rFonts w:ascii="Calibri" w:eastAsia="Calibri" w:hAnsi="Calibri" w:cs="Calibri"/>
                <w:b/>
              </w:rPr>
              <w:t>9</w:t>
            </w:r>
            <w:r>
              <w:rPr>
                <w:rFonts w:ascii="Calibri" w:eastAsia="Calibri" w:hAnsi="Calibri" w:cs="Calibri"/>
                <w:b/>
              </w:rPr>
              <w:t xml:space="preserve"> of 21</w:t>
            </w:r>
            <w:r w:rsidRPr="008E7FF0">
              <w:rPr>
                <w:rFonts w:ascii="Calibri" w:eastAsia="Calibri" w:hAnsi="Calibri" w:cs="Calibri"/>
                <w:b/>
              </w:rPr>
              <w:t>: Participating Midwives Reference Group Recommendation 12</w:t>
            </w:r>
            <w:r>
              <w:rPr>
                <w:rFonts w:ascii="Calibri" w:eastAsia="Calibri" w:hAnsi="Calibri" w:cs="Calibri"/>
                <w:b/>
              </w:rPr>
              <w:t xml:space="preserve"> - </w:t>
            </w:r>
            <w:r>
              <w:rPr>
                <w:rFonts w:ascii="Calibri" w:eastAsia="Calibri" w:hAnsi="Calibri" w:cs="Calibri"/>
              </w:rPr>
              <w:t>Facilitate telehealth consultations between women and midwives</w:t>
            </w:r>
          </w:p>
        </w:tc>
      </w:tr>
      <w:tr w:rsidR="00716DA7" w14:paraId="6571E945"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3F6A209C" w14:textId="66FF050E" w:rsidR="00FE4A00" w:rsidRDefault="00FE4A00" w:rsidP="00FE4A00">
            <w:pPr>
              <w:spacing w:before="120"/>
              <w:rPr>
                <w:rFonts w:ascii="Calibri" w:eastAsia="Calibri" w:hAnsi="Calibri" w:cs="Calibri"/>
              </w:rPr>
            </w:pPr>
            <w:r>
              <w:rPr>
                <w:rFonts w:ascii="Calibri" w:eastAsia="Calibri" w:hAnsi="Calibri" w:cs="Calibri"/>
                <w:b/>
              </w:rPr>
              <w:t xml:space="preserve">TWG Recommendation: </w:t>
            </w:r>
            <w:r w:rsidR="00DA47C4" w:rsidRPr="00D15367">
              <w:rPr>
                <w:rFonts w:ascii="Calibri" w:hAnsi="Calibri"/>
              </w:rPr>
              <w:t>Supported in principle but not</w:t>
            </w:r>
            <w:r w:rsidR="00DA47C4" w:rsidRPr="004C4F5B">
              <w:rPr>
                <w:rFonts w:ascii="Calibri" w:hAnsi="Calibri"/>
              </w:rPr>
              <w:t xml:space="preserve"> </w:t>
            </w:r>
            <w:r w:rsidR="00DA47C4">
              <w:rPr>
                <w:rFonts w:ascii="Calibri" w:eastAsia="Calibri" w:hAnsi="Calibri" w:cs="Calibri"/>
              </w:rPr>
              <w:t>through the MBS</w:t>
            </w:r>
          </w:p>
        </w:tc>
      </w:tr>
      <w:tr w:rsidR="00716DA7" w14:paraId="24C9175C"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0EEBC8" w14:textId="77777777" w:rsidR="00FE4A00" w:rsidRDefault="00FE4A00" w:rsidP="00FE4A00">
            <w:pPr>
              <w:spacing w:before="120"/>
              <w:rPr>
                <w:rFonts w:ascii="Calibri" w:eastAsia="Calibri" w:hAnsi="Calibri" w:cs="Calibri"/>
                <w:b/>
              </w:rPr>
            </w:pPr>
            <w:r>
              <w:rPr>
                <w:rFonts w:ascii="Calibri" w:eastAsia="Calibri" w:hAnsi="Calibri" w:cs="Calibri"/>
                <w:b/>
              </w:rPr>
              <w:t>TWG Rationale:</w:t>
            </w:r>
          </w:p>
          <w:p w14:paraId="62F9D0B8" w14:textId="191E3555" w:rsidR="00FE4A00" w:rsidRDefault="00FE4A00">
            <w:pPr>
              <w:spacing w:before="120"/>
              <w:rPr>
                <w:rFonts w:ascii="Calibri" w:eastAsia="Calibri" w:hAnsi="Calibri" w:cs="Calibri"/>
              </w:rPr>
            </w:pPr>
            <w:r>
              <w:rPr>
                <w:rFonts w:ascii="Calibri" w:eastAsia="Calibri" w:hAnsi="Calibri" w:cs="Calibri"/>
              </w:rPr>
              <w:t xml:space="preserve">The TWG </w:t>
            </w:r>
            <w:r w:rsidR="00DA47C4">
              <w:rPr>
                <w:rFonts w:ascii="Calibri" w:eastAsia="Calibri" w:hAnsi="Calibri" w:cs="Calibri"/>
              </w:rPr>
              <w:t xml:space="preserve">supported this recommendation subject to all the other principles but did </w:t>
            </w:r>
            <w:r>
              <w:rPr>
                <w:rFonts w:ascii="Calibri" w:eastAsia="Calibri" w:hAnsi="Calibri" w:cs="Calibri"/>
              </w:rPr>
              <w:t>not support this recommendation</w:t>
            </w:r>
            <w:r w:rsidR="00DA47C4">
              <w:rPr>
                <w:rFonts w:ascii="Calibri" w:eastAsia="Calibri" w:hAnsi="Calibri" w:cs="Calibri"/>
              </w:rPr>
              <w:t xml:space="preserve"> through the MBS as the model of care requested in this report co</w:t>
            </w:r>
            <w:r w:rsidR="00220027">
              <w:rPr>
                <w:rFonts w:ascii="Calibri" w:eastAsia="Calibri" w:hAnsi="Calibri" w:cs="Calibri"/>
              </w:rPr>
              <w:t xml:space="preserve">uld not be supported by the </w:t>
            </w:r>
            <w:r w:rsidR="002C2776">
              <w:rPr>
                <w:rFonts w:ascii="Calibri" w:eastAsia="Calibri" w:hAnsi="Calibri" w:cs="Calibri"/>
              </w:rPr>
              <w:t>MBS.</w:t>
            </w:r>
          </w:p>
        </w:tc>
      </w:tr>
    </w:tbl>
    <w:p w14:paraId="5191E935" w14:textId="77777777" w:rsidR="00FE4A00" w:rsidRPr="008E7FF0" w:rsidRDefault="00FE4A00" w:rsidP="00FE4A00">
      <w:pPr>
        <w:pStyle w:val="Style4"/>
        <w:rPr>
          <w:color w:val="4F6228" w:themeColor="accent3" w:themeShade="80"/>
        </w:rPr>
      </w:pPr>
      <w:bookmarkStart w:id="71" w:name="_wxc8oexbhsxs" w:colFirst="0" w:colLast="0"/>
      <w:bookmarkEnd w:id="71"/>
      <w:r w:rsidRPr="008E7FF0">
        <w:rPr>
          <w:color w:val="4F6228" w:themeColor="accent3" w:themeShade="80"/>
        </w:rPr>
        <w:t>Participating Midwives Reference Group Recommendations</w:t>
      </w:r>
    </w:p>
    <w:p w14:paraId="65AC665A" w14:textId="77777777" w:rsidR="00FE4A00" w:rsidRDefault="00FE4A00" w:rsidP="00FE4A00">
      <w:pPr>
        <w:keepNext/>
        <w:spacing w:before="120" w:after="120" w:line="312" w:lineRule="auto"/>
        <w:rPr>
          <w:rFonts w:ascii="Calibri" w:eastAsia="Calibri" w:hAnsi="Calibri" w:cs="Calibri"/>
          <w:b/>
          <w:sz w:val="20"/>
          <w:szCs w:val="20"/>
        </w:rPr>
      </w:pPr>
      <w:r>
        <w:rPr>
          <w:rFonts w:ascii="Calibri" w:eastAsia="Calibri" w:hAnsi="Calibri" w:cs="Calibri"/>
          <w:b/>
          <w:sz w:val="20"/>
          <w:szCs w:val="20"/>
        </w:rPr>
        <w:t>Table 1: Items 82150–82152</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00" w:firstRow="0" w:lastRow="0" w:firstColumn="0" w:lastColumn="0" w:noHBand="0" w:noVBand="1"/>
      </w:tblPr>
      <w:tblGrid>
        <w:gridCol w:w="733"/>
        <w:gridCol w:w="3905"/>
        <w:gridCol w:w="20"/>
        <w:gridCol w:w="1005"/>
        <w:gridCol w:w="23"/>
        <w:gridCol w:w="1051"/>
        <w:gridCol w:w="1178"/>
        <w:gridCol w:w="1101"/>
      </w:tblGrid>
      <w:tr w:rsidR="00FE4A00" w14:paraId="2DB6F75F" w14:textId="77777777" w:rsidTr="00FE4A00">
        <w:trPr>
          <w:trHeight w:val="351"/>
        </w:trPr>
        <w:tc>
          <w:tcPr>
            <w:tcW w:w="733" w:type="dxa"/>
            <w:shd w:val="clear" w:color="auto" w:fill="01653F"/>
            <w:vAlign w:val="bottom"/>
          </w:tcPr>
          <w:p w14:paraId="21DF6B35" w14:textId="77777777" w:rsidR="00FE4A00" w:rsidRDefault="00FE4A00" w:rsidP="00FE4A00">
            <w:pPr>
              <w:keepNext/>
              <w:spacing w:before="60" w:after="60" w:line="312" w:lineRule="auto"/>
              <w:rPr>
                <w:rFonts w:ascii="Calibri" w:eastAsia="Calibri" w:hAnsi="Calibri" w:cs="Calibri"/>
                <w:b/>
                <w:color w:val="FFFFFF"/>
                <w:sz w:val="18"/>
                <w:szCs w:val="18"/>
              </w:rPr>
            </w:pPr>
            <w:r>
              <w:rPr>
                <w:rFonts w:ascii="Calibri" w:eastAsia="Calibri" w:hAnsi="Calibri" w:cs="Calibri"/>
                <w:b/>
                <w:color w:val="FFFFFF"/>
                <w:sz w:val="18"/>
                <w:szCs w:val="18"/>
              </w:rPr>
              <w:t>Item</w:t>
            </w:r>
          </w:p>
        </w:tc>
        <w:tc>
          <w:tcPr>
            <w:tcW w:w="3925" w:type="dxa"/>
            <w:gridSpan w:val="2"/>
            <w:shd w:val="clear" w:color="auto" w:fill="01653F"/>
            <w:vAlign w:val="bottom"/>
          </w:tcPr>
          <w:p w14:paraId="132081EF" w14:textId="77777777" w:rsidR="00FE4A00" w:rsidRDefault="00FE4A00" w:rsidP="00FE4A00">
            <w:pPr>
              <w:keepNext/>
              <w:spacing w:before="60" w:after="60" w:line="312" w:lineRule="auto"/>
              <w:rPr>
                <w:rFonts w:ascii="Calibri" w:eastAsia="Calibri" w:hAnsi="Calibri" w:cs="Calibri"/>
                <w:b/>
                <w:color w:val="FFFFFF"/>
                <w:sz w:val="18"/>
                <w:szCs w:val="18"/>
              </w:rPr>
            </w:pPr>
            <w:r>
              <w:rPr>
                <w:rFonts w:ascii="Calibri" w:eastAsia="Calibri" w:hAnsi="Calibri" w:cs="Calibri"/>
                <w:b/>
                <w:color w:val="FFFFFF"/>
                <w:sz w:val="18"/>
                <w:szCs w:val="18"/>
              </w:rPr>
              <w:t>Descriptor</w:t>
            </w:r>
          </w:p>
        </w:tc>
        <w:tc>
          <w:tcPr>
            <w:tcW w:w="1028" w:type="dxa"/>
            <w:gridSpan w:val="2"/>
            <w:shd w:val="clear" w:color="auto" w:fill="01653F"/>
            <w:vAlign w:val="bottom"/>
          </w:tcPr>
          <w:p w14:paraId="612571B5" w14:textId="77777777" w:rsidR="00FE4A00" w:rsidRDefault="00FE4A00" w:rsidP="00FE4A00">
            <w:pPr>
              <w:keepNext/>
              <w:spacing w:before="60" w:after="60" w:line="312" w:lineRule="auto"/>
              <w:rPr>
                <w:rFonts w:ascii="Calibri" w:eastAsia="Calibri" w:hAnsi="Calibri" w:cs="Calibri"/>
                <w:b/>
                <w:color w:val="FFFFFF"/>
                <w:sz w:val="18"/>
                <w:szCs w:val="18"/>
              </w:rPr>
            </w:pPr>
            <w:r>
              <w:rPr>
                <w:rFonts w:ascii="Calibri" w:eastAsia="Calibri" w:hAnsi="Calibri" w:cs="Calibri"/>
                <w:b/>
                <w:color w:val="FFFFFF"/>
                <w:sz w:val="18"/>
                <w:szCs w:val="18"/>
              </w:rPr>
              <w:t>Schedule fee (AUD)</w:t>
            </w:r>
          </w:p>
        </w:tc>
        <w:tc>
          <w:tcPr>
            <w:tcW w:w="1051" w:type="dxa"/>
            <w:shd w:val="clear" w:color="auto" w:fill="01653F"/>
            <w:vAlign w:val="bottom"/>
          </w:tcPr>
          <w:p w14:paraId="74881C52" w14:textId="77777777" w:rsidR="00FE4A00" w:rsidRDefault="00FE4A00" w:rsidP="00FE4A00">
            <w:pPr>
              <w:keepNext/>
              <w:spacing w:before="60" w:after="60" w:line="312" w:lineRule="auto"/>
              <w:rPr>
                <w:rFonts w:ascii="Calibri" w:eastAsia="Calibri" w:hAnsi="Calibri" w:cs="Calibri"/>
                <w:b/>
                <w:color w:val="FFFFFF"/>
                <w:sz w:val="18"/>
                <w:szCs w:val="18"/>
              </w:rPr>
            </w:pPr>
            <w:r>
              <w:rPr>
                <w:rFonts w:ascii="Calibri" w:eastAsia="Calibri" w:hAnsi="Calibri" w:cs="Calibri"/>
                <w:b/>
                <w:color w:val="FFFFFF"/>
                <w:sz w:val="18"/>
                <w:szCs w:val="18"/>
              </w:rPr>
              <w:t>Services FY2016/17</w:t>
            </w:r>
          </w:p>
        </w:tc>
        <w:tc>
          <w:tcPr>
            <w:tcW w:w="1178" w:type="dxa"/>
            <w:shd w:val="clear" w:color="auto" w:fill="01653F"/>
            <w:vAlign w:val="bottom"/>
          </w:tcPr>
          <w:p w14:paraId="24B36163" w14:textId="77777777" w:rsidR="00FE4A00" w:rsidRDefault="00FE4A00" w:rsidP="00FE4A00">
            <w:pPr>
              <w:keepNext/>
              <w:spacing w:before="60" w:after="60" w:line="312" w:lineRule="auto"/>
              <w:rPr>
                <w:rFonts w:ascii="Calibri" w:eastAsia="Calibri" w:hAnsi="Calibri" w:cs="Calibri"/>
                <w:b/>
                <w:color w:val="FFFFFF"/>
                <w:sz w:val="18"/>
                <w:szCs w:val="18"/>
              </w:rPr>
            </w:pPr>
            <w:r>
              <w:rPr>
                <w:rFonts w:ascii="Calibri" w:eastAsia="Calibri" w:hAnsi="Calibri" w:cs="Calibri"/>
                <w:b/>
                <w:color w:val="FFFFFF"/>
                <w:sz w:val="18"/>
                <w:szCs w:val="18"/>
              </w:rPr>
              <w:t>Benefits FY2016/17 (AUD)</w:t>
            </w:r>
          </w:p>
        </w:tc>
        <w:tc>
          <w:tcPr>
            <w:tcW w:w="1101" w:type="dxa"/>
            <w:shd w:val="clear" w:color="auto" w:fill="01653F"/>
            <w:vAlign w:val="bottom"/>
          </w:tcPr>
          <w:p w14:paraId="10ABE683" w14:textId="77777777" w:rsidR="00FE4A00" w:rsidRDefault="00FE4A00" w:rsidP="00FE4A00">
            <w:pPr>
              <w:keepNext/>
              <w:spacing w:before="60" w:after="60" w:line="312" w:lineRule="auto"/>
              <w:rPr>
                <w:rFonts w:ascii="Calibri" w:eastAsia="Calibri" w:hAnsi="Calibri" w:cs="Calibri"/>
                <w:b/>
                <w:color w:val="FFFFFF"/>
                <w:sz w:val="18"/>
                <w:szCs w:val="18"/>
              </w:rPr>
            </w:pPr>
            <w:r>
              <w:rPr>
                <w:rFonts w:ascii="Calibri" w:eastAsia="Calibri" w:hAnsi="Calibri" w:cs="Calibri"/>
                <w:b/>
                <w:color w:val="FFFFFF"/>
                <w:sz w:val="18"/>
                <w:szCs w:val="18"/>
              </w:rPr>
              <w:t>Services 5-year annual avg. growth</w:t>
            </w:r>
          </w:p>
        </w:tc>
      </w:tr>
      <w:tr w:rsidR="00FE4A00" w14:paraId="411B1AF6" w14:textId="77777777" w:rsidTr="00FE4A00">
        <w:trPr>
          <w:trHeight w:val="253"/>
        </w:trPr>
        <w:tc>
          <w:tcPr>
            <w:tcW w:w="733" w:type="dxa"/>
            <w:shd w:val="clear" w:color="auto" w:fill="auto"/>
          </w:tcPr>
          <w:p w14:paraId="5F3CD1CC"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82150</w:t>
            </w:r>
          </w:p>
        </w:tc>
        <w:tc>
          <w:tcPr>
            <w:tcW w:w="3905" w:type="dxa"/>
            <w:shd w:val="clear" w:color="auto" w:fill="auto"/>
          </w:tcPr>
          <w:p w14:paraId="3B497A98"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A professional attendance lasting less than 20 minutes (</w:t>
            </w:r>
            <w:proofErr w:type="gramStart"/>
            <w:r>
              <w:rPr>
                <w:rFonts w:ascii="Calibri" w:eastAsia="Calibri" w:hAnsi="Calibri" w:cs="Calibri"/>
                <w:sz w:val="18"/>
                <w:szCs w:val="18"/>
              </w:rPr>
              <w:t>whether or not</w:t>
            </w:r>
            <w:proofErr w:type="gramEnd"/>
            <w:r>
              <w:rPr>
                <w:rFonts w:ascii="Calibri" w:eastAsia="Calibri" w:hAnsi="Calibri" w:cs="Calibri"/>
                <w:sz w:val="18"/>
                <w:szCs w:val="18"/>
              </w:rPr>
              <w:t xml:space="preserve"> continuous) to a patient who is participating in a video consultation with a specialist / consultant in </w:t>
            </w:r>
            <w:proofErr w:type="spellStart"/>
            <w:r>
              <w:rPr>
                <w:rFonts w:ascii="Calibri" w:eastAsia="Calibri" w:hAnsi="Calibri" w:cs="Calibri"/>
                <w:sz w:val="18"/>
                <w:szCs w:val="18"/>
              </w:rPr>
              <w:t>paediatrics</w:t>
            </w:r>
            <w:proofErr w:type="spellEnd"/>
            <w:r>
              <w:rPr>
                <w:rFonts w:ascii="Calibri" w:eastAsia="Calibri" w:hAnsi="Calibri" w:cs="Calibri"/>
                <w:sz w:val="18"/>
                <w:szCs w:val="18"/>
              </w:rPr>
              <w:t xml:space="preserve"> or obstetrics</w:t>
            </w:r>
          </w:p>
        </w:tc>
        <w:tc>
          <w:tcPr>
            <w:tcW w:w="1025" w:type="dxa"/>
            <w:gridSpan w:val="2"/>
            <w:shd w:val="clear" w:color="auto" w:fill="auto"/>
          </w:tcPr>
          <w:p w14:paraId="0CF0D9E3"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28.30</w:t>
            </w:r>
          </w:p>
        </w:tc>
        <w:tc>
          <w:tcPr>
            <w:tcW w:w="1074" w:type="dxa"/>
            <w:gridSpan w:val="2"/>
            <w:shd w:val="clear" w:color="auto" w:fill="auto"/>
          </w:tcPr>
          <w:p w14:paraId="0EE38394"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1</w:t>
            </w:r>
          </w:p>
        </w:tc>
        <w:tc>
          <w:tcPr>
            <w:tcW w:w="1178" w:type="dxa"/>
            <w:shd w:val="clear" w:color="auto" w:fill="auto"/>
          </w:tcPr>
          <w:p w14:paraId="493B7B63"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24</w:t>
            </w:r>
          </w:p>
        </w:tc>
        <w:tc>
          <w:tcPr>
            <w:tcW w:w="1101" w:type="dxa"/>
            <w:shd w:val="clear" w:color="auto" w:fill="auto"/>
          </w:tcPr>
          <w:p w14:paraId="09F96EC4"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-24.2%</w:t>
            </w:r>
          </w:p>
        </w:tc>
      </w:tr>
      <w:tr w:rsidR="00FE4A00" w14:paraId="7E671085" w14:textId="77777777" w:rsidTr="00FE4A00">
        <w:trPr>
          <w:trHeight w:val="832"/>
        </w:trPr>
        <w:tc>
          <w:tcPr>
            <w:tcW w:w="733" w:type="dxa"/>
            <w:shd w:val="clear" w:color="auto" w:fill="auto"/>
          </w:tcPr>
          <w:p w14:paraId="47E62D54"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82151</w:t>
            </w:r>
          </w:p>
        </w:tc>
        <w:tc>
          <w:tcPr>
            <w:tcW w:w="3905" w:type="dxa"/>
            <w:shd w:val="clear" w:color="auto" w:fill="auto"/>
          </w:tcPr>
          <w:p w14:paraId="6465C0D0"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A professional attendance lasting at least 20 minutes (</w:t>
            </w:r>
            <w:proofErr w:type="gramStart"/>
            <w:r>
              <w:rPr>
                <w:rFonts w:ascii="Calibri" w:eastAsia="Calibri" w:hAnsi="Calibri" w:cs="Calibri"/>
                <w:sz w:val="18"/>
                <w:szCs w:val="18"/>
              </w:rPr>
              <w:t>whether or not</w:t>
            </w:r>
            <w:proofErr w:type="gramEnd"/>
            <w:r>
              <w:rPr>
                <w:rFonts w:ascii="Calibri" w:eastAsia="Calibri" w:hAnsi="Calibri" w:cs="Calibri"/>
                <w:sz w:val="18"/>
                <w:szCs w:val="18"/>
              </w:rPr>
              <w:t xml:space="preserve"> continuous) to a patient who is</w:t>
            </w:r>
          </w:p>
          <w:p w14:paraId="2EA2C87A"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 xml:space="preserve">participating in a video consultation with a specialist / consultant in </w:t>
            </w:r>
            <w:proofErr w:type="spellStart"/>
            <w:r>
              <w:rPr>
                <w:rFonts w:ascii="Calibri" w:eastAsia="Calibri" w:hAnsi="Calibri" w:cs="Calibri"/>
                <w:sz w:val="18"/>
                <w:szCs w:val="18"/>
              </w:rPr>
              <w:t>paediatrics</w:t>
            </w:r>
            <w:proofErr w:type="spellEnd"/>
            <w:r>
              <w:rPr>
                <w:rFonts w:ascii="Calibri" w:eastAsia="Calibri" w:hAnsi="Calibri" w:cs="Calibri"/>
                <w:sz w:val="18"/>
                <w:szCs w:val="18"/>
              </w:rPr>
              <w:t xml:space="preserve"> or obstetrics</w:t>
            </w:r>
          </w:p>
        </w:tc>
        <w:tc>
          <w:tcPr>
            <w:tcW w:w="1025" w:type="dxa"/>
            <w:gridSpan w:val="2"/>
            <w:shd w:val="clear" w:color="auto" w:fill="auto"/>
          </w:tcPr>
          <w:p w14:paraId="35F1ACCA"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53.70</w:t>
            </w:r>
          </w:p>
        </w:tc>
        <w:tc>
          <w:tcPr>
            <w:tcW w:w="1074" w:type="dxa"/>
            <w:gridSpan w:val="2"/>
            <w:shd w:val="clear" w:color="auto" w:fill="auto"/>
          </w:tcPr>
          <w:p w14:paraId="137E8B44"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2</w:t>
            </w:r>
          </w:p>
        </w:tc>
        <w:tc>
          <w:tcPr>
            <w:tcW w:w="1178" w:type="dxa"/>
            <w:shd w:val="clear" w:color="auto" w:fill="auto"/>
          </w:tcPr>
          <w:p w14:paraId="78B166EC"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91</w:t>
            </w:r>
          </w:p>
        </w:tc>
        <w:tc>
          <w:tcPr>
            <w:tcW w:w="1101" w:type="dxa"/>
            <w:shd w:val="clear" w:color="auto" w:fill="auto"/>
          </w:tcPr>
          <w:p w14:paraId="48C666EB"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-16.7%</w:t>
            </w:r>
          </w:p>
        </w:tc>
      </w:tr>
      <w:tr w:rsidR="00FE4A00" w14:paraId="64D387B8" w14:textId="77777777" w:rsidTr="00FE4A00">
        <w:trPr>
          <w:trHeight w:val="348"/>
        </w:trPr>
        <w:tc>
          <w:tcPr>
            <w:tcW w:w="733" w:type="dxa"/>
            <w:shd w:val="clear" w:color="auto" w:fill="auto"/>
          </w:tcPr>
          <w:p w14:paraId="52F1C5A3"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lastRenderedPageBreak/>
              <w:t>82152</w:t>
            </w:r>
          </w:p>
        </w:tc>
        <w:tc>
          <w:tcPr>
            <w:tcW w:w="3905" w:type="dxa"/>
            <w:shd w:val="clear" w:color="auto" w:fill="auto"/>
          </w:tcPr>
          <w:p w14:paraId="2037D9DB"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A professional attendance lasting at least 40 minutes (</w:t>
            </w:r>
            <w:proofErr w:type="gramStart"/>
            <w:r>
              <w:rPr>
                <w:rFonts w:ascii="Calibri" w:eastAsia="Calibri" w:hAnsi="Calibri" w:cs="Calibri"/>
                <w:sz w:val="18"/>
                <w:szCs w:val="18"/>
              </w:rPr>
              <w:t>whether or not</w:t>
            </w:r>
            <w:proofErr w:type="gramEnd"/>
            <w:r>
              <w:rPr>
                <w:rFonts w:ascii="Calibri" w:eastAsia="Calibri" w:hAnsi="Calibri" w:cs="Calibri"/>
                <w:sz w:val="18"/>
                <w:szCs w:val="18"/>
              </w:rPr>
              <w:t xml:space="preserve"> continuous) to a patient is participating in a video consultation with a specialist / consultant in </w:t>
            </w:r>
            <w:proofErr w:type="spellStart"/>
            <w:r>
              <w:rPr>
                <w:rFonts w:ascii="Calibri" w:eastAsia="Calibri" w:hAnsi="Calibri" w:cs="Calibri"/>
                <w:sz w:val="18"/>
                <w:szCs w:val="18"/>
              </w:rPr>
              <w:t>paediatrics</w:t>
            </w:r>
            <w:proofErr w:type="spellEnd"/>
            <w:r>
              <w:rPr>
                <w:rFonts w:ascii="Calibri" w:eastAsia="Calibri" w:hAnsi="Calibri" w:cs="Calibri"/>
                <w:sz w:val="18"/>
                <w:szCs w:val="18"/>
              </w:rPr>
              <w:t xml:space="preserve"> or obstetrics</w:t>
            </w:r>
          </w:p>
        </w:tc>
        <w:tc>
          <w:tcPr>
            <w:tcW w:w="1025" w:type="dxa"/>
            <w:gridSpan w:val="2"/>
            <w:shd w:val="clear" w:color="auto" w:fill="auto"/>
          </w:tcPr>
          <w:p w14:paraId="19AD5FA8"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78.95</w:t>
            </w:r>
          </w:p>
        </w:tc>
        <w:tc>
          <w:tcPr>
            <w:tcW w:w="1074" w:type="dxa"/>
            <w:gridSpan w:val="2"/>
            <w:shd w:val="clear" w:color="auto" w:fill="auto"/>
          </w:tcPr>
          <w:p w14:paraId="2B3B733E"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15</w:t>
            </w:r>
          </w:p>
        </w:tc>
        <w:tc>
          <w:tcPr>
            <w:tcW w:w="1178" w:type="dxa"/>
            <w:shd w:val="clear" w:color="auto" w:fill="auto"/>
          </w:tcPr>
          <w:p w14:paraId="22C0E8BE"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1,007</w:t>
            </w:r>
          </w:p>
        </w:tc>
        <w:tc>
          <w:tcPr>
            <w:tcW w:w="1101" w:type="dxa"/>
            <w:shd w:val="clear" w:color="auto" w:fill="auto"/>
          </w:tcPr>
          <w:p w14:paraId="5DAD84FB" w14:textId="77777777" w:rsidR="00FE4A00" w:rsidRDefault="00FE4A00" w:rsidP="00FE4A00">
            <w:pPr>
              <w:spacing w:before="140" w:after="40" w:line="312" w:lineRule="auto"/>
              <w:rPr>
                <w:rFonts w:ascii="Calibri" w:eastAsia="Calibri" w:hAnsi="Calibri" w:cs="Calibri"/>
                <w:sz w:val="18"/>
                <w:szCs w:val="18"/>
              </w:rPr>
            </w:pPr>
            <w:r>
              <w:rPr>
                <w:rFonts w:ascii="Calibri" w:eastAsia="Calibri" w:hAnsi="Calibri" w:cs="Calibri"/>
                <w:sz w:val="18"/>
                <w:szCs w:val="18"/>
              </w:rPr>
              <w:t>NA</w:t>
            </w:r>
          </w:p>
        </w:tc>
      </w:tr>
    </w:tbl>
    <w:p w14:paraId="220A8552" w14:textId="77777777" w:rsidR="00FE4A00" w:rsidRDefault="00FE4A00" w:rsidP="00FE4A00">
      <w:pPr>
        <w:spacing w:before="180" w:after="60" w:line="312" w:lineRule="auto"/>
        <w:rPr>
          <w:rFonts w:ascii="Calibri" w:eastAsia="Calibri" w:hAnsi="Calibri" w:cs="Calibri"/>
          <w:i/>
          <w:sz w:val="18"/>
          <w:szCs w:val="18"/>
        </w:rPr>
      </w:pPr>
      <w:r>
        <w:rPr>
          <w:rFonts w:ascii="Calibri" w:eastAsia="Calibri" w:hAnsi="Calibri" w:cs="Calibri"/>
          <w:i/>
          <w:sz w:val="18"/>
          <w:szCs w:val="18"/>
        </w:rPr>
        <w:t>Note: There were no claims for item 82152 in 2011/12 to calculate a growth rate</w:t>
      </w:r>
    </w:p>
    <w:p w14:paraId="08A96EB6" w14:textId="77777777" w:rsidR="00FE4A00" w:rsidRDefault="00FE4A00" w:rsidP="00165E5B">
      <w:pPr>
        <w:pStyle w:val="Style4"/>
        <w:spacing w:before="0" w:line="240" w:lineRule="auto"/>
        <w:ind w:left="0" w:firstLine="0"/>
      </w:pPr>
      <w:bookmarkStart w:id="72" w:name="_147n2zr" w:colFirst="0" w:colLast="0"/>
      <w:bookmarkEnd w:id="72"/>
      <w:r>
        <w:t>Recommendation 11 – Include GPs as eligible specialists for existing telehealth items</w:t>
      </w:r>
    </w:p>
    <w:p w14:paraId="67090060" w14:textId="77777777" w:rsidR="00FE4A00" w:rsidRDefault="00FE4A00" w:rsidP="00165E5B">
      <w:pPr>
        <w:spacing w:after="120" w:line="240" w:lineRule="auto"/>
        <w:rPr>
          <w:rFonts w:ascii="Calibri" w:eastAsia="Calibri" w:hAnsi="Calibri" w:cs="Calibri"/>
        </w:rPr>
      </w:pPr>
      <w:r>
        <w:rPr>
          <w:rFonts w:ascii="Calibri" w:eastAsia="Calibri" w:hAnsi="Calibri" w:cs="Calibri"/>
        </w:rPr>
        <w:t xml:space="preserve">The Reference Group recommends amending the item descriptors (items 82151 and 82152) to include GPs in the list of doctors who can participate in the video consultation, as follows (changes in bold): </w:t>
      </w:r>
    </w:p>
    <w:p w14:paraId="5F604EEC" w14:textId="77777777" w:rsidR="00FE4A00" w:rsidRDefault="00FE4A00" w:rsidP="00165E5B">
      <w:pPr>
        <w:spacing w:after="120" w:line="240" w:lineRule="auto"/>
        <w:rPr>
          <w:rFonts w:ascii="Calibri" w:eastAsia="Calibri" w:hAnsi="Calibri" w:cs="Calibri"/>
        </w:rPr>
      </w:pPr>
      <w:r>
        <w:rPr>
          <w:rFonts w:ascii="Calibri" w:eastAsia="Calibri" w:hAnsi="Calibri" w:cs="Calibri"/>
          <w:noProof/>
          <w:lang w:val="en-AU"/>
        </w:rPr>
        <mc:AlternateContent>
          <mc:Choice Requires="wps">
            <w:drawing>
              <wp:inline distT="0" distB="0" distL="0" distR="0" wp14:anchorId="3270C8CA" wp14:editId="2BD3AFD9">
                <wp:extent cx="5262113" cy="1133475"/>
                <wp:effectExtent l="0" t="0" r="15240" b="28575"/>
                <wp:docPr id="7" name="Rectangle 7"/>
                <wp:cNvGraphicFramePr/>
                <a:graphic xmlns:a="http://schemas.openxmlformats.org/drawingml/2006/main">
                  <a:graphicData uri="http://schemas.microsoft.com/office/word/2010/wordprocessingShape">
                    <wps:wsp>
                      <wps:cNvSpPr/>
                      <wps:spPr>
                        <a:xfrm>
                          <a:off x="0" y="0"/>
                          <a:ext cx="5262113" cy="1133475"/>
                        </a:xfrm>
                        <a:prstGeom prst="rect">
                          <a:avLst/>
                        </a:prstGeom>
                        <a:solidFill>
                          <a:srgbClr val="FFFFFF"/>
                        </a:solidFill>
                        <a:ln w="25400" cap="flat" cmpd="sng">
                          <a:solidFill>
                            <a:srgbClr val="C0504D"/>
                          </a:solidFill>
                          <a:prstDash val="solid"/>
                          <a:miter lim="800000"/>
                          <a:headEnd type="none" w="sm" len="sm"/>
                          <a:tailEnd type="none" w="sm" len="sm"/>
                        </a:ln>
                      </wps:spPr>
                      <wps:txbx>
                        <w:txbxContent>
                          <w:p w14:paraId="75C00821" w14:textId="77777777" w:rsidR="00D15367" w:rsidRDefault="00D15367" w:rsidP="00FE4A00">
                            <w:pPr>
                              <w:spacing w:after="60" w:line="311" w:lineRule="auto"/>
                              <w:textDirection w:val="btLr"/>
                            </w:pPr>
                            <w:r>
                              <w:rPr>
                                <w:rFonts w:ascii="Calibri" w:eastAsia="Calibri" w:hAnsi="Calibri" w:cs="Calibri"/>
                                <w:b/>
                                <w:color w:val="000000"/>
                              </w:rPr>
                              <w:t>Item 82151</w:t>
                            </w:r>
                          </w:p>
                          <w:p w14:paraId="6304D71E" w14:textId="77777777" w:rsidR="00D15367" w:rsidRDefault="00D15367" w:rsidP="00FE4A00">
                            <w:pPr>
                              <w:spacing w:before="180" w:after="60" w:line="311" w:lineRule="auto"/>
                              <w:textDirection w:val="btLr"/>
                            </w:pPr>
                            <w:r>
                              <w:rPr>
                                <w:rFonts w:ascii="Calibri" w:eastAsia="Calibri" w:hAnsi="Calibri" w:cs="Calibri"/>
                                <w:color w:val="000000"/>
                              </w:rPr>
                              <w:t>A professional attendance lasting less than 20 minutes (</w:t>
                            </w:r>
                            <w:proofErr w:type="gramStart"/>
                            <w:r>
                              <w:rPr>
                                <w:rFonts w:ascii="Calibri" w:eastAsia="Calibri" w:hAnsi="Calibri" w:cs="Calibri"/>
                                <w:color w:val="000000"/>
                              </w:rPr>
                              <w:t>whether or not</w:t>
                            </w:r>
                            <w:proofErr w:type="gramEnd"/>
                            <w:r>
                              <w:rPr>
                                <w:rFonts w:ascii="Calibri" w:eastAsia="Calibri" w:hAnsi="Calibri" w:cs="Calibri"/>
                                <w:color w:val="000000"/>
                              </w:rPr>
                              <w:t xml:space="preserve"> continuous) to a patient who is participating in a video consultation with a specialist / consultant in </w:t>
                            </w:r>
                            <w:proofErr w:type="spellStart"/>
                            <w:r>
                              <w:rPr>
                                <w:rFonts w:ascii="Calibri" w:eastAsia="Calibri" w:hAnsi="Calibri" w:cs="Calibri"/>
                                <w:color w:val="000000"/>
                              </w:rPr>
                              <w:t>paediatrics</w:t>
                            </w:r>
                            <w:proofErr w:type="spellEnd"/>
                            <w:r>
                              <w:rPr>
                                <w:rFonts w:ascii="Calibri" w:eastAsia="Calibri" w:hAnsi="Calibri" w:cs="Calibri"/>
                                <w:color w:val="000000"/>
                              </w:rPr>
                              <w:t xml:space="preserve">, obstetrics </w:t>
                            </w:r>
                            <w:r>
                              <w:rPr>
                                <w:rFonts w:ascii="Calibri" w:eastAsia="Calibri" w:hAnsi="Calibri" w:cs="Calibri"/>
                                <w:b/>
                                <w:color w:val="000000"/>
                              </w:rPr>
                              <w:t>or general practice</w:t>
                            </w:r>
                            <w:r>
                              <w:rPr>
                                <w:rFonts w:ascii="Calibri" w:eastAsia="Calibri" w:hAnsi="Calibri" w:cs="Calibri"/>
                                <w:color w:val="000000"/>
                              </w:rPr>
                              <w:t>.</w:t>
                            </w:r>
                          </w:p>
                        </w:txbxContent>
                      </wps:txbx>
                      <wps:bodyPr spcFirstLastPara="1" wrap="square" lIns="91425" tIns="45700" rIns="91425" bIns="45700" anchor="t" anchorCtr="0">
                        <a:noAutofit/>
                      </wps:bodyPr>
                    </wps:wsp>
                  </a:graphicData>
                </a:graphic>
              </wp:inline>
            </w:drawing>
          </mc:Choice>
          <mc:Fallback>
            <w:pict>
              <v:rect w14:anchorId="3270C8CA" id="Rectangle 7" o:spid="_x0000_s1040" style="width:414.3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" strokecolor="#c0504d" strokeweight="2pt">
                <v:stroke startarrowwidth="narrow" startarrowlength="short" endarrowwidth="narrow" endarrowlength="short"/>
                <v:textbox inset="2.53958mm,1.2694mm,2.53958mm,1.2694mm">
                  <w:txbxContent>
                    <w:p w14:paraId="75C00821" w14:textId="77777777" w:rsidR="00D15367" w:rsidRDefault="00D15367" w:rsidP="00FE4A00">
                      <w:pPr>
                        <w:spacing w:after="60" w:line="311" w:lineRule="auto"/>
                        <w:textDirection w:val="btLr"/>
                      </w:pPr>
                      <w:r>
                        <w:rPr>
                          <w:rFonts w:ascii="Calibri" w:eastAsia="Calibri" w:hAnsi="Calibri" w:cs="Calibri"/>
                          <w:b/>
                          <w:color w:val="000000"/>
                        </w:rPr>
                        <w:t>Item 82151</w:t>
                      </w:r>
                    </w:p>
                    <w:p w14:paraId="6304D71E" w14:textId="77777777" w:rsidR="00D15367" w:rsidRDefault="00D15367" w:rsidP="00FE4A00">
                      <w:pPr>
                        <w:spacing w:before="180" w:after="60" w:line="311" w:lineRule="auto"/>
                        <w:textDirection w:val="btLr"/>
                      </w:pPr>
                      <w:r>
                        <w:rPr>
                          <w:rFonts w:ascii="Calibri" w:eastAsia="Calibri" w:hAnsi="Calibri" w:cs="Calibri"/>
                          <w:color w:val="000000"/>
                        </w:rPr>
                        <w:t xml:space="preserve">A professional attendance lasting less than 20 minutes (whether or not continuous) to a patient who is participating in a video consultation with a specialist / consultant in </w:t>
                      </w:r>
                      <w:proofErr w:type="spellStart"/>
                      <w:r>
                        <w:rPr>
                          <w:rFonts w:ascii="Calibri" w:eastAsia="Calibri" w:hAnsi="Calibri" w:cs="Calibri"/>
                          <w:color w:val="000000"/>
                        </w:rPr>
                        <w:t>paediatrics</w:t>
                      </w:r>
                      <w:proofErr w:type="spellEnd"/>
                      <w:r>
                        <w:rPr>
                          <w:rFonts w:ascii="Calibri" w:eastAsia="Calibri" w:hAnsi="Calibri" w:cs="Calibri"/>
                          <w:color w:val="000000"/>
                        </w:rPr>
                        <w:t xml:space="preserve">, obstetrics </w:t>
                      </w:r>
                      <w:r>
                        <w:rPr>
                          <w:rFonts w:ascii="Calibri" w:eastAsia="Calibri" w:hAnsi="Calibri" w:cs="Calibri"/>
                          <w:b/>
                          <w:color w:val="000000"/>
                        </w:rPr>
                        <w:t>or general practice</w:t>
                      </w:r>
                      <w:r>
                        <w:rPr>
                          <w:rFonts w:ascii="Calibri" w:eastAsia="Calibri" w:hAnsi="Calibri" w:cs="Calibri"/>
                          <w:color w:val="000000"/>
                        </w:rPr>
                        <w:t>.</w:t>
                      </w:r>
                    </w:p>
                  </w:txbxContent>
                </v:textbox>
                <w10:anchorlock/>
              </v:rect>
            </w:pict>
          </mc:Fallback>
        </mc:AlternateContent>
      </w:r>
    </w:p>
    <w:p w14:paraId="0CC08ABB" w14:textId="77777777" w:rsidR="00FE4A00" w:rsidRDefault="00FE4A00" w:rsidP="00165E5B">
      <w:pPr>
        <w:spacing w:after="120" w:line="240" w:lineRule="auto"/>
        <w:ind w:left="567"/>
        <w:rPr>
          <w:rFonts w:ascii="Calibri" w:eastAsia="Calibri" w:hAnsi="Calibri" w:cs="Calibri"/>
        </w:rPr>
      </w:pPr>
      <w:r>
        <w:rPr>
          <w:rFonts w:ascii="Calibri" w:eastAsia="Calibri" w:hAnsi="Calibri" w:cs="Calibri"/>
        </w:rPr>
        <w:t>and</w:t>
      </w:r>
    </w:p>
    <w:p w14:paraId="5196D6FD" w14:textId="77777777" w:rsidR="00FE4A00" w:rsidRDefault="00FE4A00" w:rsidP="00165E5B">
      <w:pPr>
        <w:spacing w:after="120" w:line="240" w:lineRule="auto"/>
        <w:rPr>
          <w:rFonts w:ascii="Calibri" w:eastAsia="Calibri" w:hAnsi="Calibri" w:cs="Calibri"/>
        </w:rPr>
      </w:pPr>
      <w:r>
        <w:rPr>
          <w:rFonts w:ascii="Calibri" w:eastAsia="Calibri" w:hAnsi="Calibri" w:cs="Calibri"/>
          <w:noProof/>
          <w:lang w:val="en-AU"/>
        </w:rPr>
        <mc:AlternateContent>
          <mc:Choice Requires="wps">
            <w:drawing>
              <wp:inline distT="0" distB="0" distL="0" distR="0" wp14:anchorId="730DCFBA" wp14:editId="73E6FFBD">
                <wp:extent cx="5262113" cy="1190625"/>
                <wp:effectExtent l="0" t="0" r="15240" b="28575"/>
                <wp:docPr id="6" name="Rectangle 6"/>
                <wp:cNvGraphicFramePr/>
                <a:graphic xmlns:a="http://schemas.openxmlformats.org/drawingml/2006/main">
                  <a:graphicData uri="http://schemas.microsoft.com/office/word/2010/wordprocessingShape">
                    <wps:wsp>
                      <wps:cNvSpPr/>
                      <wps:spPr>
                        <a:xfrm>
                          <a:off x="0" y="0"/>
                          <a:ext cx="5262113" cy="1190625"/>
                        </a:xfrm>
                        <a:prstGeom prst="rect">
                          <a:avLst/>
                        </a:prstGeom>
                        <a:solidFill>
                          <a:srgbClr val="FFFFFF"/>
                        </a:solidFill>
                        <a:ln w="25400" cap="flat" cmpd="sng">
                          <a:solidFill>
                            <a:srgbClr val="C0504D"/>
                          </a:solidFill>
                          <a:prstDash val="solid"/>
                          <a:miter lim="800000"/>
                          <a:headEnd type="none" w="sm" len="sm"/>
                          <a:tailEnd type="none" w="sm" len="sm"/>
                        </a:ln>
                      </wps:spPr>
                      <wps:txbx>
                        <w:txbxContent>
                          <w:p w14:paraId="4BBD80ED" w14:textId="77777777" w:rsidR="00D15367" w:rsidRDefault="00D15367" w:rsidP="00FE4A00">
                            <w:pPr>
                              <w:spacing w:after="60" w:line="311" w:lineRule="auto"/>
                              <w:textDirection w:val="btLr"/>
                            </w:pPr>
                            <w:r>
                              <w:rPr>
                                <w:rFonts w:ascii="Calibri" w:eastAsia="Calibri" w:hAnsi="Calibri" w:cs="Calibri"/>
                                <w:b/>
                                <w:color w:val="000000"/>
                              </w:rPr>
                              <w:t>Item 82152</w:t>
                            </w:r>
                          </w:p>
                          <w:p w14:paraId="4007D492" w14:textId="77777777" w:rsidR="00D15367" w:rsidRDefault="00D15367" w:rsidP="00FE4A00">
                            <w:pPr>
                              <w:spacing w:before="180" w:after="60" w:line="311" w:lineRule="auto"/>
                              <w:textDirection w:val="btLr"/>
                            </w:pPr>
                            <w:r>
                              <w:rPr>
                                <w:rFonts w:ascii="Calibri" w:eastAsia="Calibri" w:hAnsi="Calibri" w:cs="Calibri"/>
                                <w:color w:val="000000"/>
                              </w:rPr>
                              <w:t>A professional attendance lasting at least 40 minutes (</w:t>
                            </w:r>
                            <w:proofErr w:type="gramStart"/>
                            <w:r>
                              <w:rPr>
                                <w:rFonts w:ascii="Calibri" w:eastAsia="Calibri" w:hAnsi="Calibri" w:cs="Calibri"/>
                                <w:color w:val="000000"/>
                              </w:rPr>
                              <w:t>whether or not</w:t>
                            </w:r>
                            <w:proofErr w:type="gramEnd"/>
                            <w:r>
                              <w:rPr>
                                <w:rFonts w:ascii="Calibri" w:eastAsia="Calibri" w:hAnsi="Calibri" w:cs="Calibri"/>
                                <w:color w:val="000000"/>
                              </w:rPr>
                              <w:t xml:space="preserve"> continuous) to a patient participating in a video consultation with a specialist / consultant in </w:t>
                            </w:r>
                            <w:proofErr w:type="spellStart"/>
                            <w:r>
                              <w:rPr>
                                <w:rFonts w:ascii="Calibri" w:eastAsia="Calibri" w:hAnsi="Calibri" w:cs="Calibri"/>
                                <w:color w:val="000000"/>
                              </w:rPr>
                              <w:t>paediatrics</w:t>
                            </w:r>
                            <w:proofErr w:type="spellEnd"/>
                            <w:r>
                              <w:rPr>
                                <w:rFonts w:ascii="Calibri" w:eastAsia="Calibri" w:hAnsi="Calibri" w:cs="Calibri"/>
                                <w:color w:val="000000"/>
                              </w:rPr>
                              <w:t xml:space="preserve"> or obstetrics </w:t>
                            </w:r>
                            <w:r>
                              <w:rPr>
                                <w:rFonts w:ascii="Calibri" w:eastAsia="Calibri" w:hAnsi="Calibri" w:cs="Calibri"/>
                                <w:b/>
                                <w:color w:val="000000"/>
                              </w:rPr>
                              <w:t>or general practice</w:t>
                            </w:r>
                            <w:r>
                              <w:rPr>
                                <w:rFonts w:ascii="Calibri" w:eastAsia="Calibri" w:hAnsi="Calibri" w:cs="Calibri"/>
                                <w:color w:val="000000"/>
                              </w:rPr>
                              <w:t>.</w:t>
                            </w:r>
                          </w:p>
                        </w:txbxContent>
                      </wps:txbx>
                      <wps:bodyPr spcFirstLastPara="1" wrap="square" lIns="91425" tIns="45700" rIns="91425" bIns="45700" anchor="t" anchorCtr="0">
                        <a:noAutofit/>
                      </wps:bodyPr>
                    </wps:wsp>
                  </a:graphicData>
                </a:graphic>
              </wp:inline>
            </w:drawing>
          </mc:Choice>
          <mc:Fallback>
            <w:pict>
              <v:rect w14:anchorId="730DCFBA" id="Rectangle 6" o:spid="_x0000_s1041" style="width:414.3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" strokecolor="#c0504d" strokeweight="2pt">
                <v:stroke startarrowwidth="narrow" startarrowlength="short" endarrowwidth="narrow" endarrowlength="short"/>
                <v:textbox inset="2.53958mm,1.2694mm,2.53958mm,1.2694mm">
                  <w:txbxContent>
                    <w:p w14:paraId="4BBD80ED" w14:textId="77777777" w:rsidR="00D15367" w:rsidRDefault="00D15367" w:rsidP="00FE4A00">
                      <w:pPr>
                        <w:spacing w:after="60" w:line="311" w:lineRule="auto"/>
                        <w:textDirection w:val="btLr"/>
                      </w:pPr>
                      <w:r>
                        <w:rPr>
                          <w:rFonts w:ascii="Calibri" w:eastAsia="Calibri" w:hAnsi="Calibri" w:cs="Calibri"/>
                          <w:b/>
                          <w:color w:val="000000"/>
                        </w:rPr>
                        <w:t>Item 82152</w:t>
                      </w:r>
                    </w:p>
                    <w:p w14:paraId="4007D492" w14:textId="77777777" w:rsidR="00D15367" w:rsidRDefault="00D15367" w:rsidP="00FE4A00">
                      <w:pPr>
                        <w:spacing w:before="180" w:after="60" w:line="311" w:lineRule="auto"/>
                        <w:textDirection w:val="btLr"/>
                      </w:pPr>
                      <w:r>
                        <w:rPr>
                          <w:rFonts w:ascii="Calibri" w:eastAsia="Calibri" w:hAnsi="Calibri" w:cs="Calibri"/>
                          <w:color w:val="000000"/>
                        </w:rPr>
                        <w:t xml:space="preserve">A professional attendance lasting at least 40 minutes (whether or not continuous) to a patient participating in a video consultation with a specialist / consultant in </w:t>
                      </w:r>
                      <w:proofErr w:type="spellStart"/>
                      <w:r>
                        <w:rPr>
                          <w:rFonts w:ascii="Calibri" w:eastAsia="Calibri" w:hAnsi="Calibri" w:cs="Calibri"/>
                          <w:color w:val="000000"/>
                        </w:rPr>
                        <w:t>paediatrics</w:t>
                      </w:r>
                      <w:proofErr w:type="spellEnd"/>
                      <w:r>
                        <w:rPr>
                          <w:rFonts w:ascii="Calibri" w:eastAsia="Calibri" w:hAnsi="Calibri" w:cs="Calibri"/>
                          <w:color w:val="000000"/>
                        </w:rPr>
                        <w:t xml:space="preserve"> or obstetrics </w:t>
                      </w:r>
                      <w:r>
                        <w:rPr>
                          <w:rFonts w:ascii="Calibri" w:eastAsia="Calibri" w:hAnsi="Calibri" w:cs="Calibri"/>
                          <w:b/>
                          <w:color w:val="000000"/>
                        </w:rPr>
                        <w:t>or general practice</w:t>
                      </w:r>
                      <w:r>
                        <w:rPr>
                          <w:rFonts w:ascii="Calibri" w:eastAsia="Calibri" w:hAnsi="Calibri" w:cs="Calibri"/>
                          <w:color w:val="000000"/>
                        </w:rPr>
                        <w:t>.</w:t>
                      </w:r>
                    </w:p>
                  </w:txbxContent>
                </v:textbox>
                <w10:anchorlock/>
              </v:rect>
            </w:pict>
          </mc:Fallback>
        </mc:AlternateContent>
      </w:r>
    </w:p>
    <w:p w14:paraId="22C28473" w14:textId="77777777" w:rsidR="00FE4A00" w:rsidRDefault="00FE4A00" w:rsidP="00165E5B">
      <w:pPr>
        <w:spacing w:after="120" w:line="240" w:lineRule="auto"/>
        <w:rPr>
          <w:rFonts w:ascii="Calibri" w:eastAsia="Calibri" w:hAnsi="Calibri" w:cs="Calibri"/>
        </w:rPr>
      </w:pPr>
    </w:p>
    <w:p w14:paraId="1B5FEFC5" w14:textId="77777777" w:rsidR="00FE4A00" w:rsidRDefault="00FE4A00" w:rsidP="00165E5B">
      <w:pPr>
        <w:pStyle w:val="Style4"/>
        <w:spacing w:before="0" w:line="240" w:lineRule="auto"/>
        <w:ind w:left="0" w:firstLine="0"/>
      </w:pPr>
      <w:bookmarkStart w:id="73" w:name="_3o7alnk" w:colFirst="0" w:colLast="0"/>
      <w:bookmarkEnd w:id="73"/>
      <w:r>
        <w:t>Rationale 11</w:t>
      </w:r>
    </w:p>
    <w:p w14:paraId="4A7E10B0" w14:textId="77777777" w:rsidR="00FE4A00" w:rsidRDefault="00FE4A00" w:rsidP="00165E5B">
      <w:pPr>
        <w:spacing w:after="120" w:line="240" w:lineRule="auto"/>
        <w:ind w:hanging="283"/>
        <w:rPr>
          <w:rFonts w:ascii="Calibri" w:eastAsia="Calibri" w:hAnsi="Calibri" w:cs="Calibri"/>
        </w:rPr>
      </w:pPr>
      <w:r>
        <w:rPr>
          <w:rFonts w:ascii="Calibri" w:eastAsia="Calibri" w:hAnsi="Calibri" w:cs="Calibri"/>
        </w:rPr>
        <w:t>This recommendation focuses on ensuring that the MBS provides adequate access to high-quality clinical services for women. It is based on the following:</w:t>
      </w:r>
    </w:p>
    <w:p w14:paraId="61530BA6" w14:textId="77777777" w:rsidR="00FE4A00" w:rsidRDefault="00FE4A00" w:rsidP="00165E5B">
      <w:pPr>
        <w:numPr>
          <w:ilvl w:val="0"/>
          <w:numId w:val="21"/>
        </w:numPr>
        <w:spacing w:after="120" w:line="240" w:lineRule="auto"/>
        <w:rPr>
          <w:rFonts w:ascii="Calibri" w:eastAsia="Calibri" w:hAnsi="Calibri" w:cs="Calibri"/>
        </w:rPr>
      </w:pPr>
      <w:r>
        <w:rPr>
          <w:rFonts w:ascii="Calibri" w:eastAsia="Calibri" w:hAnsi="Calibri" w:cs="Calibri"/>
        </w:rPr>
        <w:t>The Reference Group agreed that there is a need to expand midwifery services to rural and remote populations. There is a clear relationship between distance to maternity services and poorer clinical and psychosocial outcomes (31; 32). Key Australian maternity documents cite rural and remote maternal location as a barrier to quality maternity care (16; 33). The Australian Rural Birth Index project found that maternity services in Australia do not match population need (34).</w:t>
      </w:r>
    </w:p>
    <w:p w14:paraId="49F2C5BB" w14:textId="77777777" w:rsidR="00FE4A00" w:rsidRDefault="00FE4A00" w:rsidP="00165E5B">
      <w:pPr>
        <w:numPr>
          <w:ilvl w:val="0"/>
          <w:numId w:val="21"/>
        </w:numPr>
        <w:spacing w:after="120" w:line="240" w:lineRule="auto"/>
        <w:rPr>
          <w:rFonts w:ascii="Calibri" w:eastAsia="Calibri" w:hAnsi="Calibri" w:cs="Calibri"/>
        </w:rPr>
      </w:pPr>
      <w:r>
        <w:rPr>
          <w:rFonts w:ascii="Calibri" w:eastAsia="Calibri" w:hAnsi="Calibri" w:cs="Calibri"/>
        </w:rPr>
        <w:t>The Reference Group agreed that telehealth items are one way to drive increased access to midwifery services for rural and remote populations.</w:t>
      </w:r>
    </w:p>
    <w:p w14:paraId="01987C64" w14:textId="77777777" w:rsidR="00FE4A00" w:rsidRDefault="00FE4A00" w:rsidP="00165E5B">
      <w:pPr>
        <w:numPr>
          <w:ilvl w:val="0"/>
          <w:numId w:val="21"/>
        </w:numPr>
        <w:spacing w:after="120" w:line="240" w:lineRule="auto"/>
        <w:rPr>
          <w:rFonts w:ascii="Calibri" w:eastAsia="Calibri" w:hAnsi="Calibri" w:cs="Calibri"/>
        </w:rPr>
      </w:pPr>
      <w:r>
        <w:rPr>
          <w:rFonts w:ascii="Calibri" w:eastAsia="Calibri" w:hAnsi="Calibri" w:cs="Calibri"/>
        </w:rPr>
        <w:t xml:space="preserve">Current midwifery telehealth items are </w:t>
      </w:r>
      <w:proofErr w:type="spellStart"/>
      <w:r>
        <w:rPr>
          <w:rFonts w:ascii="Calibri" w:eastAsia="Calibri" w:hAnsi="Calibri" w:cs="Calibri"/>
        </w:rPr>
        <w:t>underutilised</w:t>
      </w:r>
      <w:proofErr w:type="spellEnd"/>
      <w:r>
        <w:rPr>
          <w:rFonts w:ascii="Calibri" w:eastAsia="Calibri" w:hAnsi="Calibri" w:cs="Calibri"/>
        </w:rPr>
        <w:t>. MBS data shows that items 82150–82152 were claimed a total of 18 times in 2016/17. The Reference Group proposed two reasons for this low service volume:</w:t>
      </w:r>
    </w:p>
    <w:p w14:paraId="51E8B98E" w14:textId="77777777" w:rsidR="00FE4A00" w:rsidRDefault="00FE4A00" w:rsidP="00165E5B">
      <w:pPr>
        <w:numPr>
          <w:ilvl w:val="0"/>
          <w:numId w:val="43"/>
        </w:numPr>
        <w:spacing w:after="120" w:line="240" w:lineRule="auto"/>
        <w:ind w:right="142"/>
        <w:rPr>
          <w:rFonts w:ascii="Calibri" w:eastAsia="Calibri" w:hAnsi="Calibri" w:cs="Calibri"/>
        </w:rPr>
      </w:pPr>
      <w:r>
        <w:rPr>
          <w:rFonts w:ascii="Calibri" w:eastAsia="Calibri" w:hAnsi="Calibri" w:cs="Calibri"/>
        </w:rPr>
        <w:t xml:space="preserve">Telehealth attendances must include a specialist obstetrician or </w:t>
      </w:r>
      <w:proofErr w:type="spellStart"/>
      <w:r>
        <w:rPr>
          <w:rFonts w:ascii="Calibri" w:eastAsia="Calibri" w:hAnsi="Calibri" w:cs="Calibri"/>
        </w:rPr>
        <w:t>paediatrician</w:t>
      </w:r>
      <w:proofErr w:type="spellEnd"/>
      <w:r>
        <w:rPr>
          <w:rFonts w:ascii="Calibri" w:eastAsia="Calibri" w:hAnsi="Calibri" w:cs="Calibri"/>
        </w:rPr>
        <w:t>, who often does not have the time to undertake telehealth consultations on an ad-hoc basis.</w:t>
      </w:r>
    </w:p>
    <w:p w14:paraId="68236363" w14:textId="77777777" w:rsidR="00FE4A00" w:rsidRDefault="00FE4A00" w:rsidP="00165E5B">
      <w:pPr>
        <w:numPr>
          <w:ilvl w:val="0"/>
          <w:numId w:val="43"/>
        </w:numPr>
        <w:spacing w:after="120" w:line="240" w:lineRule="auto"/>
        <w:ind w:right="142"/>
        <w:rPr>
          <w:rFonts w:ascii="Calibri" w:eastAsia="Calibri" w:hAnsi="Calibri" w:cs="Calibri"/>
        </w:rPr>
      </w:pPr>
      <w:r>
        <w:rPr>
          <w:rFonts w:ascii="Calibri" w:eastAsia="Calibri" w:hAnsi="Calibri" w:cs="Calibri"/>
        </w:rPr>
        <w:t xml:space="preserve">Claims for items 82150–82152 require the participating </w:t>
      </w:r>
      <w:proofErr w:type="spellStart"/>
      <w:r>
        <w:rPr>
          <w:rFonts w:ascii="Calibri" w:eastAsia="Calibri" w:hAnsi="Calibri" w:cs="Calibri"/>
        </w:rPr>
        <w:t>paediatrician</w:t>
      </w:r>
      <w:proofErr w:type="spellEnd"/>
      <w:r>
        <w:rPr>
          <w:rFonts w:ascii="Calibri" w:eastAsia="Calibri" w:hAnsi="Calibri" w:cs="Calibri"/>
        </w:rPr>
        <w:t xml:space="preserve"> or obstetrician to have submitted an MBS claim for their participation in the teleconference. Reference Group members with experience using these items highlighted that specialist practitioners do not always bill for these attendances as they are a small part of their scope of practice. As such, MBS service volumes may be artificially low.</w:t>
      </w:r>
    </w:p>
    <w:p w14:paraId="30A8BA5D" w14:textId="77777777" w:rsidR="00FE4A00" w:rsidRDefault="00FE4A00" w:rsidP="00165E5B">
      <w:pPr>
        <w:numPr>
          <w:ilvl w:val="0"/>
          <w:numId w:val="21"/>
        </w:numPr>
        <w:spacing w:after="120" w:line="240" w:lineRule="auto"/>
        <w:rPr>
          <w:rFonts w:ascii="Calibri" w:eastAsia="Calibri" w:hAnsi="Calibri" w:cs="Calibri"/>
        </w:rPr>
      </w:pPr>
      <w:r>
        <w:rPr>
          <w:rFonts w:ascii="Calibri" w:eastAsia="Calibri" w:hAnsi="Calibri" w:cs="Calibri"/>
        </w:rPr>
        <w:lastRenderedPageBreak/>
        <w:t>The Reference Group agreed that including GPs in the descriptors for current telehealth items would be beneficial to women accessing midwifery care. GPs (especially those with a sub-</w:t>
      </w:r>
      <w:proofErr w:type="spellStart"/>
      <w:r>
        <w:rPr>
          <w:rFonts w:ascii="Calibri" w:eastAsia="Calibri" w:hAnsi="Calibri" w:cs="Calibri"/>
        </w:rPr>
        <w:t>specialisation</w:t>
      </w:r>
      <w:proofErr w:type="spellEnd"/>
      <w:r>
        <w:rPr>
          <w:rFonts w:ascii="Calibri" w:eastAsia="Calibri" w:hAnsi="Calibri" w:cs="Calibri"/>
        </w:rPr>
        <w:t xml:space="preserve"> in obstetrics) are well placed to deliver medical advice to women and their caring midwives during pregnancy. The Reference Group identified two potential use cases for this:</w:t>
      </w:r>
    </w:p>
    <w:p w14:paraId="54023CC1" w14:textId="77777777" w:rsidR="00FE4A00" w:rsidRDefault="00FE4A00" w:rsidP="00165E5B">
      <w:pPr>
        <w:numPr>
          <w:ilvl w:val="0"/>
          <w:numId w:val="28"/>
        </w:numPr>
        <w:spacing w:after="120" w:line="240" w:lineRule="auto"/>
        <w:ind w:right="142"/>
      </w:pPr>
      <w:r>
        <w:rPr>
          <w:rFonts w:ascii="Calibri" w:eastAsia="Calibri" w:hAnsi="Calibri" w:cs="Calibri"/>
        </w:rPr>
        <w:t xml:space="preserve">Women who live in rural or remote regions may have their early antenatal care primarily with their GP and may plan to birth in the city with midwifery continuity of care. There may be occasions when a telehealth consult will occur between the woman, the GP who is providing her antenatal care and the intended midwife for intrapartum and birth care. </w:t>
      </w:r>
    </w:p>
    <w:p w14:paraId="74E19014" w14:textId="77777777" w:rsidR="00FE4A00" w:rsidRDefault="00FE4A00" w:rsidP="00165E5B">
      <w:pPr>
        <w:numPr>
          <w:ilvl w:val="0"/>
          <w:numId w:val="28"/>
        </w:numPr>
        <w:spacing w:after="120" w:line="240" w:lineRule="auto"/>
        <w:ind w:right="142"/>
      </w:pPr>
      <w:r>
        <w:rPr>
          <w:rFonts w:ascii="Calibri" w:eastAsia="Calibri" w:hAnsi="Calibri" w:cs="Calibri"/>
        </w:rPr>
        <w:t xml:space="preserve">There may be occasions when the women and her primary midwife will benefit from access to their regular GP for a team discussion. This discussion may include the results and implications of recent tests or detail on the ongoing management of chronic conditions. Ensuring key clinicians such as the woman’s GP are actively involved in her pregnancy will </w:t>
      </w:r>
      <w:proofErr w:type="spellStart"/>
      <w:r>
        <w:rPr>
          <w:rFonts w:ascii="Calibri" w:eastAsia="Calibri" w:hAnsi="Calibri" w:cs="Calibri"/>
        </w:rPr>
        <w:t>optimise</w:t>
      </w:r>
      <w:proofErr w:type="spellEnd"/>
      <w:r>
        <w:rPr>
          <w:rFonts w:ascii="Calibri" w:eastAsia="Calibri" w:hAnsi="Calibri" w:cs="Calibri"/>
        </w:rPr>
        <w:t xml:space="preserve"> outcomes.</w:t>
      </w:r>
    </w:p>
    <w:p w14:paraId="0C61328D" w14:textId="77777777" w:rsidR="00FE4A00" w:rsidRDefault="00FE4A00" w:rsidP="00165E5B">
      <w:pPr>
        <w:numPr>
          <w:ilvl w:val="0"/>
          <w:numId w:val="21"/>
        </w:numPr>
        <w:spacing w:after="120" w:line="240" w:lineRule="auto"/>
        <w:rPr>
          <w:rFonts w:ascii="Calibri" w:eastAsia="Calibri" w:hAnsi="Calibri" w:cs="Calibri"/>
        </w:rPr>
      </w:pPr>
      <w:r>
        <w:rPr>
          <w:rFonts w:ascii="Calibri" w:eastAsia="Calibri" w:hAnsi="Calibri" w:cs="Calibri"/>
        </w:rPr>
        <w:t xml:space="preserve">GPs are better dispersed across Australian rural and remote areas than obstetricians and </w:t>
      </w:r>
      <w:proofErr w:type="spellStart"/>
      <w:r>
        <w:rPr>
          <w:rFonts w:ascii="Calibri" w:eastAsia="Calibri" w:hAnsi="Calibri" w:cs="Calibri"/>
        </w:rPr>
        <w:t>paediatricians</w:t>
      </w:r>
      <w:proofErr w:type="spellEnd"/>
      <w:r>
        <w:rPr>
          <w:rFonts w:ascii="Calibri" w:eastAsia="Calibri" w:hAnsi="Calibri" w:cs="Calibri"/>
        </w:rPr>
        <w:t xml:space="preserve">. As such, women and their midwives may be able to undertake telehealth consultations with GPs more proximal to women’s homes. The Reference Group agreed that this may drive more local continuity of care for women and these practitioners. The number of practitioners eligible to deliver these services will increase, driving increased access and overcoming the time constraints of specialists. </w:t>
      </w:r>
    </w:p>
    <w:p w14:paraId="07DCF244" w14:textId="77777777" w:rsidR="00FE4A00" w:rsidRDefault="00FE4A00" w:rsidP="00165E5B">
      <w:pPr>
        <w:numPr>
          <w:ilvl w:val="0"/>
          <w:numId w:val="21"/>
        </w:numPr>
        <w:spacing w:after="120" w:line="240" w:lineRule="auto"/>
        <w:rPr>
          <w:rFonts w:ascii="Calibri" w:eastAsia="Calibri" w:hAnsi="Calibri" w:cs="Calibri"/>
        </w:rPr>
      </w:pPr>
      <w:r>
        <w:rPr>
          <w:rFonts w:ascii="Calibri" w:eastAsia="Calibri" w:hAnsi="Calibri" w:cs="Calibri"/>
        </w:rPr>
        <w:t>The Reference Group agreed that use of this item should be reviewed in 12 to 24 months.</w:t>
      </w:r>
    </w:p>
    <w:p w14:paraId="4246C02B" w14:textId="77777777" w:rsidR="00FE4A00" w:rsidRDefault="00FE4A00" w:rsidP="00165E5B">
      <w:pPr>
        <w:pStyle w:val="Style4"/>
      </w:pPr>
      <w:bookmarkStart w:id="74" w:name="_23ckvvd" w:colFirst="0" w:colLast="0"/>
      <w:bookmarkEnd w:id="74"/>
      <w:r>
        <w:t>Recommendation 12 – Facilitate telehealth consultations between women and midwives in the antenatal and postnatal period</w:t>
      </w:r>
    </w:p>
    <w:p w14:paraId="2F470491" w14:textId="77777777" w:rsidR="00FE4A00" w:rsidRDefault="00FE4A00" w:rsidP="00165E5B">
      <w:pPr>
        <w:spacing w:after="120" w:line="240" w:lineRule="auto"/>
        <w:rPr>
          <w:rFonts w:ascii="Calibri" w:eastAsia="Calibri" w:hAnsi="Calibri" w:cs="Calibri"/>
        </w:rPr>
      </w:pPr>
      <w:r>
        <w:rPr>
          <w:rFonts w:ascii="Calibri" w:eastAsia="Calibri" w:hAnsi="Calibri" w:cs="Calibri"/>
        </w:rPr>
        <w:t>The Reference Group recommends:</w:t>
      </w:r>
    </w:p>
    <w:p w14:paraId="52870B70" w14:textId="77777777" w:rsidR="00FE4A00" w:rsidRDefault="00FE4A00" w:rsidP="00165E5B">
      <w:pPr>
        <w:numPr>
          <w:ilvl w:val="0"/>
          <w:numId w:val="3"/>
        </w:numPr>
        <w:spacing w:after="120" w:line="240" w:lineRule="auto"/>
        <w:rPr>
          <w:rFonts w:ascii="Calibri" w:eastAsia="Calibri" w:hAnsi="Calibri" w:cs="Calibri"/>
        </w:rPr>
      </w:pPr>
      <w:r>
        <w:rPr>
          <w:rFonts w:ascii="Calibri" w:eastAsia="Calibri" w:hAnsi="Calibri" w:cs="Calibri"/>
        </w:rPr>
        <w:t>creating three new telehealth items (821FF, 821GG and 821HH) for women consulting with a midwife via teleconference, with a nurse, Aboriginal and Torres Strait Islander health worker or professional, or another midwife on the patient side</w:t>
      </w:r>
    </w:p>
    <w:p w14:paraId="21CE9C95" w14:textId="77777777" w:rsidR="00FE4A00" w:rsidRDefault="00FE4A00" w:rsidP="00165E5B">
      <w:pPr>
        <w:numPr>
          <w:ilvl w:val="0"/>
          <w:numId w:val="3"/>
        </w:numPr>
        <w:spacing w:after="120" w:line="240" w:lineRule="auto"/>
        <w:rPr>
          <w:rFonts w:ascii="Calibri" w:eastAsia="Calibri" w:hAnsi="Calibri" w:cs="Calibri"/>
        </w:rPr>
      </w:pPr>
      <w:r>
        <w:rPr>
          <w:rFonts w:ascii="Calibri" w:eastAsia="Calibri" w:hAnsi="Calibri" w:cs="Calibri"/>
        </w:rPr>
        <w:t>creating time tiers for these new items in line with items 82150–82152, and</w:t>
      </w:r>
    </w:p>
    <w:p w14:paraId="0E59D241" w14:textId="77777777" w:rsidR="00FE4A00" w:rsidRDefault="00FE4A00" w:rsidP="00165E5B">
      <w:pPr>
        <w:numPr>
          <w:ilvl w:val="0"/>
          <w:numId w:val="3"/>
        </w:numPr>
        <w:spacing w:after="120" w:line="240" w:lineRule="auto"/>
        <w:rPr>
          <w:rFonts w:ascii="Calibri" w:eastAsia="Calibri" w:hAnsi="Calibri" w:cs="Calibri"/>
        </w:rPr>
      </w:pPr>
      <w:r>
        <w:rPr>
          <w:rFonts w:ascii="Calibri" w:eastAsia="Calibri" w:hAnsi="Calibri" w:cs="Calibri"/>
        </w:rPr>
        <w:t>that proposed new item descriptors be as follows:</w:t>
      </w:r>
    </w:p>
    <w:p w14:paraId="26E3BE17" w14:textId="77777777" w:rsidR="00FE4A00" w:rsidRDefault="00FE4A00" w:rsidP="00165E5B">
      <w:pPr>
        <w:spacing w:after="120" w:line="240" w:lineRule="auto"/>
        <w:rPr>
          <w:rFonts w:ascii="Calibri" w:eastAsia="Calibri" w:hAnsi="Calibri" w:cs="Calibri"/>
        </w:rPr>
      </w:pPr>
      <w:r>
        <w:rPr>
          <w:rFonts w:ascii="Calibri" w:eastAsia="Calibri" w:hAnsi="Calibri" w:cs="Calibri"/>
          <w:noProof/>
          <w:lang w:val="en-AU"/>
        </w:rPr>
        <mc:AlternateContent>
          <mc:Choice Requires="wps">
            <w:drawing>
              <wp:inline distT="0" distB="0" distL="0" distR="0" wp14:anchorId="7FEDE886" wp14:editId="64FE480D">
                <wp:extent cx="5262113" cy="1133475"/>
                <wp:effectExtent l="0" t="0" r="15240" b="28575"/>
                <wp:docPr id="8" name="Rectangle 8"/>
                <wp:cNvGraphicFramePr/>
                <a:graphic xmlns:a="http://schemas.openxmlformats.org/drawingml/2006/main">
                  <a:graphicData uri="http://schemas.microsoft.com/office/word/2010/wordprocessingShape">
                    <wps:wsp>
                      <wps:cNvSpPr/>
                      <wps:spPr>
                        <a:xfrm>
                          <a:off x="0" y="0"/>
                          <a:ext cx="5262113" cy="1133475"/>
                        </a:xfrm>
                        <a:prstGeom prst="rect">
                          <a:avLst/>
                        </a:prstGeom>
                        <a:solidFill>
                          <a:srgbClr val="FFFFFF"/>
                        </a:solidFill>
                        <a:ln w="25400" cap="flat" cmpd="sng">
                          <a:solidFill>
                            <a:srgbClr val="C0504D"/>
                          </a:solidFill>
                          <a:prstDash val="solid"/>
                          <a:miter lim="800000"/>
                          <a:headEnd type="none" w="sm" len="sm"/>
                          <a:tailEnd type="none" w="sm" len="sm"/>
                        </a:ln>
                      </wps:spPr>
                      <wps:txbx>
                        <w:txbxContent>
                          <w:p w14:paraId="0772C207" w14:textId="77777777" w:rsidR="00D15367" w:rsidRDefault="00D15367" w:rsidP="00FE4A00">
                            <w:pPr>
                              <w:spacing w:after="60" w:line="311" w:lineRule="auto"/>
                              <w:textDirection w:val="btLr"/>
                            </w:pPr>
                            <w:r>
                              <w:rPr>
                                <w:rFonts w:ascii="Calibri" w:eastAsia="Calibri" w:hAnsi="Calibri" w:cs="Calibri"/>
                                <w:b/>
                                <w:color w:val="000000"/>
                              </w:rPr>
                              <w:t>New Item 821FF – example text</w:t>
                            </w:r>
                          </w:p>
                          <w:p w14:paraId="588A49FA" w14:textId="77777777" w:rsidR="00D15367" w:rsidRDefault="00D15367" w:rsidP="00FE4A00">
                            <w:pPr>
                              <w:spacing w:before="180" w:after="60" w:line="311" w:lineRule="auto"/>
                              <w:textDirection w:val="btLr"/>
                            </w:pPr>
                            <w:r>
                              <w:rPr>
                                <w:rFonts w:ascii="Calibri" w:eastAsia="Calibri" w:hAnsi="Calibri" w:cs="Calibri"/>
                                <w:color w:val="000000"/>
                              </w:rPr>
                              <w:t>A professional attendance lasting less than 20 minutes (</w:t>
                            </w:r>
                            <w:proofErr w:type="gramStart"/>
                            <w:r>
                              <w:rPr>
                                <w:rFonts w:ascii="Calibri" w:eastAsia="Calibri" w:hAnsi="Calibri" w:cs="Calibri"/>
                                <w:color w:val="000000"/>
                              </w:rPr>
                              <w:t>whether or not</w:t>
                            </w:r>
                            <w:proofErr w:type="gramEnd"/>
                            <w:r>
                              <w:rPr>
                                <w:rFonts w:ascii="Calibri" w:eastAsia="Calibri" w:hAnsi="Calibri" w:cs="Calibri"/>
                                <w:color w:val="000000"/>
                              </w:rPr>
                              <w:t xml:space="preserve"> continuous) to a patient, supported by a nurse, Aboriginal Health Worker/Professional or midwife, who is participating in a video consultation with a participating midwife.</w:t>
                            </w:r>
                          </w:p>
                        </w:txbxContent>
                      </wps:txbx>
                      <wps:bodyPr spcFirstLastPara="1" wrap="square" lIns="91425" tIns="45700" rIns="91425" bIns="45700" anchor="t" anchorCtr="0">
                        <a:noAutofit/>
                      </wps:bodyPr>
                    </wps:wsp>
                  </a:graphicData>
                </a:graphic>
              </wp:inline>
            </w:drawing>
          </mc:Choice>
          <mc:Fallback>
            <w:pict>
              <v:rect w14:anchorId="7FEDE886" id="Rectangle 8" o:spid="_x0000_s1042" style="width:414.3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" strokecolor="#c0504d" strokeweight="2pt">
                <v:stroke startarrowwidth="narrow" startarrowlength="short" endarrowwidth="narrow" endarrowlength="short"/>
                <v:textbox inset="2.53958mm,1.2694mm,2.53958mm,1.2694mm">
                  <w:txbxContent>
                    <w:p w14:paraId="0772C207" w14:textId="77777777" w:rsidR="00D15367" w:rsidRDefault="00D15367" w:rsidP="00FE4A00">
                      <w:pPr>
                        <w:spacing w:after="60" w:line="311" w:lineRule="auto"/>
                        <w:textDirection w:val="btLr"/>
                      </w:pPr>
                      <w:r>
                        <w:rPr>
                          <w:rFonts w:ascii="Calibri" w:eastAsia="Calibri" w:hAnsi="Calibri" w:cs="Calibri"/>
                          <w:b/>
                          <w:color w:val="000000"/>
                        </w:rPr>
                        <w:t>New Item 821FF – example text</w:t>
                      </w:r>
                    </w:p>
                    <w:p w14:paraId="588A49FA" w14:textId="77777777" w:rsidR="00D15367" w:rsidRDefault="00D15367" w:rsidP="00FE4A00">
                      <w:pPr>
                        <w:spacing w:before="180" w:after="60" w:line="311" w:lineRule="auto"/>
                        <w:textDirection w:val="btLr"/>
                      </w:pPr>
                      <w:r>
                        <w:rPr>
                          <w:rFonts w:ascii="Calibri" w:eastAsia="Calibri" w:hAnsi="Calibri" w:cs="Calibri"/>
                          <w:color w:val="000000"/>
                        </w:rPr>
                        <w:t>A professional attendance lasting less than 20 minutes (whether or not continuous) to a patient, supported by a nurse, Aboriginal Health Worker/Professional or midwife, who is participating in a video consultation with a participating midwife.</w:t>
                      </w:r>
                    </w:p>
                  </w:txbxContent>
                </v:textbox>
                <w10:anchorlock/>
              </v:rect>
            </w:pict>
          </mc:Fallback>
        </mc:AlternateContent>
      </w:r>
    </w:p>
    <w:p w14:paraId="0A002DDC" w14:textId="77777777" w:rsidR="00FE4A00" w:rsidRDefault="00FE4A00" w:rsidP="00165E5B">
      <w:pPr>
        <w:spacing w:after="120" w:line="240" w:lineRule="auto"/>
        <w:rPr>
          <w:rFonts w:ascii="Calibri" w:eastAsia="Calibri" w:hAnsi="Calibri" w:cs="Calibri"/>
        </w:rPr>
      </w:pPr>
      <w:r>
        <w:rPr>
          <w:rFonts w:ascii="Calibri" w:eastAsia="Calibri" w:hAnsi="Calibri" w:cs="Calibri"/>
          <w:noProof/>
          <w:lang w:val="en-AU"/>
        </w:rPr>
        <mc:AlternateContent>
          <mc:Choice Requires="wps">
            <w:drawing>
              <wp:inline distT="0" distB="0" distL="0" distR="0" wp14:anchorId="0A1EFFCE" wp14:editId="62483695">
                <wp:extent cx="5262113" cy="1133475"/>
                <wp:effectExtent l="0" t="0" r="15240" b="28575"/>
                <wp:docPr id="4" name="Rectangle 4"/>
                <wp:cNvGraphicFramePr/>
                <a:graphic xmlns:a="http://schemas.openxmlformats.org/drawingml/2006/main">
                  <a:graphicData uri="http://schemas.microsoft.com/office/word/2010/wordprocessingShape">
                    <wps:wsp>
                      <wps:cNvSpPr/>
                      <wps:spPr>
                        <a:xfrm>
                          <a:off x="0" y="0"/>
                          <a:ext cx="5262113" cy="1133475"/>
                        </a:xfrm>
                        <a:prstGeom prst="rect">
                          <a:avLst/>
                        </a:prstGeom>
                        <a:solidFill>
                          <a:srgbClr val="FFFFFF"/>
                        </a:solidFill>
                        <a:ln w="25400" cap="flat" cmpd="sng">
                          <a:solidFill>
                            <a:srgbClr val="C0504D"/>
                          </a:solidFill>
                          <a:prstDash val="solid"/>
                          <a:miter lim="800000"/>
                          <a:headEnd type="none" w="sm" len="sm"/>
                          <a:tailEnd type="none" w="sm" len="sm"/>
                        </a:ln>
                      </wps:spPr>
                      <wps:txbx>
                        <w:txbxContent>
                          <w:p w14:paraId="4C44E7F1" w14:textId="77777777" w:rsidR="00D15367" w:rsidRDefault="00D15367" w:rsidP="00FE4A00">
                            <w:pPr>
                              <w:spacing w:after="60" w:line="311" w:lineRule="auto"/>
                              <w:textDirection w:val="btLr"/>
                            </w:pPr>
                            <w:r>
                              <w:rPr>
                                <w:rFonts w:ascii="Calibri" w:eastAsia="Calibri" w:hAnsi="Calibri" w:cs="Calibri"/>
                                <w:b/>
                                <w:color w:val="000000"/>
                              </w:rPr>
                              <w:t>New Item 821GG</w:t>
                            </w:r>
                          </w:p>
                          <w:p w14:paraId="0A82E684" w14:textId="77777777" w:rsidR="00D15367" w:rsidRDefault="00D15367" w:rsidP="00FE4A00">
                            <w:pPr>
                              <w:spacing w:before="180" w:after="60" w:line="311" w:lineRule="auto"/>
                              <w:textDirection w:val="btLr"/>
                            </w:pPr>
                            <w:r>
                              <w:rPr>
                                <w:rFonts w:ascii="Calibri" w:eastAsia="Calibri" w:hAnsi="Calibri" w:cs="Calibri"/>
                                <w:color w:val="000000"/>
                              </w:rPr>
                              <w:t>A professional attendance lasting at least 20 minutes (</w:t>
                            </w:r>
                            <w:proofErr w:type="gramStart"/>
                            <w:r>
                              <w:rPr>
                                <w:rFonts w:ascii="Calibri" w:eastAsia="Calibri" w:hAnsi="Calibri" w:cs="Calibri"/>
                                <w:color w:val="000000"/>
                              </w:rPr>
                              <w:t>whether or not</w:t>
                            </w:r>
                            <w:proofErr w:type="gramEnd"/>
                            <w:r>
                              <w:rPr>
                                <w:rFonts w:ascii="Calibri" w:eastAsia="Calibri" w:hAnsi="Calibri" w:cs="Calibri"/>
                                <w:color w:val="000000"/>
                              </w:rPr>
                              <w:t xml:space="preserve"> continuous) to a patient, supported by a nurse, Aboriginal Health Worker/Professional or midwife, who is participating in a video consultation with a participating midwife.</w:t>
                            </w:r>
                          </w:p>
                        </w:txbxContent>
                      </wps:txbx>
                      <wps:bodyPr spcFirstLastPara="1" wrap="square" lIns="91425" tIns="45700" rIns="91425" bIns="45700" anchor="t" anchorCtr="0">
                        <a:noAutofit/>
                      </wps:bodyPr>
                    </wps:wsp>
                  </a:graphicData>
                </a:graphic>
              </wp:inline>
            </w:drawing>
          </mc:Choice>
          <mc:Fallback>
            <w:pict>
              <v:rect w14:anchorId="0A1EFFCE" id="Rectangle 4" o:spid="_x0000_s1043" style="width:414.3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" strokecolor="#c0504d" strokeweight="2pt">
                <v:stroke startarrowwidth="narrow" startarrowlength="short" endarrowwidth="narrow" endarrowlength="short"/>
                <v:textbox inset="2.53958mm,1.2694mm,2.53958mm,1.2694mm">
                  <w:txbxContent>
                    <w:p w14:paraId="4C44E7F1" w14:textId="77777777" w:rsidR="00D15367" w:rsidRDefault="00D15367" w:rsidP="00FE4A00">
                      <w:pPr>
                        <w:spacing w:after="60" w:line="311" w:lineRule="auto"/>
                        <w:textDirection w:val="btLr"/>
                      </w:pPr>
                      <w:r>
                        <w:rPr>
                          <w:rFonts w:ascii="Calibri" w:eastAsia="Calibri" w:hAnsi="Calibri" w:cs="Calibri"/>
                          <w:b/>
                          <w:color w:val="000000"/>
                        </w:rPr>
                        <w:t>New Item 821GG</w:t>
                      </w:r>
                    </w:p>
                    <w:p w14:paraId="0A82E684" w14:textId="77777777" w:rsidR="00D15367" w:rsidRDefault="00D15367" w:rsidP="00FE4A00">
                      <w:pPr>
                        <w:spacing w:before="180" w:after="60" w:line="311" w:lineRule="auto"/>
                        <w:textDirection w:val="btLr"/>
                      </w:pPr>
                      <w:r>
                        <w:rPr>
                          <w:rFonts w:ascii="Calibri" w:eastAsia="Calibri" w:hAnsi="Calibri" w:cs="Calibri"/>
                          <w:color w:val="000000"/>
                        </w:rPr>
                        <w:t>A professional attendance lasting at least 20 minutes (whether or not continuous) to a patient, supported by a nurse, Aboriginal Health Worker/Professional or midwife, who is participating in a video consultation with a participating midwife.</w:t>
                      </w:r>
                    </w:p>
                  </w:txbxContent>
                </v:textbox>
                <w10:anchorlock/>
              </v:rect>
            </w:pict>
          </mc:Fallback>
        </mc:AlternateContent>
      </w:r>
    </w:p>
    <w:p w14:paraId="43EBF88F" w14:textId="77777777" w:rsidR="00FE4A00" w:rsidRDefault="00FE4A00" w:rsidP="00165E5B">
      <w:pPr>
        <w:spacing w:after="120" w:line="240" w:lineRule="auto"/>
        <w:rPr>
          <w:rFonts w:ascii="Calibri" w:eastAsia="Calibri" w:hAnsi="Calibri" w:cs="Calibri"/>
        </w:rPr>
      </w:pPr>
      <w:r>
        <w:rPr>
          <w:rFonts w:ascii="Calibri" w:eastAsia="Calibri" w:hAnsi="Calibri" w:cs="Calibri"/>
          <w:noProof/>
          <w:lang w:val="en-AU"/>
        </w:rPr>
        <w:lastRenderedPageBreak/>
        <mc:AlternateContent>
          <mc:Choice Requires="wps">
            <w:drawing>
              <wp:inline distT="0" distB="0" distL="0" distR="0" wp14:anchorId="0762ED8A" wp14:editId="793F80D3">
                <wp:extent cx="5262113" cy="1123950"/>
                <wp:effectExtent l="0" t="0" r="15240" b="19050"/>
                <wp:docPr id="2" name="Rectangle 2"/>
                <wp:cNvGraphicFramePr/>
                <a:graphic xmlns:a="http://schemas.openxmlformats.org/drawingml/2006/main">
                  <a:graphicData uri="http://schemas.microsoft.com/office/word/2010/wordprocessingShape">
                    <wps:wsp>
                      <wps:cNvSpPr/>
                      <wps:spPr>
                        <a:xfrm>
                          <a:off x="0" y="0"/>
                          <a:ext cx="5262113" cy="1123950"/>
                        </a:xfrm>
                        <a:prstGeom prst="rect">
                          <a:avLst/>
                        </a:prstGeom>
                        <a:solidFill>
                          <a:srgbClr val="FFFFFF"/>
                        </a:solidFill>
                        <a:ln w="25400" cap="flat" cmpd="sng">
                          <a:solidFill>
                            <a:srgbClr val="C0504D"/>
                          </a:solidFill>
                          <a:prstDash val="solid"/>
                          <a:miter lim="800000"/>
                          <a:headEnd type="none" w="sm" len="sm"/>
                          <a:tailEnd type="none" w="sm" len="sm"/>
                        </a:ln>
                      </wps:spPr>
                      <wps:txbx>
                        <w:txbxContent>
                          <w:p w14:paraId="5AD200E3" w14:textId="77777777" w:rsidR="00D15367" w:rsidRDefault="00D15367" w:rsidP="00FE4A00">
                            <w:pPr>
                              <w:spacing w:after="60" w:line="311" w:lineRule="auto"/>
                              <w:textDirection w:val="btLr"/>
                            </w:pPr>
                            <w:r>
                              <w:rPr>
                                <w:rFonts w:ascii="Calibri" w:eastAsia="Calibri" w:hAnsi="Calibri" w:cs="Calibri"/>
                                <w:b/>
                                <w:color w:val="000000"/>
                              </w:rPr>
                              <w:t>New Item 821HH</w:t>
                            </w:r>
                          </w:p>
                          <w:p w14:paraId="4578E160" w14:textId="77777777" w:rsidR="00D15367" w:rsidRDefault="00D15367" w:rsidP="00FE4A00">
                            <w:pPr>
                              <w:spacing w:before="180" w:after="60" w:line="311" w:lineRule="auto"/>
                              <w:textDirection w:val="btLr"/>
                            </w:pPr>
                            <w:r>
                              <w:rPr>
                                <w:rFonts w:ascii="Calibri" w:eastAsia="Calibri" w:hAnsi="Calibri" w:cs="Calibri"/>
                                <w:color w:val="000000"/>
                              </w:rPr>
                              <w:t>A professional attendance lasting at least 40 minutes (</w:t>
                            </w:r>
                            <w:proofErr w:type="gramStart"/>
                            <w:r>
                              <w:rPr>
                                <w:rFonts w:ascii="Calibri" w:eastAsia="Calibri" w:hAnsi="Calibri" w:cs="Calibri"/>
                                <w:color w:val="000000"/>
                              </w:rPr>
                              <w:t>whether or not</w:t>
                            </w:r>
                            <w:proofErr w:type="gramEnd"/>
                            <w:r>
                              <w:rPr>
                                <w:rFonts w:ascii="Calibri" w:eastAsia="Calibri" w:hAnsi="Calibri" w:cs="Calibri"/>
                                <w:color w:val="000000"/>
                              </w:rPr>
                              <w:t xml:space="preserve"> continuous) to a patient, supported by a nurse, Aboriginal Health Worker/Professional or midwife, who is participating in a video consultation with a participating midwife.</w:t>
                            </w:r>
                          </w:p>
                        </w:txbxContent>
                      </wps:txbx>
                      <wps:bodyPr spcFirstLastPara="1" wrap="square" lIns="91425" tIns="45700" rIns="91425" bIns="45700" anchor="t" anchorCtr="0">
                        <a:noAutofit/>
                      </wps:bodyPr>
                    </wps:wsp>
                  </a:graphicData>
                </a:graphic>
              </wp:inline>
            </w:drawing>
          </mc:Choice>
          <mc:Fallback>
            <w:pict>
              <v:rect w14:anchorId="0762ED8A" id="Rectangle 2" o:spid="_x0000_s1044" style="width:414.3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" strokecolor="#c0504d" strokeweight="2pt">
                <v:stroke startarrowwidth="narrow" startarrowlength="short" endarrowwidth="narrow" endarrowlength="short"/>
                <v:textbox inset="2.53958mm,1.2694mm,2.53958mm,1.2694mm">
                  <w:txbxContent>
                    <w:p w14:paraId="5AD200E3" w14:textId="77777777" w:rsidR="00D15367" w:rsidRDefault="00D15367" w:rsidP="00FE4A00">
                      <w:pPr>
                        <w:spacing w:after="60" w:line="311" w:lineRule="auto"/>
                        <w:textDirection w:val="btLr"/>
                      </w:pPr>
                      <w:r>
                        <w:rPr>
                          <w:rFonts w:ascii="Calibri" w:eastAsia="Calibri" w:hAnsi="Calibri" w:cs="Calibri"/>
                          <w:b/>
                          <w:color w:val="000000"/>
                        </w:rPr>
                        <w:t>New Item 821HH</w:t>
                      </w:r>
                    </w:p>
                    <w:p w14:paraId="4578E160" w14:textId="77777777" w:rsidR="00D15367" w:rsidRDefault="00D15367" w:rsidP="00FE4A00">
                      <w:pPr>
                        <w:spacing w:before="180" w:after="60" w:line="311" w:lineRule="auto"/>
                        <w:textDirection w:val="btLr"/>
                      </w:pPr>
                      <w:r>
                        <w:rPr>
                          <w:rFonts w:ascii="Calibri" w:eastAsia="Calibri" w:hAnsi="Calibri" w:cs="Calibri"/>
                          <w:color w:val="000000"/>
                        </w:rPr>
                        <w:t>A professional attendance lasting at least 40 minutes (whether or not continuous) to a patient, supported by a nurse, Aboriginal Health Worker/Professional or midwife, who is participating in a video consultation with a participating midwife.</w:t>
                      </w:r>
                    </w:p>
                  </w:txbxContent>
                </v:textbox>
                <w10:anchorlock/>
              </v:rect>
            </w:pict>
          </mc:Fallback>
        </mc:AlternateContent>
      </w:r>
    </w:p>
    <w:p w14:paraId="4EAB6329" w14:textId="77777777" w:rsidR="00FE4A00" w:rsidRDefault="00FE4A00" w:rsidP="00165E5B">
      <w:pPr>
        <w:spacing w:after="120" w:line="240" w:lineRule="auto"/>
        <w:ind w:left="360"/>
        <w:rPr>
          <w:rFonts w:ascii="Calibri" w:eastAsia="Calibri" w:hAnsi="Calibri" w:cs="Calibri"/>
        </w:rPr>
      </w:pPr>
      <w:r>
        <w:rPr>
          <w:rFonts w:ascii="Calibri" w:eastAsia="Calibri" w:hAnsi="Calibri" w:cs="Calibri"/>
        </w:rPr>
        <w:t>and</w:t>
      </w:r>
    </w:p>
    <w:p w14:paraId="2007F43D" w14:textId="77777777" w:rsidR="00FE4A00" w:rsidRDefault="00FE4A00" w:rsidP="00165E5B">
      <w:pPr>
        <w:numPr>
          <w:ilvl w:val="0"/>
          <w:numId w:val="3"/>
        </w:numPr>
        <w:spacing w:after="120" w:line="240" w:lineRule="auto"/>
        <w:rPr>
          <w:rFonts w:ascii="Calibri" w:eastAsia="Calibri" w:hAnsi="Calibri" w:cs="Calibri"/>
        </w:rPr>
      </w:pPr>
      <w:r>
        <w:rPr>
          <w:rFonts w:ascii="Calibri" w:eastAsia="Calibri" w:hAnsi="Calibri" w:cs="Calibri"/>
        </w:rPr>
        <w:t>adding the following restrictions, in line with items 82150–82152:</w:t>
      </w:r>
    </w:p>
    <w:p w14:paraId="6C31818E" w14:textId="77777777" w:rsidR="00FE4A00" w:rsidRDefault="00FE4A00" w:rsidP="00165E5B">
      <w:pPr>
        <w:numPr>
          <w:ilvl w:val="0"/>
          <w:numId w:val="26"/>
        </w:numPr>
        <w:spacing w:after="120" w:line="240" w:lineRule="auto"/>
        <w:rPr>
          <w:rFonts w:ascii="Calibri" w:eastAsia="Calibri" w:hAnsi="Calibri" w:cs="Calibri"/>
        </w:rPr>
      </w:pPr>
      <w:r>
        <w:rPr>
          <w:rFonts w:ascii="Calibri" w:eastAsia="Calibri" w:hAnsi="Calibri" w:cs="Calibri"/>
        </w:rPr>
        <w:t>The woman must not be an admitted patient.</w:t>
      </w:r>
    </w:p>
    <w:p w14:paraId="424403AC" w14:textId="77777777" w:rsidR="00FE4A00" w:rsidRDefault="00FE4A00" w:rsidP="00165E5B">
      <w:pPr>
        <w:numPr>
          <w:ilvl w:val="0"/>
          <w:numId w:val="26"/>
        </w:numPr>
        <w:spacing w:after="120" w:line="240" w:lineRule="auto"/>
        <w:rPr>
          <w:rFonts w:ascii="Calibri" w:eastAsia="Calibri" w:hAnsi="Calibri" w:cs="Calibri"/>
        </w:rPr>
      </w:pPr>
      <w:r>
        <w:rPr>
          <w:rFonts w:ascii="Calibri" w:eastAsia="Calibri" w:hAnsi="Calibri" w:cs="Calibri"/>
        </w:rPr>
        <w:t xml:space="preserve">The woman must be located both within a telehealth-eligible area, and at least 35 </w:t>
      </w:r>
      <w:proofErr w:type="spellStart"/>
      <w:r>
        <w:rPr>
          <w:rFonts w:ascii="Calibri" w:eastAsia="Calibri" w:hAnsi="Calibri" w:cs="Calibri"/>
        </w:rPr>
        <w:t>kilometres</w:t>
      </w:r>
      <w:proofErr w:type="spellEnd"/>
      <w:r>
        <w:rPr>
          <w:rFonts w:ascii="Calibri" w:eastAsia="Calibri" w:hAnsi="Calibri" w:cs="Calibri"/>
        </w:rPr>
        <w:t xml:space="preserve"> by road from the participating midwife mentioned in the above descriptors.</w:t>
      </w:r>
    </w:p>
    <w:p w14:paraId="464DA44B" w14:textId="77777777" w:rsidR="00FE4A00" w:rsidRDefault="00FE4A00" w:rsidP="00165E5B">
      <w:pPr>
        <w:numPr>
          <w:ilvl w:val="0"/>
          <w:numId w:val="26"/>
        </w:numPr>
        <w:spacing w:after="120" w:line="240" w:lineRule="auto"/>
        <w:rPr>
          <w:rFonts w:ascii="Calibri" w:eastAsia="Calibri" w:hAnsi="Calibri" w:cs="Calibri"/>
        </w:rPr>
      </w:pPr>
      <w:r>
        <w:rPr>
          <w:rFonts w:ascii="Calibri" w:eastAsia="Calibri" w:hAnsi="Calibri" w:cs="Calibri"/>
        </w:rPr>
        <w:t>The woman must reside in a rural or remote region (defined as Modified Monash Model areas 4–7).</w:t>
      </w:r>
    </w:p>
    <w:p w14:paraId="2BA49DAD" w14:textId="77777777" w:rsidR="00FE4A00" w:rsidRDefault="00FE4A00" w:rsidP="00165E5B">
      <w:pPr>
        <w:numPr>
          <w:ilvl w:val="0"/>
          <w:numId w:val="26"/>
        </w:numPr>
        <w:spacing w:after="120" w:line="240" w:lineRule="auto"/>
        <w:rPr>
          <w:rFonts w:ascii="Calibri" w:eastAsia="Calibri" w:hAnsi="Calibri" w:cs="Calibri"/>
        </w:rPr>
      </w:pPr>
      <w:r>
        <w:rPr>
          <w:rFonts w:ascii="Calibri" w:eastAsia="Calibri" w:hAnsi="Calibri" w:cs="Calibri"/>
        </w:rPr>
        <w:t>The midwife must be intending to undertake the woman’s birth, or in the case of postnatal care, be the primary provider of postnatal care or breastfeeding support for the woman.</w:t>
      </w:r>
    </w:p>
    <w:p w14:paraId="6541B3D0" w14:textId="77777777" w:rsidR="00FE4A00" w:rsidRDefault="00FE4A00" w:rsidP="00165E5B">
      <w:pPr>
        <w:pStyle w:val="Style4"/>
        <w:spacing w:before="0" w:line="240" w:lineRule="auto"/>
      </w:pPr>
      <w:bookmarkStart w:id="75" w:name="_ihv636" w:colFirst="0" w:colLast="0"/>
      <w:bookmarkEnd w:id="75"/>
      <w:r>
        <w:t>Rationale 12</w:t>
      </w:r>
    </w:p>
    <w:p w14:paraId="249C14B8" w14:textId="77777777" w:rsidR="00FE4A00" w:rsidRDefault="00FE4A00" w:rsidP="00165E5B">
      <w:pPr>
        <w:spacing w:after="120" w:line="240" w:lineRule="auto"/>
        <w:ind w:hanging="283"/>
        <w:rPr>
          <w:rFonts w:ascii="Calibri" w:eastAsia="Calibri" w:hAnsi="Calibri" w:cs="Calibri"/>
        </w:rPr>
      </w:pPr>
      <w:r>
        <w:rPr>
          <w:rFonts w:ascii="Calibri" w:eastAsia="Calibri" w:hAnsi="Calibri" w:cs="Calibri"/>
        </w:rPr>
        <w:t>This recommendation focuses on ensuring that consumers in remote and rural areas can access high-quality, cost-effective maternity care. It is based on the following.</w:t>
      </w:r>
    </w:p>
    <w:p w14:paraId="12D3AEBD" w14:textId="77777777" w:rsidR="00FE4A00" w:rsidRDefault="00FE4A00" w:rsidP="00165E5B">
      <w:pPr>
        <w:numPr>
          <w:ilvl w:val="0"/>
          <w:numId w:val="21"/>
        </w:numPr>
        <w:spacing w:after="120" w:line="240" w:lineRule="auto"/>
        <w:rPr>
          <w:rFonts w:ascii="Calibri" w:eastAsia="Calibri" w:hAnsi="Calibri" w:cs="Calibri"/>
        </w:rPr>
      </w:pPr>
      <w:r>
        <w:rPr>
          <w:rFonts w:ascii="Calibri" w:eastAsia="Calibri" w:hAnsi="Calibri" w:cs="Calibri"/>
        </w:rPr>
        <w:t>As noted in Recommendation 9, the Reference Group agreed that there is a need to expand midwifery services to rural and remote populations.</w:t>
      </w:r>
    </w:p>
    <w:p w14:paraId="5DE33E9B" w14:textId="77777777" w:rsidR="00FE4A00" w:rsidRDefault="00FE4A00" w:rsidP="00165E5B">
      <w:pPr>
        <w:numPr>
          <w:ilvl w:val="0"/>
          <w:numId w:val="21"/>
        </w:numPr>
        <w:spacing w:after="120" w:line="240" w:lineRule="auto"/>
        <w:rPr>
          <w:rFonts w:ascii="Calibri" w:eastAsia="Calibri" w:hAnsi="Calibri" w:cs="Calibri"/>
        </w:rPr>
      </w:pPr>
      <w:r>
        <w:rPr>
          <w:rFonts w:ascii="Calibri" w:eastAsia="Calibri" w:hAnsi="Calibri" w:cs="Calibri"/>
        </w:rPr>
        <w:t>Members of the Reference Group who work primarily with Indigenous women or remote/rural services report that most of these women have access to a health worker such as a nurse. The identified telehealth need is for that worker and the women to be able to consult with a midwife.</w:t>
      </w:r>
    </w:p>
    <w:p w14:paraId="71E5B81E" w14:textId="77777777" w:rsidR="00FE4A00" w:rsidRDefault="00FE4A00" w:rsidP="00165E5B">
      <w:pPr>
        <w:numPr>
          <w:ilvl w:val="0"/>
          <w:numId w:val="21"/>
        </w:numPr>
        <w:spacing w:after="120" w:line="240" w:lineRule="auto"/>
        <w:rPr>
          <w:rFonts w:ascii="Calibri" w:eastAsia="Calibri" w:hAnsi="Calibri" w:cs="Calibri"/>
        </w:rPr>
      </w:pPr>
      <w:r>
        <w:rPr>
          <w:rFonts w:ascii="Calibri" w:eastAsia="Calibri" w:hAnsi="Calibri" w:cs="Calibri"/>
        </w:rPr>
        <w:t>The Reference Group agreed that there are multiple instances where a participating midwife could provide high-value care to a woman via telehealth without the participation of a medical professional. For example:</w:t>
      </w:r>
    </w:p>
    <w:p w14:paraId="14D541C0" w14:textId="77777777" w:rsidR="00FE4A00" w:rsidRDefault="00FE4A00" w:rsidP="00165E5B">
      <w:pPr>
        <w:numPr>
          <w:ilvl w:val="0"/>
          <w:numId w:val="43"/>
        </w:numPr>
        <w:spacing w:after="120" w:line="240" w:lineRule="auto"/>
        <w:ind w:right="142"/>
        <w:rPr>
          <w:rFonts w:ascii="Calibri" w:eastAsia="Calibri" w:hAnsi="Calibri" w:cs="Calibri"/>
        </w:rPr>
      </w:pPr>
      <w:r>
        <w:rPr>
          <w:rFonts w:ascii="Calibri" w:eastAsia="Calibri" w:hAnsi="Calibri" w:cs="Calibri"/>
        </w:rPr>
        <w:t xml:space="preserve">Women who live or work in rural or remote areas (for example, Anangu </w:t>
      </w:r>
      <w:proofErr w:type="spellStart"/>
      <w:r>
        <w:rPr>
          <w:rFonts w:ascii="Calibri" w:eastAsia="Calibri" w:hAnsi="Calibri" w:cs="Calibri"/>
        </w:rPr>
        <w:t>Pitjantjatjara</w:t>
      </w:r>
      <w:proofErr w:type="spellEnd"/>
      <w:r>
        <w:rPr>
          <w:rFonts w:ascii="Calibri" w:eastAsia="Calibri" w:hAnsi="Calibri" w:cs="Calibri"/>
        </w:rPr>
        <w:t xml:space="preserve"> Yankunytjatjara [APY] lands) but are planning to come to the city to birth can access midwife care regularly throughout their pregnancy and build rapport with their midwife before seeing them face to face. This provides opportunities for explanation and education.</w:t>
      </w:r>
    </w:p>
    <w:p w14:paraId="54481720" w14:textId="77777777" w:rsidR="00FE4A00" w:rsidRDefault="00FE4A00" w:rsidP="00165E5B">
      <w:pPr>
        <w:numPr>
          <w:ilvl w:val="0"/>
          <w:numId w:val="43"/>
        </w:numPr>
        <w:spacing w:after="120" w:line="240" w:lineRule="auto"/>
        <w:ind w:right="142"/>
        <w:rPr>
          <w:rFonts w:ascii="Calibri" w:eastAsia="Calibri" w:hAnsi="Calibri" w:cs="Calibri"/>
        </w:rPr>
      </w:pPr>
      <w:r>
        <w:rPr>
          <w:rFonts w:ascii="Calibri" w:eastAsia="Calibri" w:hAnsi="Calibri" w:cs="Calibri"/>
        </w:rPr>
        <w:t xml:space="preserve">A woman residing in a remote area might attend </w:t>
      </w:r>
      <w:proofErr w:type="gramStart"/>
      <w:r>
        <w:rPr>
          <w:rFonts w:ascii="Calibri" w:eastAsia="Calibri" w:hAnsi="Calibri" w:cs="Calibri"/>
        </w:rPr>
        <w:t>a number of</w:t>
      </w:r>
      <w:proofErr w:type="gramEnd"/>
      <w:r>
        <w:rPr>
          <w:rFonts w:ascii="Calibri" w:eastAsia="Calibri" w:hAnsi="Calibri" w:cs="Calibri"/>
        </w:rPr>
        <w:t xml:space="preserve"> antenatal consultations via telehealth with a participating midwife who is her intended midwife for </w:t>
      </w:r>
      <w:proofErr w:type="spellStart"/>
      <w:r>
        <w:rPr>
          <w:rFonts w:ascii="Calibri" w:eastAsia="Calibri" w:hAnsi="Calibri" w:cs="Calibri"/>
        </w:rPr>
        <w:t>labour</w:t>
      </w:r>
      <w:proofErr w:type="spellEnd"/>
      <w:r>
        <w:rPr>
          <w:rFonts w:ascii="Calibri" w:eastAsia="Calibri" w:hAnsi="Calibri" w:cs="Calibri"/>
        </w:rPr>
        <w:t xml:space="preserve"> and birth. Due to the remote location, all antenatal consults cannot be attended face to face.</w:t>
      </w:r>
    </w:p>
    <w:p w14:paraId="6CABFF30" w14:textId="77777777" w:rsidR="00FE4A00" w:rsidRDefault="00FE4A00" w:rsidP="00165E5B">
      <w:pPr>
        <w:numPr>
          <w:ilvl w:val="0"/>
          <w:numId w:val="43"/>
        </w:numPr>
        <w:spacing w:after="120" w:line="240" w:lineRule="auto"/>
        <w:ind w:right="142"/>
        <w:rPr>
          <w:rFonts w:ascii="Calibri" w:eastAsia="Calibri" w:hAnsi="Calibri" w:cs="Calibri"/>
        </w:rPr>
      </w:pPr>
      <w:r>
        <w:rPr>
          <w:rFonts w:ascii="Calibri" w:eastAsia="Calibri" w:hAnsi="Calibri" w:cs="Calibri"/>
        </w:rPr>
        <w:t>Women returning to remote areas after birth can consult via telehealth with the known birthing midwife, providing continuity of care.</w:t>
      </w:r>
    </w:p>
    <w:p w14:paraId="1D69C91A" w14:textId="77777777" w:rsidR="00FE4A00" w:rsidRDefault="00FE4A00" w:rsidP="00165E5B">
      <w:pPr>
        <w:numPr>
          <w:ilvl w:val="0"/>
          <w:numId w:val="43"/>
        </w:numPr>
        <w:spacing w:after="120" w:line="240" w:lineRule="auto"/>
        <w:ind w:right="142"/>
        <w:rPr>
          <w:rFonts w:ascii="Calibri" w:eastAsia="Calibri" w:hAnsi="Calibri" w:cs="Calibri"/>
        </w:rPr>
      </w:pPr>
      <w:r>
        <w:rPr>
          <w:rFonts w:ascii="Calibri" w:eastAsia="Calibri" w:hAnsi="Calibri" w:cs="Calibri"/>
        </w:rPr>
        <w:t xml:space="preserve">Women who live several hours away from their midwife can check in for antenatal discussion and education. A local health worker can perform a basic clinical examination. </w:t>
      </w:r>
    </w:p>
    <w:p w14:paraId="7E54BD3D" w14:textId="77777777" w:rsidR="00FE4A00" w:rsidRDefault="00FE4A00" w:rsidP="00165E5B">
      <w:pPr>
        <w:numPr>
          <w:ilvl w:val="0"/>
          <w:numId w:val="21"/>
        </w:numPr>
        <w:spacing w:after="120" w:line="240" w:lineRule="auto"/>
        <w:rPr>
          <w:rFonts w:ascii="Calibri" w:eastAsia="Calibri" w:hAnsi="Calibri" w:cs="Calibri"/>
        </w:rPr>
      </w:pPr>
      <w:r>
        <w:rPr>
          <w:rFonts w:ascii="Calibri" w:eastAsia="Calibri" w:hAnsi="Calibri" w:cs="Calibri"/>
        </w:rPr>
        <w:t>The Reference Group agreed that having practitioners on the patient side during these consultations is important to enable appropriate observations and basic examinations during the attendance.</w:t>
      </w:r>
    </w:p>
    <w:p w14:paraId="13ECC25A" w14:textId="77777777" w:rsidR="00FE4A00" w:rsidRDefault="00FE4A00" w:rsidP="00165E5B">
      <w:pPr>
        <w:numPr>
          <w:ilvl w:val="0"/>
          <w:numId w:val="21"/>
        </w:numPr>
        <w:spacing w:after="120" w:line="240" w:lineRule="auto"/>
        <w:rPr>
          <w:rFonts w:ascii="Calibri" w:eastAsia="Calibri" w:hAnsi="Calibri" w:cs="Calibri"/>
        </w:rPr>
      </w:pPr>
      <w:r>
        <w:rPr>
          <w:rFonts w:ascii="Calibri" w:eastAsia="Calibri" w:hAnsi="Calibri" w:cs="Calibri"/>
        </w:rPr>
        <w:t xml:space="preserve">The Reference Group agreed to include midwives in the list of eligible practitioners on the patient side under this item. The Reference Group agreed that a participating midwife consulting with </w:t>
      </w:r>
      <w:r>
        <w:rPr>
          <w:rFonts w:ascii="Calibri" w:eastAsia="Calibri" w:hAnsi="Calibri" w:cs="Calibri"/>
        </w:rPr>
        <w:lastRenderedPageBreak/>
        <w:t>another midwife via teleconference would be particularly useful when women are planning on moving to a metropolitan area to give birth. For example:</w:t>
      </w:r>
    </w:p>
    <w:p w14:paraId="7CE8AD77" w14:textId="77777777" w:rsidR="00FE4A00" w:rsidRDefault="00FE4A00" w:rsidP="00165E5B">
      <w:pPr>
        <w:numPr>
          <w:ilvl w:val="0"/>
          <w:numId w:val="43"/>
        </w:numPr>
        <w:spacing w:after="120" w:line="240" w:lineRule="auto"/>
        <w:ind w:right="142"/>
        <w:rPr>
          <w:rFonts w:ascii="Calibri" w:eastAsia="Calibri" w:hAnsi="Calibri" w:cs="Calibri"/>
        </w:rPr>
      </w:pPr>
      <w:r>
        <w:rPr>
          <w:rFonts w:ascii="Calibri" w:eastAsia="Calibri" w:hAnsi="Calibri" w:cs="Calibri"/>
        </w:rPr>
        <w:t>Women may move from a rural/remote area to the city for birth. Telehealth offers the opportunity for midwives to introduce rural and remote women to the participating midwife who will be undertaking their birth in a metropolitan region. This allows familiarity for those who are unable to meet their participating midwife face to face.</w:t>
      </w:r>
    </w:p>
    <w:p w14:paraId="0553A5F8" w14:textId="77777777" w:rsidR="00FE4A00" w:rsidRDefault="00FE4A00" w:rsidP="00165E5B">
      <w:pPr>
        <w:numPr>
          <w:ilvl w:val="0"/>
          <w:numId w:val="43"/>
        </w:numPr>
        <w:spacing w:after="120" w:line="240" w:lineRule="auto"/>
        <w:ind w:right="142"/>
        <w:rPr>
          <w:rFonts w:ascii="Calibri" w:eastAsia="Calibri" w:hAnsi="Calibri" w:cs="Calibri"/>
        </w:rPr>
      </w:pPr>
      <w:r>
        <w:rPr>
          <w:rFonts w:ascii="Calibri" w:eastAsia="Calibri" w:hAnsi="Calibri" w:cs="Calibri"/>
        </w:rPr>
        <w:t xml:space="preserve">Women who live in rural or remote regions may be experiencing breastfeeding challenges. The remote area midwife may not have any additional training in this area and may request help from a </w:t>
      </w:r>
      <w:proofErr w:type="spellStart"/>
      <w:r>
        <w:rPr>
          <w:rFonts w:ascii="Calibri" w:eastAsia="Calibri" w:hAnsi="Calibri" w:cs="Calibri"/>
        </w:rPr>
        <w:t>specialised</w:t>
      </w:r>
      <w:proofErr w:type="spellEnd"/>
      <w:r>
        <w:rPr>
          <w:rFonts w:ascii="Calibri" w:eastAsia="Calibri" w:hAnsi="Calibri" w:cs="Calibri"/>
        </w:rPr>
        <w:t xml:space="preserve"> midwife in the city. Together with the woman, they may be able to provide an assessment of attachment, remedial assistance and support to enable ongoing breastfeeding.</w:t>
      </w:r>
    </w:p>
    <w:p w14:paraId="7512D8C2" w14:textId="77777777" w:rsidR="00FE4A00" w:rsidRDefault="00FE4A00" w:rsidP="00165E5B">
      <w:pPr>
        <w:numPr>
          <w:ilvl w:val="0"/>
          <w:numId w:val="21"/>
        </w:numPr>
        <w:spacing w:after="120" w:line="240" w:lineRule="auto"/>
        <w:rPr>
          <w:rFonts w:ascii="Calibri" w:eastAsia="Calibri" w:hAnsi="Calibri" w:cs="Calibri"/>
        </w:rPr>
      </w:pPr>
      <w:r>
        <w:rPr>
          <w:rFonts w:ascii="Calibri" w:eastAsia="Calibri" w:hAnsi="Calibri" w:cs="Calibri"/>
        </w:rPr>
        <w:t>The Reference Group noted the importance of continuity of care in ensuring high-value use of telehealth items in a fee-for-service system and has targeted its recommendations to promote this.</w:t>
      </w:r>
    </w:p>
    <w:p w14:paraId="7CA0599D" w14:textId="4CEA459E" w:rsidR="006D2440" w:rsidRPr="00FE4A00" w:rsidRDefault="004D7CE6" w:rsidP="00FE4A00">
      <w:pPr>
        <w:pStyle w:val="Heading1"/>
        <w:keepLines w:val="0"/>
        <w:widowControl w:val="0"/>
        <w:pBdr>
          <w:bottom w:val="single" w:sz="16" w:space="11" w:color="BFBFBF"/>
        </w:pBdr>
        <w:spacing w:before="720" w:after="720" w:line="312" w:lineRule="auto"/>
        <w:ind w:left="432"/>
        <w:rPr>
          <w:rFonts w:ascii="Calibri" w:eastAsia="Calibri" w:hAnsi="Calibri" w:cs="Calibri"/>
          <w:b/>
          <w:color w:val="01653F"/>
        </w:rPr>
      </w:pPr>
      <w:bookmarkStart w:id="76" w:name="_Toc42764248"/>
      <w:r w:rsidRPr="00FE4A00">
        <w:rPr>
          <w:rFonts w:ascii="Calibri" w:eastAsia="Calibri" w:hAnsi="Calibri" w:cs="Calibri"/>
          <w:b/>
          <w:color w:val="01653F"/>
        </w:rPr>
        <w:t>Ophthalmology Clinical Committee</w:t>
      </w:r>
      <w:bookmarkEnd w:id="76"/>
    </w:p>
    <w:p w14:paraId="2E9ACB15" w14:textId="25B0F0D0" w:rsidR="006D2440" w:rsidRPr="008E7FF0" w:rsidRDefault="00004598" w:rsidP="008E7FF0">
      <w:pPr>
        <w:pStyle w:val="Style4"/>
        <w:rPr>
          <w:color w:val="4F6228" w:themeColor="accent3" w:themeShade="80"/>
        </w:rPr>
      </w:pPr>
      <w:r w:rsidRPr="008E7FF0">
        <w:rPr>
          <w:color w:val="4F6228" w:themeColor="accent3" w:themeShade="80"/>
        </w:rPr>
        <w:t>Telehealth Working Group Consideration</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1F90888D"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36D9F9A" w14:textId="173A81D6" w:rsidR="006D2440" w:rsidRDefault="004D7CE6">
            <w:pPr>
              <w:spacing w:before="120"/>
              <w:ind w:right="142"/>
              <w:rPr>
                <w:rFonts w:ascii="Calibri" w:eastAsia="Calibri" w:hAnsi="Calibri" w:cs="Calibri"/>
              </w:rPr>
            </w:pPr>
            <w:r>
              <w:rPr>
                <w:rFonts w:ascii="Calibri" w:eastAsia="Calibri" w:hAnsi="Calibri" w:cs="Calibri"/>
                <w:b/>
              </w:rPr>
              <w:t>Telehealth Recommendation 10 of 21</w:t>
            </w:r>
            <w:r w:rsidRPr="008E7FF0">
              <w:rPr>
                <w:rFonts w:ascii="Calibri" w:eastAsia="Calibri" w:hAnsi="Calibri" w:cs="Calibri"/>
                <w:b/>
              </w:rPr>
              <w:t>: Ophthalmology Clinical Committee Recommendation 12</w:t>
            </w:r>
            <w:r w:rsidR="002668FC">
              <w:rPr>
                <w:rFonts w:ascii="Calibri" w:eastAsia="Calibri" w:hAnsi="Calibri" w:cs="Calibri"/>
                <w:b/>
              </w:rPr>
              <w:t xml:space="preserve"> - </w:t>
            </w:r>
            <w:r w:rsidR="002668FC">
              <w:rPr>
                <w:rFonts w:ascii="Calibri" w:eastAsia="Calibri" w:hAnsi="Calibri" w:cs="Calibri"/>
              </w:rPr>
              <w:t>Remove item 99’s association with item 104 or 105, and instead have three item numbers that include asynchronous options</w:t>
            </w:r>
          </w:p>
        </w:tc>
      </w:tr>
      <w:tr w:rsidR="00716DA7" w14:paraId="7236A067"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06D34625" w14:textId="277A255E" w:rsidR="006D2440" w:rsidRDefault="002668FC" w:rsidP="008E7FF0">
            <w:pPr>
              <w:spacing w:before="120"/>
              <w:rPr>
                <w:rFonts w:ascii="Calibri" w:eastAsia="Calibri" w:hAnsi="Calibri" w:cs="Calibri"/>
              </w:rPr>
            </w:pPr>
            <w:r>
              <w:rPr>
                <w:rFonts w:ascii="Calibri" w:eastAsia="Calibri" w:hAnsi="Calibri" w:cs="Calibri"/>
                <w:b/>
              </w:rPr>
              <w:t xml:space="preserve">TWG </w:t>
            </w:r>
            <w:r w:rsidR="004D7CE6">
              <w:rPr>
                <w:rFonts w:ascii="Calibri" w:eastAsia="Calibri" w:hAnsi="Calibri" w:cs="Calibri"/>
                <w:b/>
              </w:rPr>
              <w:t xml:space="preserve">Recommendation: </w:t>
            </w:r>
            <w:r>
              <w:rPr>
                <w:rFonts w:ascii="Calibri" w:eastAsia="Calibri" w:hAnsi="Calibri" w:cs="Calibri"/>
              </w:rPr>
              <w:t>The TWG agreed that more work needs to be done to meet the needs of patients and this recommendation should be put forward as a research piece, and that asynchronous care may not work on the MBS.</w:t>
            </w:r>
          </w:p>
        </w:tc>
      </w:tr>
      <w:tr w:rsidR="00716DA7" w14:paraId="0175566F"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BC4E91D" w14:textId="77777777" w:rsidR="002668FC" w:rsidRDefault="002668FC">
            <w:pPr>
              <w:spacing w:before="120"/>
              <w:rPr>
                <w:rFonts w:ascii="Calibri" w:eastAsia="Calibri" w:hAnsi="Calibri" w:cs="Calibri"/>
                <w:b/>
              </w:rPr>
            </w:pPr>
            <w:r>
              <w:rPr>
                <w:rFonts w:ascii="Calibri" w:eastAsia="Calibri" w:hAnsi="Calibri" w:cs="Calibri"/>
                <w:b/>
              </w:rPr>
              <w:t>TWG Rationale:</w:t>
            </w:r>
          </w:p>
          <w:p w14:paraId="0AD1BCB9" w14:textId="7DF9E26F" w:rsidR="006D2440" w:rsidRDefault="004D7CE6">
            <w:pPr>
              <w:spacing w:before="120"/>
              <w:rPr>
                <w:rFonts w:ascii="Calibri" w:eastAsia="Calibri" w:hAnsi="Calibri" w:cs="Calibri"/>
              </w:rPr>
            </w:pPr>
            <w:r>
              <w:rPr>
                <w:rFonts w:ascii="Calibri" w:eastAsia="Calibri" w:hAnsi="Calibri" w:cs="Calibri"/>
              </w:rPr>
              <w:t xml:space="preserve">The TWG expressed concern about the </w:t>
            </w:r>
            <w:r w:rsidR="001A5F0D">
              <w:rPr>
                <w:rFonts w:ascii="Calibri" w:eastAsia="Calibri" w:hAnsi="Calibri" w:cs="Calibri"/>
              </w:rPr>
              <w:t xml:space="preserve">suitability of telehealth </w:t>
            </w:r>
            <w:r w:rsidR="008F301A">
              <w:rPr>
                <w:rFonts w:ascii="Calibri" w:eastAsia="Calibri" w:hAnsi="Calibri" w:cs="Calibri"/>
              </w:rPr>
              <w:t xml:space="preserve">for MBS </w:t>
            </w:r>
            <w:r w:rsidR="001769F5">
              <w:rPr>
                <w:rFonts w:ascii="Calibri" w:eastAsia="Calibri" w:hAnsi="Calibri" w:cs="Calibri"/>
              </w:rPr>
              <w:t xml:space="preserve">payments </w:t>
            </w:r>
            <w:r w:rsidR="00E735DE">
              <w:rPr>
                <w:rFonts w:ascii="Calibri" w:eastAsia="Calibri" w:hAnsi="Calibri" w:cs="Calibri"/>
              </w:rPr>
              <w:t xml:space="preserve">for asynchronous </w:t>
            </w:r>
            <w:r w:rsidR="008F3FA0">
              <w:rPr>
                <w:rFonts w:ascii="Calibri" w:eastAsia="Calibri" w:hAnsi="Calibri" w:cs="Calibri"/>
              </w:rPr>
              <w:t xml:space="preserve">services needs further research and alternative funding models may be more appropriate.  See </w:t>
            </w:r>
            <w:proofErr w:type="spellStart"/>
            <w:r w:rsidR="008F3FA0">
              <w:rPr>
                <w:rFonts w:ascii="Calibri" w:eastAsia="Calibri" w:hAnsi="Calibri" w:cs="Calibri"/>
              </w:rPr>
              <w:t>Telederm</w:t>
            </w:r>
            <w:proofErr w:type="spellEnd"/>
            <w:r w:rsidR="008F3FA0">
              <w:rPr>
                <w:rFonts w:ascii="Calibri" w:eastAsia="Calibri" w:hAnsi="Calibri" w:cs="Calibri"/>
              </w:rPr>
              <w:t>.</w:t>
            </w:r>
          </w:p>
          <w:p w14:paraId="2B41C233" w14:textId="77777777" w:rsidR="006D2440" w:rsidRDefault="004D7CE6">
            <w:pPr>
              <w:spacing w:before="120"/>
              <w:rPr>
                <w:rFonts w:ascii="Calibri" w:eastAsia="Calibri" w:hAnsi="Calibri" w:cs="Calibri"/>
              </w:rPr>
            </w:pPr>
            <w:r>
              <w:rPr>
                <w:rFonts w:ascii="Calibri" w:eastAsia="Calibri" w:hAnsi="Calibri" w:cs="Calibri"/>
              </w:rPr>
              <w:t>The TWG further considered asynchronous care from the input of the experts during TWG Meeting 2.</w:t>
            </w:r>
          </w:p>
          <w:p w14:paraId="15D758C6" w14:textId="19614292" w:rsidR="006D2440" w:rsidRPr="002C2776" w:rsidRDefault="004D7CE6">
            <w:pPr>
              <w:spacing w:before="120"/>
              <w:rPr>
                <w:rFonts w:ascii="Calibri" w:eastAsia="Calibri" w:hAnsi="Calibri" w:cs="Calibri"/>
                <w:i/>
                <w:iCs/>
              </w:rPr>
            </w:pPr>
            <w:r w:rsidRPr="6EE85499">
              <w:rPr>
                <w:rFonts w:ascii="Calibri" w:eastAsia="Calibri" w:hAnsi="Calibri" w:cs="Calibri"/>
              </w:rPr>
              <w:t xml:space="preserve">There are provisions for this in Principle 3 </w:t>
            </w:r>
            <w:r w:rsidRPr="6EE85499">
              <w:rPr>
                <w:rFonts w:ascii="Calibri" w:eastAsia="Calibri" w:hAnsi="Calibri" w:cs="Calibri"/>
                <w:i/>
                <w:iCs/>
              </w:rPr>
              <w:t>MBS Telehealth should support different solutions for different specialties where required</w:t>
            </w:r>
            <w:r w:rsidR="008C29AC" w:rsidRPr="00587914">
              <w:rPr>
                <w:rFonts w:asciiTheme="majorHAnsi" w:eastAsia="Calibri" w:hAnsiTheme="majorHAnsi" w:cstheme="majorHAnsi"/>
                <w:i/>
                <w:iCs/>
                <w:sz w:val="24"/>
                <w:szCs w:val="24"/>
              </w:rPr>
              <w:t xml:space="preserve"> and may require a variety of funding models</w:t>
            </w:r>
            <w:r w:rsidRPr="6EE85499">
              <w:rPr>
                <w:rFonts w:ascii="Calibri" w:eastAsia="Calibri" w:hAnsi="Calibri" w:cs="Calibri"/>
                <w:i/>
                <w:iCs/>
              </w:rPr>
              <w:t>.</w:t>
            </w:r>
          </w:p>
        </w:tc>
      </w:tr>
    </w:tbl>
    <w:p w14:paraId="03F2267D" w14:textId="77777777" w:rsidR="0015493A" w:rsidRPr="008E7FF0" w:rsidRDefault="0015493A" w:rsidP="00165E5B">
      <w:pPr>
        <w:pStyle w:val="Style4"/>
        <w:ind w:left="0" w:firstLine="0"/>
        <w:rPr>
          <w:color w:val="4F6228" w:themeColor="accent3" w:themeShade="80"/>
        </w:rPr>
      </w:pPr>
      <w:bookmarkStart w:id="77" w:name="_5uyykcn03cqu" w:colFirst="0" w:colLast="0"/>
      <w:bookmarkEnd w:id="77"/>
      <w:r w:rsidRPr="008E7FF0">
        <w:rPr>
          <w:color w:val="4F6228" w:themeColor="accent3" w:themeShade="80"/>
        </w:rPr>
        <w:t>Ophthalmology Clinical Committee</w:t>
      </w:r>
    </w:p>
    <w:p w14:paraId="418294F4" w14:textId="77777777" w:rsidR="006D2440" w:rsidRDefault="004D7CE6" w:rsidP="00165E5B">
      <w:pPr>
        <w:spacing w:after="120" w:line="240" w:lineRule="auto"/>
        <w:rPr>
          <w:rFonts w:ascii="Calibri" w:eastAsia="Calibri" w:hAnsi="Calibri" w:cs="Calibri"/>
          <w:sz w:val="24"/>
          <w:szCs w:val="24"/>
        </w:rPr>
      </w:pPr>
      <w:r>
        <w:rPr>
          <w:rFonts w:ascii="Calibri" w:eastAsia="Calibri" w:hAnsi="Calibri" w:cs="Calibri"/>
          <w:sz w:val="24"/>
          <w:szCs w:val="24"/>
        </w:rPr>
        <w:t>The Committee acknowledges that telemedicine items are not within its area of responsibility, and that the Optometry Clinical Committee will determine the final recommendations. However, the Committee has suggested an approach to restructuring MBS telemedicine items for the consideration of the Optometry Clinical Committee. It noted that telemedicine has a crucial role to play in improving rural and remote eye health, given the maldistribution of the ophthalmology workforce and limited uptake in the current system.</w:t>
      </w:r>
    </w:p>
    <w:p w14:paraId="4999297F" w14:textId="0BFF313C" w:rsidR="006D2440" w:rsidRPr="008E7FF0" w:rsidRDefault="004D7CE6" w:rsidP="00165E5B">
      <w:pPr>
        <w:pStyle w:val="Style4"/>
        <w:spacing w:before="0" w:line="240" w:lineRule="auto"/>
        <w:ind w:left="0" w:firstLine="0"/>
        <w:rPr>
          <w:color w:val="4F6228" w:themeColor="accent3" w:themeShade="80"/>
        </w:rPr>
      </w:pPr>
      <w:r w:rsidRPr="008E7FF0">
        <w:rPr>
          <w:color w:val="4F6228" w:themeColor="accent3" w:themeShade="80"/>
        </w:rPr>
        <w:lastRenderedPageBreak/>
        <w:t>Restructuring telemedicine items</w:t>
      </w:r>
    </w:p>
    <w:p w14:paraId="13D9CEFF" w14:textId="77777777" w:rsidR="006D2440" w:rsidRDefault="004D7CE6" w:rsidP="00165E5B">
      <w:pPr>
        <w:pStyle w:val="Style4"/>
        <w:spacing w:before="0" w:line="240" w:lineRule="auto"/>
      </w:pPr>
      <w:r>
        <w:t>Recommendation 12</w:t>
      </w:r>
    </w:p>
    <w:p w14:paraId="25E6C8A8"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Remove item 99’s association with item 104 or 105, and instead have three item numbers that include asynchronous options:</w:t>
      </w:r>
    </w:p>
    <w:p w14:paraId="21AC9B77" w14:textId="77777777" w:rsidR="006D2440" w:rsidRDefault="004D7CE6" w:rsidP="00165E5B">
      <w:pPr>
        <w:numPr>
          <w:ilvl w:val="0"/>
          <w:numId w:val="19"/>
        </w:numPr>
        <w:spacing w:after="120" w:line="240" w:lineRule="auto"/>
        <w:ind w:left="714" w:right="142" w:hanging="357"/>
        <w:rPr>
          <w:rFonts w:ascii="Calibri" w:eastAsia="Calibri" w:hAnsi="Calibri" w:cs="Calibri"/>
        </w:rPr>
      </w:pPr>
      <w:r>
        <w:rPr>
          <w:rFonts w:ascii="Calibri" w:eastAsia="Calibri" w:hAnsi="Calibri" w:cs="Calibri"/>
        </w:rPr>
        <w:t xml:space="preserve">Item A: Videoconference with patient and referrer present, independently claimed, for bulk billing only. </w:t>
      </w:r>
    </w:p>
    <w:p w14:paraId="75D4F42D" w14:textId="77777777" w:rsidR="006D2440" w:rsidRDefault="004D7CE6" w:rsidP="00165E5B">
      <w:pPr>
        <w:numPr>
          <w:ilvl w:val="0"/>
          <w:numId w:val="19"/>
        </w:numPr>
        <w:spacing w:after="120" w:line="240" w:lineRule="auto"/>
        <w:ind w:left="714" w:right="142" w:hanging="357"/>
        <w:rPr>
          <w:rFonts w:ascii="Calibri" w:eastAsia="Calibri" w:hAnsi="Calibri" w:cs="Calibri"/>
        </w:rPr>
      </w:pPr>
      <w:r>
        <w:rPr>
          <w:rFonts w:ascii="Calibri" w:eastAsia="Calibri" w:hAnsi="Calibri" w:cs="Calibri"/>
        </w:rPr>
        <w:t>Item B: Virtual “home visit” via telephone or video with only patient present, for optometry referrals only.</w:t>
      </w:r>
    </w:p>
    <w:p w14:paraId="05A85B49" w14:textId="77777777" w:rsidR="006D2440" w:rsidRDefault="004D7CE6" w:rsidP="00165E5B">
      <w:pPr>
        <w:numPr>
          <w:ilvl w:val="0"/>
          <w:numId w:val="19"/>
        </w:numPr>
        <w:spacing w:after="120" w:line="240" w:lineRule="auto"/>
        <w:ind w:left="714" w:right="142" w:hanging="357"/>
        <w:rPr>
          <w:rFonts w:ascii="Calibri" w:eastAsia="Calibri" w:hAnsi="Calibri" w:cs="Calibri"/>
        </w:rPr>
      </w:pPr>
      <w:r>
        <w:rPr>
          <w:rFonts w:ascii="Calibri" w:eastAsia="Calibri" w:hAnsi="Calibri" w:cs="Calibri"/>
        </w:rPr>
        <w:t>Item C: Asynchronous management advice via report to optometrist and patient, for optometry referrals only, with a requirement to send a formal report to the optometrist and patient.</w:t>
      </w:r>
    </w:p>
    <w:p w14:paraId="26C2B997" w14:textId="77777777" w:rsidR="006D2440" w:rsidRDefault="004D7CE6" w:rsidP="00165E5B">
      <w:pPr>
        <w:pStyle w:val="Style4"/>
        <w:spacing w:before="0" w:line="240" w:lineRule="auto"/>
      </w:pPr>
      <w:r>
        <w:t>Rationale for Recommendation 12</w:t>
      </w:r>
    </w:p>
    <w:p w14:paraId="1756A6EE" w14:textId="77777777" w:rsidR="006D2440" w:rsidRDefault="004D7CE6" w:rsidP="00165E5B">
      <w:pPr>
        <w:spacing w:after="120" w:line="240" w:lineRule="auto"/>
        <w:rPr>
          <w:rFonts w:ascii="Calibri" w:eastAsia="Calibri" w:hAnsi="Calibri" w:cs="Calibri"/>
          <w:sz w:val="24"/>
          <w:szCs w:val="24"/>
        </w:rPr>
      </w:pPr>
      <w:r>
        <w:rPr>
          <w:rFonts w:ascii="Calibri" w:eastAsia="Calibri" w:hAnsi="Calibri" w:cs="Calibri"/>
          <w:sz w:val="24"/>
          <w:szCs w:val="24"/>
        </w:rPr>
        <w:t>This recommendation aims to increase the uptake of telehealth services and promote a coordinated and asynchronous approach to eye health care. It is based on the following.</w:t>
      </w:r>
    </w:p>
    <w:p w14:paraId="724EC077"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 current system presents difficulties in coordination, requiring three people to be present at once. This means that if someone is running late, it affects everyone. Asynchronous health care is important and has been proven internationally to be effective in the coordination of telehealth.</w:t>
      </w:r>
    </w:p>
    <w:p w14:paraId="523A846C"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There is significant maldistribution in the ophthalmology workforce across Australia, with 84 per cent of ophthalmologists working in metropolitan areas.</w:t>
      </w:r>
      <w:r>
        <w:rPr>
          <w:rFonts w:ascii="Calibri" w:eastAsia="Calibri" w:hAnsi="Calibri" w:cs="Calibri"/>
          <w:vertAlign w:val="superscript"/>
        </w:rPr>
        <w:t>22</w:t>
      </w:r>
      <w:r>
        <w:rPr>
          <w:rFonts w:ascii="Calibri" w:eastAsia="Calibri" w:hAnsi="Calibri" w:cs="Calibri"/>
        </w:rPr>
        <w:t xml:space="preserve"> </w:t>
      </w:r>
    </w:p>
    <w:p w14:paraId="29F7125B"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Ophthalmology telehealth services have a single referral group: optometrists. This is an unusual primary care source with advanced equipment. Ophthalmologists often receive multiple scans, images or field tests in a patient referral, which require asynchronous interpretation of results. </w:t>
      </w:r>
    </w:p>
    <w:p w14:paraId="27E2C0BE" w14:textId="77777777" w:rsidR="006D2440" w:rsidRDefault="004D7CE6">
      <w:pPr>
        <w:pStyle w:val="Heading1"/>
        <w:keepLines w:val="0"/>
        <w:widowControl w:val="0"/>
        <w:pBdr>
          <w:bottom w:val="single" w:sz="16" w:space="11" w:color="BFBFBF"/>
        </w:pBdr>
        <w:spacing w:before="720" w:after="720" w:line="312" w:lineRule="auto"/>
        <w:ind w:left="432"/>
        <w:rPr>
          <w:rFonts w:ascii="Calibri" w:eastAsia="Calibri" w:hAnsi="Calibri" w:cs="Calibri"/>
          <w:b/>
          <w:color w:val="01653F"/>
        </w:rPr>
      </w:pPr>
      <w:bookmarkStart w:id="78" w:name="_3as4poj" w:colFirst="0" w:colLast="0"/>
      <w:bookmarkStart w:id="79" w:name="_Toc42764249"/>
      <w:bookmarkEnd w:id="78"/>
      <w:r>
        <w:rPr>
          <w:rFonts w:ascii="Calibri" w:eastAsia="Calibri" w:hAnsi="Calibri" w:cs="Calibri"/>
          <w:b/>
          <w:color w:val="01653F"/>
        </w:rPr>
        <w:t>Optometry Clinical Committee</w:t>
      </w:r>
      <w:bookmarkEnd w:id="79"/>
    </w:p>
    <w:p w14:paraId="4108FE8F" w14:textId="267C2B39" w:rsidR="006D2440" w:rsidRPr="008E7FF0" w:rsidRDefault="00004598" w:rsidP="008E7FF0">
      <w:pPr>
        <w:pStyle w:val="Style4"/>
        <w:rPr>
          <w:color w:val="4F6228" w:themeColor="accent3" w:themeShade="80"/>
        </w:rPr>
      </w:pPr>
      <w:r w:rsidRPr="008E7FF0">
        <w:rPr>
          <w:color w:val="4F6228" w:themeColor="accent3" w:themeShade="80"/>
        </w:rPr>
        <w:t>Telehealth Working Group Consideration</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403A6D06"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111A7D02" w14:textId="4AAA822E" w:rsidR="006D2440" w:rsidRDefault="004D7CE6">
            <w:pPr>
              <w:spacing w:before="120"/>
              <w:ind w:right="142"/>
              <w:rPr>
                <w:rFonts w:ascii="Calibri" w:eastAsia="Calibri" w:hAnsi="Calibri" w:cs="Calibri"/>
              </w:rPr>
            </w:pPr>
            <w:r>
              <w:rPr>
                <w:rFonts w:ascii="Calibri" w:eastAsia="Calibri" w:hAnsi="Calibri" w:cs="Calibri"/>
                <w:b/>
              </w:rPr>
              <w:t xml:space="preserve">Telehealth Recommendation 11 of 21: </w:t>
            </w:r>
            <w:r w:rsidRPr="008E7FF0">
              <w:rPr>
                <w:rFonts w:ascii="Calibri" w:eastAsia="Calibri" w:hAnsi="Calibri" w:cs="Calibri"/>
                <w:b/>
              </w:rPr>
              <w:t>Optometry Clinical Committee Recommendation 3</w:t>
            </w:r>
            <w:r w:rsidR="002668FC">
              <w:rPr>
                <w:rFonts w:ascii="Calibri" w:eastAsia="Calibri" w:hAnsi="Calibri" w:cs="Calibri"/>
                <w:b/>
              </w:rPr>
              <w:t xml:space="preserve"> - </w:t>
            </w:r>
            <w:r w:rsidR="004A312E">
              <w:rPr>
                <w:rFonts w:ascii="Calibri" w:eastAsia="Calibri" w:hAnsi="Calibri" w:cs="Calibri"/>
              </w:rPr>
              <w:t>Convene</w:t>
            </w:r>
            <w:r w:rsidR="002668FC">
              <w:rPr>
                <w:rFonts w:ascii="Calibri" w:eastAsia="Calibri" w:hAnsi="Calibri" w:cs="Calibri"/>
              </w:rPr>
              <w:t xml:space="preserve"> a Departmental working group to explore the barriers and opportunities offered by telehealth across all areas of Health. In the case of Optometry, to develop an appropriate MBS item to meet the requirements of Optometry and Ophthalmology.</w:t>
            </w:r>
          </w:p>
        </w:tc>
      </w:tr>
      <w:tr w:rsidR="00716DA7" w14:paraId="5D2FA320"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1C755AF8" w14:textId="36386EED" w:rsidR="006D2440" w:rsidRDefault="002668FC" w:rsidP="008E7FF0">
            <w:pPr>
              <w:spacing w:before="120"/>
              <w:rPr>
                <w:rFonts w:ascii="Calibri" w:eastAsia="Calibri" w:hAnsi="Calibri" w:cs="Calibri"/>
              </w:rPr>
            </w:pPr>
            <w:r>
              <w:rPr>
                <w:rFonts w:ascii="Calibri" w:eastAsia="Calibri" w:hAnsi="Calibri" w:cs="Calibri"/>
                <w:b/>
              </w:rPr>
              <w:t xml:space="preserve">TWG </w:t>
            </w:r>
            <w:r w:rsidR="004D7CE6">
              <w:rPr>
                <w:rFonts w:ascii="Calibri" w:eastAsia="Calibri" w:hAnsi="Calibri" w:cs="Calibri"/>
                <w:b/>
              </w:rPr>
              <w:t xml:space="preserve">Recommendation: </w:t>
            </w:r>
            <w:r>
              <w:rPr>
                <w:rFonts w:ascii="Calibri" w:eastAsia="Calibri" w:hAnsi="Calibri" w:cs="Calibri"/>
              </w:rPr>
              <w:t>The TWG supported a working group/research piece.</w:t>
            </w:r>
          </w:p>
        </w:tc>
      </w:tr>
      <w:tr w:rsidR="00716DA7" w14:paraId="1C914BC0"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B104A17" w14:textId="77777777" w:rsidR="002668FC" w:rsidRDefault="002668FC">
            <w:pPr>
              <w:spacing w:before="120"/>
              <w:rPr>
                <w:rFonts w:ascii="Calibri" w:eastAsia="Calibri" w:hAnsi="Calibri" w:cs="Calibri"/>
                <w:b/>
              </w:rPr>
            </w:pPr>
            <w:r>
              <w:rPr>
                <w:rFonts w:ascii="Calibri" w:eastAsia="Calibri" w:hAnsi="Calibri" w:cs="Calibri"/>
                <w:b/>
              </w:rPr>
              <w:t>TWG Rationale:</w:t>
            </w:r>
          </w:p>
          <w:p w14:paraId="5A68DE5F" w14:textId="3324CF13" w:rsidR="006D2440" w:rsidRDefault="004D7CE6" w:rsidP="6EE85499">
            <w:pPr>
              <w:spacing w:before="120"/>
              <w:rPr>
                <w:rFonts w:ascii="Calibri" w:eastAsia="Calibri" w:hAnsi="Calibri" w:cs="Calibri"/>
                <w:i/>
                <w:iCs/>
              </w:rPr>
            </w:pPr>
            <w:r w:rsidRPr="6EE85499">
              <w:rPr>
                <w:rFonts w:ascii="Calibri" w:eastAsia="Calibri" w:hAnsi="Calibri" w:cs="Calibri"/>
              </w:rPr>
              <w:t xml:space="preserve">The first part of this recommendation is harmonious with Principle 10 </w:t>
            </w:r>
            <w:r w:rsidRPr="6EE85499">
              <w:rPr>
                <w:rFonts w:ascii="Calibri" w:eastAsia="Calibri" w:hAnsi="Calibri" w:cs="Calibri"/>
                <w:i/>
                <w:iCs/>
              </w:rPr>
              <w:t>Ongoing research and evaluation into the efficacy and equivalence of Telehealth should accompany changes to funding structures for MBS Telehealth.</w:t>
            </w:r>
          </w:p>
          <w:p w14:paraId="58930E1D" w14:textId="321FEED9" w:rsidR="006D2440" w:rsidRPr="002C2776" w:rsidRDefault="004D7CE6">
            <w:pPr>
              <w:spacing w:before="120"/>
              <w:rPr>
                <w:rFonts w:ascii="Calibri" w:eastAsia="Calibri" w:hAnsi="Calibri" w:cs="Calibri"/>
              </w:rPr>
            </w:pPr>
            <w:r>
              <w:rPr>
                <w:rFonts w:ascii="Calibri" w:eastAsia="Calibri" w:hAnsi="Calibri" w:cs="Calibri"/>
              </w:rPr>
              <w:lastRenderedPageBreak/>
              <w:t>The recommendation also involves development of appropriate MBS items to meet the requirements of Optometry and Ophthalmology</w:t>
            </w:r>
            <w:r w:rsidR="004D1B7E">
              <w:rPr>
                <w:rFonts w:ascii="Calibri" w:eastAsia="Calibri" w:hAnsi="Calibri" w:cs="Calibri"/>
              </w:rPr>
              <w:t xml:space="preserve"> which is supported in </w:t>
            </w:r>
            <w:proofErr w:type="gramStart"/>
            <w:r w:rsidR="004D1B7E">
              <w:rPr>
                <w:rFonts w:ascii="Calibri" w:eastAsia="Calibri" w:hAnsi="Calibri" w:cs="Calibri"/>
              </w:rPr>
              <w:t>principle</w:t>
            </w:r>
            <w:proofErr w:type="gramEnd"/>
            <w:r w:rsidR="004D1B7E">
              <w:rPr>
                <w:rFonts w:ascii="Calibri" w:eastAsia="Calibri" w:hAnsi="Calibri" w:cs="Calibri"/>
              </w:rPr>
              <w:t xml:space="preserve"> but an MBS item number may only be part of the solution</w:t>
            </w:r>
            <w:r>
              <w:rPr>
                <w:rFonts w:ascii="Calibri" w:eastAsia="Calibri" w:hAnsi="Calibri" w:cs="Calibri"/>
              </w:rPr>
              <w:t>.</w:t>
            </w:r>
          </w:p>
        </w:tc>
      </w:tr>
    </w:tbl>
    <w:p w14:paraId="1D8B6C4F" w14:textId="77777777" w:rsidR="0015493A" w:rsidRPr="008E7FF0" w:rsidRDefault="0015493A" w:rsidP="008E7FF0">
      <w:pPr>
        <w:pStyle w:val="Style4"/>
        <w:rPr>
          <w:color w:val="4F6228" w:themeColor="accent3" w:themeShade="80"/>
        </w:rPr>
      </w:pPr>
      <w:bookmarkStart w:id="80" w:name="_2xn1a9r4vycq" w:colFirst="0" w:colLast="0"/>
      <w:bookmarkEnd w:id="80"/>
      <w:r w:rsidRPr="008E7FF0">
        <w:rPr>
          <w:color w:val="4F6228" w:themeColor="accent3" w:themeShade="80"/>
        </w:rPr>
        <w:lastRenderedPageBreak/>
        <w:t>Optometry Clinical Committee</w:t>
      </w:r>
    </w:p>
    <w:p w14:paraId="4855DD54" w14:textId="77777777" w:rsidR="006D2440" w:rsidRDefault="004D7CE6" w:rsidP="00165E5B">
      <w:pPr>
        <w:pStyle w:val="Style4"/>
        <w:spacing w:before="0" w:line="240" w:lineRule="auto"/>
      </w:pPr>
      <w:r>
        <w:t xml:space="preserve">Recommendation 3 </w:t>
      </w:r>
    </w:p>
    <w:p w14:paraId="2118BE9A" w14:textId="77777777" w:rsidR="006D2440" w:rsidRDefault="004D7CE6" w:rsidP="00165E5B">
      <w:pPr>
        <w:numPr>
          <w:ilvl w:val="0"/>
          <w:numId w:val="2"/>
        </w:numPr>
        <w:spacing w:after="120" w:line="240" w:lineRule="auto"/>
        <w:rPr>
          <w:rFonts w:ascii="Calibri" w:eastAsia="Calibri" w:hAnsi="Calibri" w:cs="Calibri"/>
        </w:rPr>
      </w:pPr>
      <w:r>
        <w:rPr>
          <w:rFonts w:ascii="Calibri" w:eastAsia="Calibri" w:hAnsi="Calibri" w:cs="Calibri"/>
        </w:rPr>
        <w:t>Convene a Departmental working group to explore the barriers and opportunities offered by telehealth across all areas of Health. In the case of Optometry, to develop an appropriate MBS item to meet the requirements of Optometry and Ophthalmology.</w:t>
      </w:r>
    </w:p>
    <w:p w14:paraId="4D54E0AD" w14:textId="77777777" w:rsidR="006D2440" w:rsidRDefault="004D7CE6" w:rsidP="00165E5B">
      <w:pPr>
        <w:pStyle w:val="Style4"/>
        <w:spacing w:before="0" w:line="240" w:lineRule="auto"/>
      </w:pPr>
      <w:bookmarkStart w:id="81" w:name="_1pxezwc" w:colFirst="0" w:colLast="0"/>
      <w:bookmarkEnd w:id="81"/>
      <w:r>
        <w:t>Rationale for Recommendation 3</w:t>
      </w:r>
    </w:p>
    <w:p w14:paraId="4C3C38AB" w14:textId="77777777" w:rsidR="006D2440" w:rsidRDefault="004D7CE6" w:rsidP="00165E5B">
      <w:pPr>
        <w:numPr>
          <w:ilvl w:val="0"/>
          <w:numId w:val="2"/>
        </w:numPr>
        <w:spacing w:after="120" w:line="240" w:lineRule="auto"/>
        <w:rPr>
          <w:rFonts w:ascii="Calibri" w:eastAsia="Calibri" w:hAnsi="Calibri" w:cs="Calibri"/>
        </w:rPr>
      </w:pPr>
      <w:r>
        <w:rPr>
          <w:rFonts w:ascii="Calibri" w:eastAsia="Calibri" w:hAnsi="Calibri" w:cs="Calibri"/>
        </w:rPr>
        <w:t xml:space="preserve">This recommendation focusses on the Committee discussion that acknowledged the value and importance of telehealth in providing access to patients across Australia. </w:t>
      </w:r>
    </w:p>
    <w:p w14:paraId="3D56E092" w14:textId="77777777" w:rsidR="006D2440" w:rsidRDefault="004D7CE6" w:rsidP="00165E5B">
      <w:pPr>
        <w:numPr>
          <w:ilvl w:val="0"/>
          <w:numId w:val="2"/>
        </w:numPr>
        <w:spacing w:after="120" w:line="240" w:lineRule="auto"/>
        <w:rPr>
          <w:rFonts w:ascii="Calibri" w:eastAsia="Calibri" w:hAnsi="Calibri" w:cs="Calibri"/>
        </w:rPr>
      </w:pPr>
      <w:r>
        <w:rPr>
          <w:rFonts w:ascii="Calibri" w:eastAsia="Calibri" w:hAnsi="Calibri" w:cs="Calibri"/>
        </w:rPr>
        <w:t xml:space="preserve">The Committee acknowledged the potential for telehealth to be applied in consultations, improving patient access and offering potential asynchronous consultations between patient, referrer and practitioner.  </w:t>
      </w:r>
    </w:p>
    <w:p w14:paraId="48F222D2" w14:textId="77777777" w:rsidR="006D2440" w:rsidRDefault="004D7CE6" w:rsidP="00165E5B">
      <w:pPr>
        <w:numPr>
          <w:ilvl w:val="0"/>
          <w:numId w:val="2"/>
        </w:numPr>
        <w:spacing w:after="120" w:line="240" w:lineRule="auto"/>
        <w:rPr>
          <w:rFonts w:ascii="Calibri" w:eastAsia="Calibri" w:hAnsi="Calibri" w:cs="Calibri"/>
        </w:rPr>
      </w:pPr>
      <w:r>
        <w:rPr>
          <w:rFonts w:ascii="Calibri" w:eastAsia="Calibri" w:hAnsi="Calibri" w:cs="Calibri"/>
        </w:rPr>
        <w:t xml:space="preserve">The Committee noted the broad application and potential of telehealth across </w:t>
      </w:r>
      <w:proofErr w:type="gramStart"/>
      <w:r>
        <w:rPr>
          <w:rFonts w:ascii="Calibri" w:eastAsia="Calibri" w:hAnsi="Calibri" w:cs="Calibri"/>
        </w:rPr>
        <w:t>all of</w:t>
      </w:r>
      <w:proofErr w:type="gramEnd"/>
      <w:r>
        <w:rPr>
          <w:rFonts w:ascii="Calibri" w:eastAsia="Calibri" w:hAnsi="Calibri" w:cs="Calibri"/>
        </w:rPr>
        <w:t xml:space="preserve"> the providers operating within the MBS as its benefits are not just limited to optometry. To ensure consistency and avoid duplication of effort and to invest sufficient time and effort to develop a comprehensive understanding of the rapidly changing technology, it was suggested that a cross discipline working group be established.</w:t>
      </w:r>
    </w:p>
    <w:p w14:paraId="30E8FA6D" w14:textId="0B731CF7" w:rsidR="006D2440" w:rsidRPr="008E7FF0" w:rsidRDefault="004D7CE6" w:rsidP="002C2776">
      <w:pPr>
        <w:pStyle w:val="Heading1"/>
        <w:keepLines w:val="0"/>
        <w:widowControl w:val="0"/>
        <w:pBdr>
          <w:bottom w:val="single" w:sz="16" w:space="11" w:color="BFBFBF"/>
        </w:pBdr>
        <w:tabs>
          <w:tab w:val="left" w:pos="1617"/>
        </w:tabs>
        <w:spacing w:before="0" w:line="240" w:lineRule="auto"/>
        <w:ind w:left="432"/>
        <w:rPr>
          <w:rFonts w:ascii="Calibri" w:eastAsia="Calibri" w:hAnsi="Calibri" w:cs="Calibri"/>
          <w:b/>
          <w:color w:val="01653F"/>
        </w:rPr>
      </w:pPr>
      <w:bookmarkStart w:id="82" w:name="_49x2ik5" w:colFirst="0" w:colLast="0"/>
      <w:bookmarkStart w:id="83" w:name="_Toc42764250"/>
      <w:bookmarkEnd w:id="82"/>
      <w:r w:rsidRPr="008E7FF0">
        <w:rPr>
          <w:rFonts w:ascii="Calibri" w:eastAsia="Calibri" w:hAnsi="Calibri" w:cs="Calibri"/>
          <w:b/>
          <w:color w:val="01653F"/>
        </w:rPr>
        <w:t>Pain Management Clinical Committee</w:t>
      </w:r>
      <w:bookmarkEnd w:id="83"/>
    </w:p>
    <w:p w14:paraId="78F3BF7C" w14:textId="22851A52" w:rsidR="006D2440" w:rsidRPr="008E7FF0" w:rsidRDefault="00004598" w:rsidP="008E7FF0">
      <w:pPr>
        <w:pStyle w:val="Style4"/>
        <w:rPr>
          <w:color w:val="4F6228" w:themeColor="accent3" w:themeShade="80"/>
        </w:rPr>
      </w:pPr>
      <w:r w:rsidRPr="008E7FF0">
        <w:rPr>
          <w:color w:val="4F6228" w:themeColor="accent3" w:themeShade="80"/>
        </w:rPr>
        <w:t>Telehealth Working Group Consideration</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11878735"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3A05F4A7" w14:textId="680208E7" w:rsidR="006D2440" w:rsidRDefault="004D7CE6">
            <w:pPr>
              <w:spacing w:before="120"/>
              <w:ind w:right="142"/>
              <w:rPr>
                <w:rFonts w:ascii="Calibri" w:eastAsia="Calibri" w:hAnsi="Calibri" w:cs="Calibri"/>
              </w:rPr>
            </w:pPr>
            <w:r>
              <w:rPr>
                <w:rFonts w:ascii="Calibri" w:eastAsia="Calibri" w:hAnsi="Calibri" w:cs="Calibri"/>
                <w:b/>
              </w:rPr>
              <w:t xml:space="preserve">Telehealth Recommendation 12 of 21: </w:t>
            </w:r>
            <w:r w:rsidRPr="008E7FF0">
              <w:rPr>
                <w:rFonts w:ascii="Calibri" w:eastAsia="Calibri" w:hAnsi="Calibri" w:cs="Calibri"/>
                <w:b/>
              </w:rPr>
              <w:t>Pain Management Clinical Committee</w:t>
            </w:r>
            <w:r w:rsidR="002668FC">
              <w:rPr>
                <w:rFonts w:ascii="Calibri" w:eastAsia="Calibri" w:hAnsi="Calibri" w:cs="Calibri"/>
                <w:b/>
              </w:rPr>
              <w:t xml:space="preserve"> </w:t>
            </w:r>
            <w:r w:rsidR="00680F63">
              <w:rPr>
                <w:rFonts w:ascii="Calibri" w:eastAsia="Calibri" w:hAnsi="Calibri" w:cs="Calibri"/>
                <w:b/>
              </w:rPr>
              <w:t>Recommendation 28</w:t>
            </w:r>
            <w:r w:rsidR="002668FC">
              <w:rPr>
                <w:rFonts w:ascii="Calibri" w:eastAsia="Calibri" w:hAnsi="Calibri" w:cs="Calibri"/>
                <w:b/>
              </w:rPr>
              <w:t xml:space="preserve">- </w:t>
            </w:r>
            <w:r w:rsidR="002668FC">
              <w:rPr>
                <w:rFonts w:ascii="Calibri" w:eastAsia="Calibri" w:hAnsi="Calibri" w:cs="Calibri"/>
              </w:rPr>
              <w:t>Telehealth items should be available for multi-disciplinary assessment and review for pain management patients.</w:t>
            </w:r>
          </w:p>
        </w:tc>
      </w:tr>
      <w:tr w:rsidR="00716DA7" w14:paraId="0EF47503"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175ABC3F" w14:textId="03380E4C" w:rsidR="006D2440" w:rsidRDefault="002668FC" w:rsidP="00726D35">
            <w:pPr>
              <w:spacing w:before="120"/>
              <w:rPr>
                <w:rFonts w:ascii="Calibri" w:eastAsia="Calibri" w:hAnsi="Calibri" w:cs="Calibri"/>
              </w:rPr>
            </w:pPr>
            <w:r>
              <w:rPr>
                <w:rFonts w:ascii="Calibri" w:eastAsia="Calibri" w:hAnsi="Calibri" w:cs="Calibri"/>
                <w:b/>
              </w:rPr>
              <w:t xml:space="preserve">TWG </w:t>
            </w:r>
            <w:r w:rsidR="004D7CE6">
              <w:rPr>
                <w:rFonts w:ascii="Calibri" w:eastAsia="Calibri" w:hAnsi="Calibri" w:cs="Calibri"/>
                <w:b/>
              </w:rPr>
              <w:t xml:space="preserve">Recommendation: </w:t>
            </w:r>
            <w:r w:rsidR="00726D35" w:rsidRPr="00726D35">
              <w:rPr>
                <w:rFonts w:ascii="Calibri" w:eastAsia="Calibri" w:hAnsi="Calibri" w:cs="Calibri"/>
              </w:rPr>
              <w:t>Supported with qualification</w:t>
            </w:r>
          </w:p>
        </w:tc>
      </w:tr>
      <w:tr w:rsidR="00716DA7" w14:paraId="43F5F944"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02432F" w14:textId="77777777" w:rsidR="007D3458" w:rsidRDefault="007D3458" w:rsidP="007D3458">
            <w:pPr>
              <w:spacing w:before="120"/>
              <w:rPr>
                <w:rFonts w:ascii="Calibri" w:eastAsia="Calibri" w:hAnsi="Calibri" w:cs="Calibri"/>
                <w:b/>
              </w:rPr>
            </w:pPr>
            <w:r>
              <w:rPr>
                <w:rFonts w:ascii="Calibri" w:eastAsia="Calibri" w:hAnsi="Calibri" w:cs="Calibri"/>
                <w:b/>
              </w:rPr>
              <w:t>TWG Rationale:</w:t>
            </w:r>
          </w:p>
          <w:p w14:paraId="08551AE8" w14:textId="0EB70F49" w:rsidR="0015493A" w:rsidRPr="002C2776" w:rsidRDefault="004D7CE6" w:rsidP="6EE85499">
            <w:pPr>
              <w:spacing w:before="120"/>
              <w:rPr>
                <w:rFonts w:ascii="Calibri" w:eastAsia="Calibri" w:hAnsi="Calibri" w:cs="Calibri"/>
              </w:rPr>
            </w:pPr>
            <w:r>
              <w:rPr>
                <w:rFonts w:ascii="Calibri" w:eastAsia="Calibri" w:hAnsi="Calibri" w:cs="Calibri"/>
              </w:rPr>
              <w:t>It was agreed to request more information from the clinical committee and consider how to adapt case conferences to solve this issue.</w:t>
            </w:r>
          </w:p>
        </w:tc>
      </w:tr>
    </w:tbl>
    <w:p w14:paraId="58236E29" w14:textId="0672C571" w:rsidR="0015493A" w:rsidRPr="008E7FF0" w:rsidRDefault="0015493A" w:rsidP="008E7FF0">
      <w:pPr>
        <w:pStyle w:val="Style4"/>
        <w:rPr>
          <w:color w:val="4F6228" w:themeColor="accent3" w:themeShade="80"/>
        </w:rPr>
      </w:pPr>
      <w:bookmarkStart w:id="84" w:name="_sj21m8hxm9hk" w:colFirst="0" w:colLast="0"/>
      <w:bookmarkEnd w:id="84"/>
      <w:r w:rsidRPr="008E7FF0">
        <w:rPr>
          <w:color w:val="4F6228" w:themeColor="accent3" w:themeShade="80"/>
        </w:rPr>
        <w:t>Pain Management Clinical Committee Recommendations</w:t>
      </w:r>
    </w:p>
    <w:p w14:paraId="1C2AEF90" w14:textId="77777777" w:rsidR="006D2440" w:rsidRDefault="004D7CE6" w:rsidP="00165E5B">
      <w:pPr>
        <w:pStyle w:val="Style4"/>
        <w:spacing w:before="0" w:line="240" w:lineRule="auto"/>
      </w:pPr>
      <w:r>
        <w:t>Recommendation 28 - Telehealth</w:t>
      </w:r>
    </w:p>
    <w:p w14:paraId="3635365D" w14:textId="77777777" w:rsidR="006D2440" w:rsidRDefault="004D7CE6" w:rsidP="00165E5B">
      <w:pPr>
        <w:spacing w:after="120" w:line="240" w:lineRule="auto"/>
        <w:rPr>
          <w:rFonts w:ascii="Calibri" w:eastAsia="Calibri" w:hAnsi="Calibri" w:cs="Calibri"/>
        </w:rPr>
      </w:pPr>
      <w:r>
        <w:rPr>
          <w:rFonts w:ascii="Calibri" w:eastAsia="Calibri" w:hAnsi="Calibri" w:cs="Calibri"/>
        </w:rPr>
        <w:t>The Committee recommends that telehealth items should be available for multidisciplinary (medical, nursing and/or allied health professionals) assessment and review for pain management patients. This could be achieved via generic telehealth or pain specific item numbers.</w:t>
      </w:r>
    </w:p>
    <w:p w14:paraId="0E3BEF3E" w14:textId="77777777" w:rsidR="006D2440" w:rsidRDefault="004D7CE6" w:rsidP="00165E5B">
      <w:pPr>
        <w:pStyle w:val="Style4"/>
        <w:spacing w:before="0" w:line="240" w:lineRule="auto"/>
      </w:pPr>
      <w:bookmarkStart w:id="85" w:name="_2p2csry" w:colFirst="0" w:colLast="0"/>
      <w:bookmarkEnd w:id="85"/>
      <w:r>
        <w:t>Rationale 28</w:t>
      </w:r>
    </w:p>
    <w:p w14:paraId="2C55DC2A" w14:textId="77777777" w:rsidR="006D2440" w:rsidRDefault="004D7CE6" w:rsidP="00165E5B">
      <w:pPr>
        <w:spacing w:after="120" w:line="240" w:lineRule="auto"/>
        <w:rPr>
          <w:rFonts w:ascii="Calibri" w:eastAsia="Calibri" w:hAnsi="Calibri" w:cs="Calibri"/>
        </w:rPr>
      </w:pPr>
      <w:r>
        <w:rPr>
          <w:rFonts w:ascii="Calibri" w:eastAsia="Calibri" w:hAnsi="Calibri" w:cs="Calibri"/>
        </w:rPr>
        <w:t>This recommendation focuses on ensuring continuing effective access to rural and remote patients. It is based on the following assessment</w:t>
      </w:r>
      <w:r>
        <w:rPr>
          <w:rFonts w:ascii="Calibri" w:eastAsia="Calibri" w:hAnsi="Calibri" w:cs="Calibri"/>
          <w:i/>
          <w:sz w:val="18"/>
          <w:szCs w:val="18"/>
        </w:rPr>
        <w:t xml:space="preserve"> </w:t>
      </w:r>
      <w:r>
        <w:rPr>
          <w:rFonts w:ascii="Calibri" w:eastAsia="Calibri" w:hAnsi="Calibri" w:cs="Calibri"/>
          <w:sz w:val="18"/>
          <w:szCs w:val="18"/>
        </w:rPr>
        <w:t>(</w:t>
      </w:r>
      <w:proofErr w:type="spellStart"/>
      <w:r>
        <w:rPr>
          <w:rFonts w:ascii="Calibri" w:eastAsia="Calibri" w:hAnsi="Calibri" w:cs="Calibri"/>
          <w:sz w:val="18"/>
          <w:szCs w:val="18"/>
        </w:rPr>
        <w:t>McGeary</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McGeary</w:t>
      </w:r>
      <w:proofErr w:type="spellEnd"/>
      <w:r>
        <w:rPr>
          <w:rFonts w:ascii="Calibri" w:eastAsia="Calibri" w:hAnsi="Calibri" w:cs="Calibri"/>
          <w:sz w:val="18"/>
          <w:szCs w:val="18"/>
        </w:rPr>
        <w:t xml:space="preserve">, &amp; </w:t>
      </w:r>
      <w:proofErr w:type="spellStart"/>
      <w:r>
        <w:rPr>
          <w:rFonts w:ascii="Calibri" w:eastAsia="Calibri" w:hAnsi="Calibri" w:cs="Calibri"/>
          <w:sz w:val="18"/>
          <w:szCs w:val="18"/>
        </w:rPr>
        <w:t>Gatchel</w:t>
      </w:r>
      <w:proofErr w:type="spellEnd"/>
      <w:r>
        <w:rPr>
          <w:rFonts w:ascii="Calibri" w:eastAsia="Calibri" w:hAnsi="Calibri" w:cs="Calibri"/>
          <w:sz w:val="18"/>
          <w:szCs w:val="18"/>
        </w:rPr>
        <w:t>, 2012)</w:t>
      </w:r>
      <w:r>
        <w:rPr>
          <w:rFonts w:ascii="Calibri" w:eastAsia="Calibri" w:hAnsi="Calibri" w:cs="Calibri"/>
          <w:b/>
          <w:i/>
          <w:sz w:val="18"/>
          <w:szCs w:val="18"/>
        </w:rPr>
        <w:t xml:space="preserve"> </w:t>
      </w:r>
      <w:r>
        <w:rPr>
          <w:rFonts w:ascii="Calibri" w:eastAsia="Calibri" w:hAnsi="Calibri" w:cs="Calibri"/>
          <w:sz w:val="18"/>
          <w:szCs w:val="18"/>
        </w:rPr>
        <w:t>(Pronovost, Peng, &amp; Ker, 2009)</w:t>
      </w:r>
      <w:r>
        <w:rPr>
          <w:rFonts w:ascii="Calibri" w:eastAsia="Calibri" w:hAnsi="Calibri" w:cs="Calibri"/>
          <w:i/>
          <w:sz w:val="18"/>
          <w:szCs w:val="18"/>
        </w:rPr>
        <w:t xml:space="preserve"> </w:t>
      </w:r>
      <w:r>
        <w:rPr>
          <w:rFonts w:ascii="Calibri" w:eastAsia="Calibri" w:hAnsi="Calibri" w:cs="Calibri"/>
          <w:sz w:val="18"/>
          <w:szCs w:val="18"/>
        </w:rPr>
        <w:t>(Eccleston, et al., 2014)</w:t>
      </w:r>
      <w:r>
        <w:rPr>
          <w:rFonts w:ascii="Calibri" w:eastAsia="Calibri" w:hAnsi="Calibri" w:cs="Calibri"/>
        </w:rPr>
        <w:t>:</w:t>
      </w:r>
    </w:p>
    <w:p w14:paraId="74EC0B66" w14:textId="77777777" w:rsidR="006D2440" w:rsidRDefault="004D7CE6" w:rsidP="00165E5B">
      <w:pPr>
        <w:numPr>
          <w:ilvl w:val="0"/>
          <w:numId w:val="21"/>
        </w:numPr>
        <w:spacing w:after="120" w:line="240" w:lineRule="auto"/>
        <w:ind w:left="862"/>
        <w:rPr>
          <w:rFonts w:ascii="Calibri" w:eastAsia="Calibri" w:hAnsi="Calibri" w:cs="Calibri"/>
        </w:rPr>
      </w:pPr>
      <w:r>
        <w:rPr>
          <w:rFonts w:ascii="Calibri" w:eastAsia="Calibri" w:hAnsi="Calibri" w:cs="Calibri"/>
        </w:rPr>
        <w:lastRenderedPageBreak/>
        <w:t xml:space="preserve">Under the current MBS arrangements telehealth provides a means of accessing specialist services when consumers </w:t>
      </w:r>
      <w:proofErr w:type="gramStart"/>
      <w:r>
        <w:rPr>
          <w:rFonts w:ascii="Calibri" w:eastAsia="Calibri" w:hAnsi="Calibri" w:cs="Calibri"/>
        </w:rPr>
        <w:t>are located in</w:t>
      </w:r>
      <w:proofErr w:type="gramEnd"/>
      <w:r>
        <w:rPr>
          <w:rFonts w:ascii="Calibri" w:eastAsia="Calibri" w:hAnsi="Calibri" w:cs="Calibri"/>
        </w:rPr>
        <w:t xml:space="preserve"> rural and remote areas with no local service.</w:t>
      </w:r>
    </w:p>
    <w:p w14:paraId="1E7E4796" w14:textId="77777777" w:rsidR="006D2440" w:rsidRDefault="004D7CE6" w:rsidP="00165E5B">
      <w:pPr>
        <w:numPr>
          <w:ilvl w:val="0"/>
          <w:numId w:val="21"/>
        </w:numPr>
        <w:spacing w:after="120" w:line="240" w:lineRule="auto"/>
        <w:ind w:left="862"/>
        <w:rPr>
          <w:rFonts w:ascii="Calibri" w:eastAsia="Calibri" w:hAnsi="Calibri" w:cs="Calibri"/>
        </w:rPr>
      </w:pPr>
      <w:r>
        <w:rPr>
          <w:rFonts w:ascii="Calibri" w:eastAsia="Calibri" w:hAnsi="Calibri" w:cs="Calibri"/>
        </w:rPr>
        <w:t xml:space="preserve">Telehealth funding could better support access to complete pain services in regional areas including education for consumers and health practitioners. </w:t>
      </w:r>
    </w:p>
    <w:p w14:paraId="6D8CFEF6" w14:textId="77777777" w:rsidR="006D2440" w:rsidRDefault="004D7CE6" w:rsidP="00165E5B">
      <w:pPr>
        <w:numPr>
          <w:ilvl w:val="0"/>
          <w:numId w:val="21"/>
        </w:numPr>
        <w:spacing w:after="120" w:line="240" w:lineRule="auto"/>
        <w:ind w:left="862"/>
        <w:rPr>
          <w:rFonts w:ascii="Calibri" w:eastAsia="Calibri" w:hAnsi="Calibri" w:cs="Calibri"/>
        </w:rPr>
      </w:pPr>
      <w:r>
        <w:rPr>
          <w:rFonts w:ascii="Calibri" w:eastAsia="Calibri" w:hAnsi="Calibri" w:cs="Calibri"/>
        </w:rPr>
        <w:t xml:space="preserve">The inability to access effective multidisciplinary pain management, especially in rural and remote areas, costs the health system more in the long term and carries a substantial economic burden through lost productivity and increase health care </w:t>
      </w:r>
      <w:proofErr w:type="spellStart"/>
      <w:r>
        <w:rPr>
          <w:rFonts w:ascii="Calibri" w:eastAsia="Calibri" w:hAnsi="Calibri" w:cs="Calibri"/>
        </w:rPr>
        <w:t>utilisation</w:t>
      </w:r>
      <w:proofErr w:type="spellEnd"/>
      <w:r>
        <w:rPr>
          <w:rFonts w:ascii="Calibri" w:eastAsia="Calibri" w:hAnsi="Calibri" w:cs="Calibri"/>
          <w:i/>
          <w:sz w:val="18"/>
          <w:szCs w:val="18"/>
        </w:rPr>
        <w:t xml:space="preserve"> </w:t>
      </w:r>
      <w:r>
        <w:rPr>
          <w:rFonts w:ascii="Calibri" w:eastAsia="Calibri" w:hAnsi="Calibri" w:cs="Calibri"/>
          <w:sz w:val="18"/>
          <w:szCs w:val="18"/>
        </w:rPr>
        <w:t>(Keogh, Rosser, &amp; Eccleston, 2010)</w:t>
      </w:r>
      <w:r>
        <w:rPr>
          <w:rFonts w:ascii="Calibri" w:eastAsia="Calibri" w:hAnsi="Calibri" w:cs="Calibri"/>
          <w:i/>
          <w:sz w:val="18"/>
          <w:szCs w:val="18"/>
        </w:rPr>
        <w:t>.</w:t>
      </w:r>
      <w:r>
        <w:rPr>
          <w:rFonts w:ascii="Calibri" w:eastAsia="Calibri" w:hAnsi="Calibri" w:cs="Calibri"/>
        </w:rPr>
        <w:t xml:space="preserve"> </w:t>
      </w:r>
    </w:p>
    <w:p w14:paraId="551E096B" w14:textId="77777777" w:rsidR="006D2440" w:rsidRDefault="004D7CE6" w:rsidP="00165E5B">
      <w:pPr>
        <w:numPr>
          <w:ilvl w:val="0"/>
          <w:numId w:val="21"/>
        </w:numPr>
        <w:spacing w:after="120" w:line="240" w:lineRule="auto"/>
        <w:ind w:left="862"/>
        <w:rPr>
          <w:rFonts w:ascii="Calibri" w:eastAsia="Calibri" w:hAnsi="Calibri" w:cs="Calibri"/>
        </w:rPr>
      </w:pPr>
      <w:r>
        <w:rPr>
          <w:rFonts w:ascii="Calibri" w:eastAsia="Calibri" w:hAnsi="Calibri" w:cs="Calibri"/>
        </w:rPr>
        <w:t xml:space="preserve">People who live in urban areas and have severely limited mobility, due to pain or other reasons, may also benefit from telehealth consultations.  Telehealth has the potential to address one of the key factors that currently inhibit patient access to tertiary pain management services. </w:t>
      </w:r>
    </w:p>
    <w:p w14:paraId="7C5C36FE" w14:textId="77777777" w:rsidR="006D2440" w:rsidRDefault="004D7CE6" w:rsidP="00165E5B">
      <w:pPr>
        <w:numPr>
          <w:ilvl w:val="0"/>
          <w:numId w:val="21"/>
        </w:numPr>
        <w:spacing w:after="120" w:line="240" w:lineRule="auto"/>
        <w:ind w:left="862"/>
        <w:rPr>
          <w:rFonts w:ascii="Calibri" w:eastAsia="Calibri" w:hAnsi="Calibri" w:cs="Calibri"/>
        </w:rPr>
      </w:pPr>
      <w:r>
        <w:rPr>
          <w:rFonts w:ascii="Calibri" w:eastAsia="Calibri" w:hAnsi="Calibri" w:cs="Calibri"/>
        </w:rPr>
        <w:t xml:space="preserve">The advantages of telehealth are that it enables provision of a service with a high level of specialist expertise, but in a </w:t>
      </w:r>
      <w:proofErr w:type="spellStart"/>
      <w:r>
        <w:rPr>
          <w:rFonts w:ascii="Calibri" w:eastAsia="Calibri" w:hAnsi="Calibri" w:cs="Calibri"/>
        </w:rPr>
        <w:t>mode</w:t>
      </w:r>
      <w:proofErr w:type="spellEnd"/>
      <w:r>
        <w:rPr>
          <w:rFonts w:ascii="Calibri" w:eastAsia="Calibri" w:hAnsi="Calibri" w:cs="Calibri"/>
        </w:rPr>
        <w:t xml:space="preserve"> that is highly accessible without the costs and challenges involved in transport and accommodation</w:t>
      </w:r>
      <w:r>
        <w:rPr>
          <w:rFonts w:ascii="Calibri" w:eastAsia="Calibri" w:hAnsi="Calibri" w:cs="Calibri"/>
          <w:i/>
          <w:sz w:val="18"/>
          <w:szCs w:val="18"/>
        </w:rPr>
        <w:t xml:space="preserve"> </w:t>
      </w:r>
      <w:r>
        <w:rPr>
          <w:rFonts w:ascii="Calibri" w:eastAsia="Calibri" w:hAnsi="Calibri" w:cs="Calibri"/>
          <w:sz w:val="18"/>
          <w:szCs w:val="18"/>
        </w:rPr>
        <w:t>(Keogh, Rosser, &amp; Eccleston, 2010)</w:t>
      </w:r>
      <w:r>
        <w:rPr>
          <w:rFonts w:ascii="Calibri" w:eastAsia="Calibri" w:hAnsi="Calibri" w:cs="Calibri"/>
          <w:i/>
          <w:sz w:val="18"/>
          <w:szCs w:val="18"/>
        </w:rPr>
        <w:t>.</w:t>
      </w:r>
      <w:r>
        <w:rPr>
          <w:rFonts w:ascii="Calibri" w:eastAsia="Calibri" w:hAnsi="Calibri" w:cs="Calibri"/>
        </w:rPr>
        <w:t xml:space="preserve"> </w:t>
      </w:r>
    </w:p>
    <w:p w14:paraId="78B6A867" w14:textId="77777777" w:rsidR="006D2440" w:rsidRDefault="004D7CE6" w:rsidP="00165E5B">
      <w:pPr>
        <w:numPr>
          <w:ilvl w:val="0"/>
          <w:numId w:val="21"/>
        </w:numPr>
        <w:spacing w:after="120" w:line="240" w:lineRule="auto"/>
        <w:ind w:left="862"/>
        <w:rPr>
          <w:rFonts w:ascii="Calibri" w:eastAsia="Calibri" w:hAnsi="Calibri" w:cs="Calibri"/>
        </w:rPr>
      </w:pPr>
      <w:r>
        <w:rPr>
          <w:rFonts w:ascii="Calibri" w:eastAsia="Calibri" w:hAnsi="Calibri" w:cs="Calibri"/>
        </w:rPr>
        <w:t xml:space="preserve">The creation of telehealth items for the assessment and review of pain management treatment plans would: </w:t>
      </w:r>
    </w:p>
    <w:p w14:paraId="12677A9F" w14:textId="77777777" w:rsidR="006D2440" w:rsidRDefault="004D7CE6" w:rsidP="00165E5B">
      <w:pPr>
        <w:numPr>
          <w:ilvl w:val="1"/>
          <w:numId w:val="21"/>
        </w:numPr>
        <w:spacing w:after="120" w:line="240" w:lineRule="auto"/>
        <w:ind w:left="2231"/>
      </w:pPr>
      <w:r>
        <w:rPr>
          <w:rFonts w:ascii="Calibri" w:eastAsia="Calibri" w:hAnsi="Calibri" w:cs="Calibri"/>
        </w:rPr>
        <w:t>Aid in the triage process and guide planning</w:t>
      </w:r>
    </w:p>
    <w:p w14:paraId="26D7DB56" w14:textId="77777777" w:rsidR="006D2440" w:rsidRDefault="004D7CE6" w:rsidP="00165E5B">
      <w:pPr>
        <w:numPr>
          <w:ilvl w:val="1"/>
          <w:numId w:val="21"/>
        </w:numPr>
        <w:spacing w:after="120" w:line="240" w:lineRule="auto"/>
        <w:ind w:left="2231"/>
      </w:pPr>
      <w:r>
        <w:rPr>
          <w:rFonts w:ascii="Calibri" w:eastAsia="Calibri" w:hAnsi="Calibri" w:cs="Calibri"/>
        </w:rPr>
        <w:t>Engage consumers and local primary care services</w:t>
      </w:r>
    </w:p>
    <w:p w14:paraId="42064736" w14:textId="77777777" w:rsidR="006D2440" w:rsidRDefault="004D7CE6" w:rsidP="00165E5B">
      <w:pPr>
        <w:numPr>
          <w:ilvl w:val="1"/>
          <w:numId w:val="21"/>
        </w:numPr>
        <w:spacing w:after="120" w:line="240" w:lineRule="auto"/>
        <w:ind w:left="2231"/>
      </w:pPr>
      <w:r>
        <w:rPr>
          <w:rFonts w:ascii="Calibri" w:eastAsia="Calibri" w:hAnsi="Calibri" w:cs="Calibri"/>
        </w:rPr>
        <w:t>Support local staff in modifying a pain management plan</w:t>
      </w:r>
    </w:p>
    <w:p w14:paraId="05E6BBB6" w14:textId="77777777" w:rsidR="006D2440" w:rsidRDefault="004D7CE6" w:rsidP="00165E5B">
      <w:pPr>
        <w:numPr>
          <w:ilvl w:val="1"/>
          <w:numId w:val="21"/>
        </w:numPr>
        <w:spacing w:after="120" w:line="240" w:lineRule="auto"/>
        <w:ind w:left="2231"/>
      </w:pPr>
      <w:r>
        <w:rPr>
          <w:rFonts w:ascii="Calibri" w:eastAsia="Calibri" w:hAnsi="Calibri" w:cs="Calibri"/>
        </w:rPr>
        <w:t>Be potentially used for the purpose of MDT Review (NSW Agency for Clinical Innovation, n.d.), and</w:t>
      </w:r>
    </w:p>
    <w:p w14:paraId="7FBBE777" w14:textId="77777777" w:rsidR="006D2440" w:rsidRDefault="004D7CE6" w:rsidP="00165E5B">
      <w:pPr>
        <w:numPr>
          <w:ilvl w:val="0"/>
          <w:numId w:val="21"/>
        </w:numPr>
        <w:spacing w:after="120" w:line="240" w:lineRule="auto"/>
        <w:ind w:left="862"/>
        <w:rPr>
          <w:rFonts w:ascii="Calibri" w:eastAsia="Calibri" w:hAnsi="Calibri" w:cs="Calibri"/>
        </w:rPr>
      </w:pPr>
      <w:r>
        <w:rPr>
          <w:rFonts w:ascii="Calibri" w:eastAsia="Calibri" w:hAnsi="Calibri" w:cs="Calibri"/>
        </w:rPr>
        <w:t xml:space="preserve">The Committee notes this is a whole-of-MBS issue, which the Committee hopes will be considered as applicable to the practice of pain medicine. </w:t>
      </w:r>
    </w:p>
    <w:p w14:paraId="1E1053DA" w14:textId="77777777" w:rsidR="006D2440" w:rsidRDefault="004D7CE6">
      <w:pPr>
        <w:pStyle w:val="Heading1"/>
        <w:keepLines w:val="0"/>
        <w:widowControl w:val="0"/>
        <w:pBdr>
          <w:bottom w:val="single" w:sz="16" w:space="11" w:color="BFBFBF"/>
        </w:pBdr>
        <w:spacing w:before="720" w:after="720" w:line="312" w:lineRule="auto"/>
        <w:ind w:left="432"/>
        <w:rPr>
          <w:rFonts w:ascii="Calibri" w:eastAsia="Calibri" w:hAnsi="Calibri" w:cs="Calibri"/>
          <w:b/>
          <w:color w:val="01653F"/>
        </w:rPr>
      </w:pPr>
      <w:bookmarkStart w:id="86" w:name="_Toc42764251"/>
      <w:r>
        <w:rPr>
          <w:rFonts w:ascii="Calibri" w:eastAsia="Calibri" w:hAnsi="Calibri" w:cs="Calibri"/>
          <w:b/>
          <w:color w:val="01653F"/>
        </w:rPr>
        <w:t>Psychiatry Clinical Committee</w:t>
      </w:r>
      <w:bookmarkEnd w:id="86"/>
    </w:p>
    <w:p w14:paraId="736D91BB" w14:textId="494029D8" w:rsidR="006D2440" w:rsidRPr="008E7FF0" w:rsidRDefault="00004598" w:rsidP="008E7FF0">
      <w:pPr>
        <w:pStyle w:val="Style4"/>
        <w:rPr>
          <w:color w:val="4F6228" w:themeColor="accent3" w:themeShade="80"/>
        </w:rPr>
      </w:pPr>
      <w:r w:rsidRPr="008E7FF0">
        <w:rPr>
          <w:color w:val="4F6228" w:themeColor="accent3" w:themeShade="80"/>
        </w:rPr>
        <w:t>Telehealth Working Group Consideration</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441F1564"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4D7CB456" w14:textId="203BE478" w:rsidR="006D2440" w:rsidRDefault="004D7CE6" w:rsidP="000E2172">
            <w:pPr>
              <w:spacing w:before="120"/>
              <w:ind w:right="142"/>
              <w:rPr>
                <w:rFonts w:ascii="Calibri" w:eastAsia="Calibri" w:hAnsi="Calibri" w:cs="Calibri"/>
              </w:rPr>
            </w:pPr>
            <w:r>
              <w:rPr>
                <w:rFonts w:ascii="Calibri" w:eastAsia="Calibri" w:hAnsi="Calibri" w:cs="Calibri"/>
                <w:b/>
              </w:rPr>
              <w:t xml:space="preserve">Telehealth Recommendation </w:t>
            </w:r>
            <w:r w:rsidR="000E2172">
              <w:rPr>
                <w:rFonts w:ascii="Calibri" w:eastAsia="Calibri" w:hAnsi="Calibri" w:cs="Calibri"/>
                <w:b/>
              </w:rPr>
              <w:t>13</w:t>
            </w:r>
            <w:r>
              <w:rPr>
                <w:rFonts w:ascii="Calibri" w:eastAsia="Calibri" w:hAnsi="Calibri" w:cs="Calibri"/>
                <w:b/>
              </w:rPr>
              <w:t xml:space="preserve"> of 21: </w:t>
            </w:r>
            <w:r w:rsidRPr="008E7FF0">
              <w:rPr>
                <w:rFonts w:ascii="Calibri" w:eastAsia="Calibri" w:hAnsi="Calibri" w:cs="Calibri"/>
                <w:b/>
              </w:rPr>
              <w:t>Psychiatry Clinical Committee Recommendation 2</w:t>
            </w:r>
            <w:r w:rsidR="002668FC">
              <w:rPr>
                <w:rFonts w:ascii="Calibri" w:eastAsia="Calibri" w:hAnsi="Calibri" w:cs="Calibri"/>
                <w:b/>
              </w:rPr>
              <w:t xml:space="preserve"> - </w:t>
            </w:r>
            <w:r w:rsidR="002668FC">
              <w:rPr>
                <w:rFonts w:ascii="Calibri" w:eastAsia="Calibri" w:hAnsi="Calibri" w:cs="Calibri"/>
              </w:rPr>
              <w:t>Reform arrangements for item 288 - delivery telehealth consultations to regional and remote patients.</w:t>
            </w:r>
          </w:p>
        </w:tc>
      </w:tr>
      <w:tr w:rsidR="00716DA7" w14:paraId="3274806B"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77848879" w14:textId="11879CC3" w:rsidR="006D2440" w:rsidRDefault="002668FC" w:rsidP="008E7FF0">
            <w:pPr>
              <w:spacing w:before="120"/>
              <w:rPr>
                <w:rFonts w:ascii="Calibri" w:eastAsia="Calibri" w:hAnsi="Calibri" w:cs="Calibri"/>
              </w:rPr>
            </w:pPr>
            <w:r>
              <w:rPr>
                <w:rFonts w:ascii="Calibri" w:eastAsia="Calibri" w:hAnsi="Calibri" w:cs="Calibri"/>
                <w:b/>
              </w:rPr>
              <w:t xml:space="preserve">TWG </w:t>
            </w:r>
            <w:r w:rsidR="004D7CE6">
              <w:rPr>
                <w:rFonts w:ascii="Calibri" w:eastAsia="Calibri" w:hAnsi="Calibri" w:cs="Calibri"/>
                <w:b/>
              </w:rPr>
              <w:t xml:space="preserve">Recommendation: </w:t>
            </w:r>
            <w:r>
              <w:rPr>
                <w:rFonts w:ascii="Calibri" w:eastAsia="Calibri" w:hAnsi="Calibri" w:cs="Calibri"/>
              </w:rPr>
              <w:t>Supported</w:t>
            </w:r>
          </w:p>
        </w:tc>
      </w:tr>
      <w:tr w:rsidR="00716DA7" w14:paraId="04A544D2"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46D6A5" w14:textId="54C3A6F3" w:rsidR="006D2440" w:rsidRDefault="002668FC">
            <w:pPr>
              <w:spacing w:before="120"/>
              <w:rPr>
                <w:rFonts w:ascii="Calibri" w:eastAsia="Calibri" w:hAnsi="Calibri" w:cs="Calibri"/>
                <w:b/>
              </w:rPr>
            </w:pPr>
            <w:r>
              <w:rPr>
                <w:rFonts w:ascii="Calibri" w:eastAsia="Calibri" w:hAnsi="Calibri" w:cs="Calibri"/>
                <w:b/>
              </w:rPr>
              <w:t>TWG Rationale:</w:t>
            </w:r>
            <w:r w:rsidR="002C2776">
              <w:rPr>
                <w:rFonts w:ascii="Calibri" w:eastAsia="Calibri" w:hAnsi="Calibri" w:cs="Calibri"/>
                <w:b/>
              </w:rPr>
              <w:t xml:space="preserve"> </w:t>
            </w:r>
            <w:r w:rsidR="004D7CE6" w:rsidRPr="6EE85499">
              <w:rPr>
                <w:rFonts w:ascii="Calibri" w:eastAsia="Calibri" w:hAnsi="Calibri" w:cs="Calibri"/>
              </w:rPr>
              <w:t>The TWG supported this recommendation.</w:t>
            </w:r>
          </w:p>
        </w:tc>
      </w:tr>
    </w:tbl>
    <w:p w14:paraId="534DEDB3" w14:textId="77777777" w:rsidR="006D2440" w:rsidRDefault="006D2440">
      <w:pPr>
        <w:spacing w:line="240" w:lineRule="auto"/>
        <w:jc w:val="both"/>
        <w:rPr>
          <w:rFonts w:ascii="Calibri" w:eastAsia="Calibri" w:hAnsi="Calibri" w:cs="Calibri"/>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2291E16E"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6FA4DBD1" w14:textId="3244AA06" w:rsidR="006D2440" w:rsidRDefault="004D7CE6" w:rsidP="000E2172">
            <w:pPr>
              <w:spacing w:before="120"/>
              <w:ind w:right="142"/>
              <w:rPr>
                <w:rFonts w:ascii="Calibri" w:eastAsia="Calibri" w:hAnsi="Calibri" w:cs="Calibri"/>
                <w:b/>
              </w:rPr>
            </w:pPr>
            <w:r>
              <w:rPr>
                <w:rFonts w:ascii="Calibri" w:eastAsia="Calibri" w:hAnsi="Calibri" w:cs="Calibri"/>
                <w:b/>
              </w:rPr>
              <w:t>Telehealth Recommendation 1</w:t>
            </w:r>
            <w:r w:rsidR="000E2172">
              <w:rPr>
                <w:rFonts w:ascii="Calibri" w:eastAsia="Calibri" w:hAnsi="Calibri" w:cs="Calibri"/>
                <w:b/>
              </w:rPr>
              <w:t>4</w:t>
            </w:r>
            <w:r>
              <w:rPr>
                <w:rFonts w:ascii="Calibri" w:eastAsia="Calibri" w:hAnsi="Calibri" w:cs="Calibri"/>
                <w:b/>
              </w:rPr>
              <w:t xml:space="preserve"> of 21</w:t>
            </w:r>
            <w:r w:rsidRPr="008E7FF0">
              <w:rPr>
                <w:rFonts w:ascii="Calibri" w:eastAsia="Calibri" w:hAnsi="Calibri" w:cs="Calibri"/>
                <w:b/>
              </w:rPr>
              <w:t>: Psychiatry Clinical Committee Recommendation 3</w:t>
            </w:r>
            <w:r w:rsidR="002668FC">
              <w:rPr>
                <w:rFonts w:ascii="Calibri" w:eastAsia="Calibri" w:hAnsi="Calibri" w:cs="Calibri"/>
                <w:b/>
              </w:rPr>
              <w:t xml:space="preserve"> - </w:t>
            </w:r>
            <w:r w:rsidR="002668FC">
              <w:rPr>
                <w:rFonts w:ascii="Calibri" w:eastAsia="Calibri" w:hAnsi="Calibri" w:cs="Calibri"/>
              </w:rPr>
              <w:t>New items to provide telehealth consultations to patients in major cities of Australia.</w:t>
            </w:r>
          </w:p>
        </w:tc>
      </w:tr>
      <w:tr w:rsidR="00716DA7" w14:paraId="034F3439"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51820038" w14:textId="0F6EB2CC" w:rsidR="006D2440" w:rsidRDefault="002668FC" w:rsidP="008E7FF0">
            <w:pPr>
              <w:spacing w:before="120"/>
              <w:rPr>
                <w:rFonts w:ascii="Calibri" w:eastAsia="Calibri" w:hAnsi="Calibri" w:cs="Calibri"/>
              </w:rPr>
            </w:pPr>
            <w:r>
              <w:rPr>
                <w:rFonts w:ascii="Calibri" w:eastAsia="Calibri" w:hAnsi="Calibri" w:cs="Calibri"/>
                <w:b/>
              </w:rPr>
              <w:t xml:space="preserve">TWG </w:t>
            </w:r>
            <w:r w:rsidR="004D7CE6">
              <w:rPr>
                <w:rFonts w:ascii="Calibri" w:eastAsia="Calibri" w:hAnsi="Calibri" w:cs="Calibri"/>
                <w:b/>
              </w:rPr>
              <w:t xml:space="preserve">Recommendation: </w:t>
            </w:r>
            <w:r w:rsidRPr="008E7FF0">
              <w:rPr>
                <w:rFonts w:ascii="Calibri" w:eastAsia="Calibri" w:hAnsi="Calibri" w:cs="Calibri"/>
              </w:rPr>
              <w:t>Supported</w:t>
            </w:r>
          </w:p>
        </w:tc>
      </w:tr>
      <w:tr w:rsidR="00716DA7" w14:paraId="02CA7854"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57B088C" w14:textId="77777777" w:rsidR="002668FC" w:rsidRDefault="002668FC">
            <w:pPr>
              <w:spacing w:before="120"/>
              <w:rPr>
                <w:rFonts w:ascii="Calibri" w:eastAsia="Calibri" w:hAnsi="Calibri" w:cs="Calibri"/>
                <w:b/>
              </w:rPr>
            </w:pPr>
            <w:r>
              <w:rPr>
                <w:rFonts w:ascii="Calibri" w:eastAsia="Calibri" w:hAnsi="Calibri" w:cs="Calibri"/>
                <w:b/>
              </w:rPr>
              <w:lastRenderedPageBreak/>
              <w:t>TWG Rationale:</w:t>
            </w:r>
          </w:p>
          <w:p w14:paraId="73AB0422" w14:textId="21FA1BC4" w:rsidR="006D2440" w:rsidRPr="002C2776" w:rsidRDefault="004D7CE6" w:rsidP="002C2776">
            <w:pPr>
              <w:spacing w:before="120"/>
              <w:rPr>
                <w:rFonts w:ascii="Calibri" w:eastAsia="Calibri" w:hAnsi="Calibri" w:cs="Calibri"/>
              </w:rPr>
            </w:pPr>
            <w:r>
              <w:rPr>
                <w:rFonts w:ascii="Calibri" w:eastAsia="Calibri" w:hAnsi="Calibri" w:cs="Calibri"/>
              </w:rPr>
              <w:t xml:space="preserve">The TWG supported this </w:t>
            </w:r>
            <w:r w:rsidRPr="004C4F5B">
              <w:rPr>
                <w:rFonts w:asciiTheme="majorHAnsi" w:hAnsiTheme="majorHAnsi"/>
              </w:rPr>
              <w:t>recommendation with caution to ensure that services are not lost in rural and remote areas.</w:t>
            </w:r>
            <w:r w:rsidR="003E760A" w:rsidRPr="004C4F5B">
              <w:rPr>
                <w:rFonts w:asciiTheme="majorHAnsi" w:hAnsiTheme="majorHAnsi"/>
              </w:rPr>
              <w:t xml:space="preserve">  This is consistent with </w:t>
            </w:r>
            <w:r w:rsidR="002564E4" w:rsidRPr="004C4F5B">
              <w:rPr>
                <w:rFonts w:asciiTheme="majorHAnsi" w:hAnsiTheme="majorHAnsi"/>
              </w:rPr>
              <w:t xml:space="preserve">Principle 1 </w:t>
            </w:r>
            <w:r w:rsidR="002C2776" w:rsidRPr="004C4F5B">
              <w:rPr>
                <w:rFonts w:asciiTheme="majorHAnsi" w:hAnsiTheme="majorHAnsi"/>
                <w:i/>
              </w:rPr>
              <w:t>Should be patient-focused, and based on patient need, rather than geographical location</w:t>
            </w:r>
            <w:r w:rsidR="002C2776" w:rsidRPr="004C4F5B">
              <w:rPr>
                <w:rFonts w:asciiTheme="majorHAnsi" w:hAnsiTheme="majorHAnsi"/>
              </w:rPr>
              <w:t xml:space="preserve"> </w:t>
            </w:r>
            <w:r w:rsidR="003B2020" w:rsidRPr="004C4F5B">
              <w:rPr>
                <w:rFonts w:asciiTheme="majorHAnsi" w:hAnsiTheme="majorHAnsi"/>
              </w:rPr>
              <w:t xml:space="preserve">and should take that </w:t>
            </w:r>
            <w:r w:rsidR="004A312E">
              <w:rPr>
                <w:rFonts w:ascii="Calibri" w:eastAsia="Calibri" w:hAnsi="Calibri" w:cs="Calibri"/>
              </w:rPr>
              <w:t>and the other principles</w:t>
            </w:r>
            <w:r w:rsidR="003B2020">
              <w:rPr>
                <w:rFonts w:ascii="Calibri" w:eastAsia="Calibri" w:hAnsi="Calibri" w:cs="Calibri"/>
              </w:rPr>
              <w:t xml:space="preserve"> </w:t>
            </w:r>
            <w:r w:rsidR="003B2020" w:rsidRPr="004C4F5B">
              <w:rPr>
                <w:rFonts w:asciiTheme="majorHAnsi" w:hAnsiTheme="majorHAnsi"/>
              </w:rPr>
              <w:t>into consideration.</w:t>
            </w:r>
          </w:p>
        </w:tc>
      </w:tr>
    </w:tbl>
    <w:p w14:paraId="2C76D841" w14:textId="77777777" w:rsidR="006D2440" w:rsidRDefault="006D2440">
      <w:pPr>
        <w:spacing w:line="240" w:lineRule="auto"/>
        <w:jc w:val="both"/>
        <w:rPr>
          <w:rFonts w:ascii="Calibri" w:eastAsia="Calibri" w:hAnsi="Calibri" w:cs="Calibri"/>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16C4D486"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6652EFC2" w14:textId="5FAF6A61" w:rsidR="006D2440" w:rsidRDefault="004D7CE6" w:rsidP="000E2172">
            <w:pPr>
              <w:spacing w:before="120"/>
              <w:ind w:right="142"/>
              <w:rPr>
                <w:rFonts w:ascii="Calibri" w:eastAsia="Calibri" w:hAnsi="Calibri" w:cs="Calibri"/>
                <w:b/>
              </w:rPr>
            </w:pPr>
            <w:r>
              <w:rPr>
                <w:rFonts w:ascii="Calibri" w:eastAsia="Calibri" w:hAnsi="Calibri" w:cs="Calibri"/>
                <w:b/>
              </w:rPr>
              <w:t>Telehealth Recommendation 1</w:t>
            </w:r>
            <w:r w:rsidR="000E2172">
              <w:rPr>
                <w:rFonts w:ascii="Calibri" w:eastAsia="Calibri" w:hAnsi="Calibri" w:cs="Calibri"/>
                <w:b/>
              </w:rPr>
              <w:t>5</w:t>
            </w:r>
            <w:r>
              <w:rPr>
                <w:rFonts w:ascii="Calibri" w:eastAsia="Calibri" w:hAnsi="Calibri" w:cs="Calibri"/>
                <w:b/>
              </w:rPr>
              <w:t xml:space="preserve"> of 21: </w:t>
            </w:r>
            <w:r w:rsidRPr="008E7FF0">
              <w:rPr>
                <w:rFonts w:ascii="Calibri" w:eastAsia="Calibri" w:hAnsi="Calibri" w:cs="Calibri"/>
                <w:b/>
              </w:rPr>
              <w:t>Psychiatry Clinical Committee Recommendation 4</w:t>
            </w:r>
            <w:r w:rsidR="00A177E3">
              <w:rPr>
                <w:rFonts w:ascii="Calibri" w:eastAsia="Calibri" w:hAnsi="Calibri" w:cs="Calibri"/>
                <w:b/>
              </w:rPr>
              <w:t xml:space="preserve"> - </w:t>
            </w:r>
            <w:r w:rsidR="00A177E3">
              <w:rPr>
                <w:rFonts w:ascii="Calibri" w:eastAsia="Calibri" w:hAnsi="Calibri" w:cs="Calibri"/>
              </w:rPr>
              <w:t>Continue arrangements for Items 353-370 - consultations with psychiatrists via the phone in regional and remote areas</w:t>
            </w:r>
          </w:p>
        </w:tc>
      </w:tr>
      <w:tr w:rsidR="00716DA7" w14:paraId="31D39F88"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1819D380" w14:textId="74CC1DB4" w:rsidR="006D2440" w:rsidRDefault="00A177E3" w:rsidP="00726D35">
            <w:pPr>
              <w:spacing w:before="120"/>
              <w:rPr>
                <w:rFonts w:ascii="Calibri" w:eastAsia="Calibri" w:hAnsi="Calibri" w:cs="Calibri"/>
              </w:rPr>
            </w:pPr>
            <w:r>
              <w:rPr>
                <w:rFonts w:ascii="Calibri" w:eastAsia="Calibri" w:hAnsi="Calibri" w:cs="Calibri"/>
                <w:b/>
              </w:rPr>
              <w:t xml:space="preserve">TWG </w:t>
            </w:r>
            <w:r w:rsidR="004D7CE6">
              <w:rPr>
                <w:rFonts w:ascii="Calibri" w:eastAsia="Calibri" w:hAnsi="Calibri" w:cs="Calibri"/>
                <w:b/>
              </w:rPr>
              <w:t xml:space="preserve">Recommendation: </w:t>
            </w:r>
            <w:r w:rsidRPr="008E7FF0">
              <w:rPr>
                <w:rFonts w:ascii="Calibri" w:eastAsia="Calibri" w:hAnsi="Calibri" w:cs="Calibri"/>
              </w:rPr>
              <w:t>Supported</w:t>
            </w:r>
            <w:r w:rsidR="004C4F5B">
              <w:rPr>
                <w:rFonts w:ascii="Calibri" w:eastAsia="Calibri" w:hAnsi="Calibri" w:cs="Calibri"/>
              </w:rPr>
              <w:t xml:space="preserve"> with </w:t>
            </w:r>
            <w:r w:rsidR="00726D35">
              <w:rPr>
                <w:rFonts w:ascii="Calibri" w:eastAsia="Calibri" w:hAnsi="Calibri" w:cs="Calibri"/>
              </w:rPr>
              <w:t>qualification</w:t>
            </w:r>
          </w:p>
        </w:tc>
      </w:tr>
      <w:tr w:rsidR="00716DA7" w14:paraId="7FFDE1C4"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07ED8C" w14:textId="77777777" w:rsidR="00A177E3" w:rsidRDefault="00A177E3">
            <w:pPr>
              <w:spacing w:before="120"/>
              <w:rPr>
                <w:rFonts w:ascii="Calibri" w:eastAsia="Calibri" w:hAnsi="Calibri" w:cs="Calibri"/>
                <w:b/>
              </w:rPr>
            </w:pPr>
            <w:r>
              <w:rPr>
                <w:rFonts w:ascii="Calibri" w:eastAsia="Calibri" w:hAnsi="Calibri" w:cs="Calibri"/>
                <w:b/>
              </w:rPr>
              <w:t>TWG Rationale:</w:t>
            </w:r>
          </w:p>
          <w:p w14:paraId="5240AB32" w14:textId="42DF9DB5" w:rsidR="00461147" w:rsidRPr="004C4F5B" w:rsidRDefault="004D7CE6" w:rsidP="00461147">
            <w:pPr>
              <w:numPr>
                <w:ilvl w:val="0"/>
                <w:numId w:val="77"/>
              </w:numPr>
              <w:spacing w:after="240" w:line="240" w:lineRule="auto"/>
              <w:rPr>
                <w:rFonts w:asciiTheme="majorHAnsi" w:eastAsia="Calibri" w:hAnsiTheme="majorHAnsi" w:cstheme="majorHAnsi"/>
                <w:i/>
                <w:iCs/>
                <w:sz w:val="24"/>
                <w:szCs w:val="24"/>
              </w:rPr>
            </w:pPr>
            <w:r w:rsidRPr="6EE85499">
              <w:rPr>
                <w:rFonts w:ascii="Calibri" w:eastAsia="Calibri" w:hAnsi="Calibri" w:cs="Calibri"/>
              </w:rPr>
              <w:t xml:space="preserve">The TWG supported this recommendation with caution </w:t>
            </w:r>
            <w:r w:rsidR="00461147">
              <w:rPr>
                <w:rFonts w:ascii="Calibri" w:eastAsia="Calibri" w:hAnsi="Calibri" w:cs="Calibri"/>
              </w:rPr>
              <w:t xml:space="preserve">in relation to removal of the loading </w:t>
            </w:r>
            <w:r w:rsidRPr="6EE85499">
              <w:rPr>
                <w:rFonts w:ascii="Calibri" w:eastAsia="Calibri" w:hAnsi="Calibri" w:cs="Calibri"/>
              </w:rPr>
              <w:t>to ensure that services are not lost in rural and remote areas.</w:t>
            </w:r>
            <w:r w:rsidR="00461147">
              <w:rPr>
                <w:rFonts w:ascii="Calibri" w:eastAsia="Calibri" w:hAnsi="Calibri" w:cs="Calibri"/>
              </w:rPr>
              <w:t xml:space="preserve">  Any change should be consistent with all the principles but </w:t>
            </w:r>
            <w:proofErr w:type="gramStart"/>
            <w:r w:rsidR="00461147">
              <w:rPr>
                <w:rFonts w:ascii="Calibri" w:eastAsia="Calibri" w:hAnsi="Calibri" w:cs="Calibri"/>
              </w:rPr>
              <w:t>in particular Principle</w:t>
            </w:r>
            <w:proofErr w:type="gramEnd"/>
            <w:r w:rsidR="00461147">
              <w:rPr>
                <w:rFonts w:ascii="Calibri" w:eastAsia="Calibri" w:hAnsi="Calibri" w:cs="Calibri"/>
              </w:rPr>
              <w:t xml:space="preserve"> 7 </w:t>
            </w:r>
            <w:r w:rsidR="00461147" w:rsidRPr="004C4F5B">
              <w:rPr>
                <w:rFonts w:asciiTheme="majorHAnsi" w:eastAsia="Calibri" w:hAnsiTheme="majorHAnsi" w:cstheme="majorHAnsi"/>
                <w:i/>
                <w:iCs/>
                <w:sz w:val="24"/>
                <w:szCs w:val="24"/>
              </w:rPr>
              <w:t>Should be implemented and modified through time limited transition arrangements.</w:t>
            </w:r>
          </w:p>
          <w:p w14:paraId="020E7728" w14:textId="1EB47C4E" w:rsidR="006D2440" w:rsidRPr="002C2776" w:rsidRDefault="006D2440">
            <w:pPr>
              <w:spacing w:before="120"/>
              <w:rPr>
                <w:rFonts w:ascii="Calibri" w:eastAsia="Calibri" w:hAnsi="Calibri" w:cs="Calibri"/>
              </w:rPr>
            </w:pPr>
          </w:p>
        </w:tc>
      </w:tr>
    </w:tbl>
    <w:p w14:paraId="08161DCF" w14:textId="77777777" w:rsidR="000C06A1" w:rsidRPr="008E7FF0" w:rsidRDefault="000C06A1" w:rsidP="008E7FF0">
      <w:pPr>
        <w:pStyle w:val="Style4"/>
        <w:rPr>
          <w:color w:val="4F6228" w:themeColor="accent3" w:themeShade="80"/>
        </w:rPr>
      </w:pPr>
      <w:bookmarkStart w:id="87" w:name="_tefr8oi6wasd" w:colFirst="0" w:colLast="0"/>
      <w:bookmarkEnd w:id="87"/>
      <w:r w:rsidRPr="008E7FF0">
        <w:rPr>
          <w:color w:val="4F6228" w:themeColor="accent3" w:themeShade="80"/>
        </w:rPr>
        <w:t>Psychiatry Clinical Committee</w:t>
      </w:r>
    </w:p>
    <w:p w14:paraId="0D6A28ED" w14:textId="77777777" w:rsidR="006D2440" w:rsidRPr="008E7FF0" w:rsidRDefault="004D7CE6" w:rsidP="008E7FF0">
      <w:pPr>
        <w:pStyle w:val="Style4"/>
      </w:pPr>
      <w:r w:rsidRPr="008E7FF0">
        <w:t>Telehealth</w:t>
      </w:r>
    </w:p>
    <w:p w14:paraId="3CB0C664" w14:textId="77777777" w:rsidR="006D2440" w:rsidRDefault="004D7CE6">
      <w:pPr>
        <w:spacing w:after="200" w:line="240" w:lineRule="auto"/>
        <w:rPr>
          <w:rFonts w:ascii="Calibri" w:eastAsia="Calibri" w:hAnsi="Calibri" w:cs="Calibri"/>
          <w:i/>
          <w:color w:val="44546A"/>
          <w:sz w:val="18"/>
          <w:szCs w:val="18"/>
        </w:rPr>
      </w:pPr>
      <w:bookmarkStart w:id="88" w:name="_1hmsyys" w:colFirst="0" w:colLast="0"/>
      <w:bookmarkEnd w:id="88"/>
      <w:r>
        <w:rPr>
          <w:rFonts w:ascii="Calibri" w:eastAsia="Calibri" w:hAnsi="Calibri" w:cs="Calibri"/>
          <w:i/>
          <w:color w:val="44546A"/>
          <w:sz w:val="18"/>
          <w:szCs w:val="18"/>
        </w:rPr>
        <w:t>Table 2: Item 288</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00" w:firstRow="0" w:lastRow="0" w:firstColumn="0" w:lastColumn="0" w:noHBand="0" w:noVBand="1"/>
      </w:tblPr>
      <w:tblGrid>
        <w:gridCol w:w="718"/>
        <w:gridCol w:w="3848"/>
        <w:gridCol w:w="958"/>
        <w:gridCol w:w="1154"/>
        <w:gridCol w:w="1145"/>
        <w:gridCol w:w="1193"/>
      </w:tblGrid>
      <w:tr w:rsidR="006D2440" w14:paraId="65ED09AB" w14:textId="77777777">
        <w:tc>
          <w:tcPr>
            <w:tcW w:w="718" w:type="dxa"/>
            <w:shd w:val="clear" w:color="auto" w:fill="01653F"/>
            <w:vAlign w:val="bottom"/>
          </w:tcPr>
          <w:p w14:paraId="64B7D04E" w14:textId="77777777" w:rsidR="006D2440" w:rsidRDefault="004D7CE6">
            <w:pPr>
              <w:keepNext/>
              <w:spacing w:before="60" w:after="60" w:line="312" w:lineRule="auto"/>
              <w:rPr>
                <w:b/>
                <w:color w:val="FFFFFF"/>
                <w:sz w:val="18"/>
                <w:szCs w:val="18"/>
              </w:rPr>
            </w:pPr>
            <w:r>
              <w:rPr>
                <w:b/>
                <w:color w:val="FFFFFF"/>
                <w:sz w:val="18"/>
                <w:szCs w:val="18"/>
              </w:rPr>
              <w:t>Item</w:t>
            </w:r>
          </w:p>
        </w:tc>
        <w:tc>
          <w:tcPr>
            <w:tcW w:w="3848" w:type="dxa"/>
            <w:shd w:val="clear" w:color="auto" w:fill="01653F"/>
            <w:vAlign w:val="bottom"/>
          </w:tcPr>
          <w:p w14:paraId="7ABF2257" w14:textId="77777777" w:rsidR="006D2440" w:rsidRDefault="004D7CE6">
            <w:pPr>
              <w:keepNext/>
              <w:spacing w:before="60" w:after="60" w:line="312" w:lineRule="auto"/>
              <w:rPr>
                <w:b/>
                <w:color w:val="FFFFFF"/>
                <w:sz w:val="18"/>
                <w:szCs w:val="18"/>
              </w:rPr>
            </w:pPr>
            <w:r>
              <w:rPr>
                <w:b/>
                <w:color w:val="FFFFFF"/>
                <w:sz w:val="18"/>
                <w:szCs w:val="18"/>
              </w:rPr>
              <w:t>Short item descriptor</w:t>
            </w:r>
          </w:p>
        </w:tc>
        <w:tc>
          <w:tcPr>
            <w:tcW w:w="958" w:type="dxa"/>
            <w:shd w:val="clear" w:color="auto" w:fill="01653F"/>
            <w:vAlign w:val="bottom"/>
          </w:tcPr>
          <w:p w14:paraId="119553ED" w14:textId="77777777" w:rsidR="006D2440" w:rsidRDefault="004D7CE6">
            <w:pPr>
              <w:keepNext/>
              <w:spacing w:before="60" w:after="60" w:line="312" w:lineRule="auto"/>
              <w:rPr>
                <w:b/>
                <w:color w:val="FFFFFF"/>
                <w:sz w:val="18"/>
                <w:szCs w:val="18"/>
              </w:rPr>
            </w:pPr>
            <w:r>
              <w:rPr>
                <w:b/>
                <w:color w:val="FFFFFF"/>
                <w:sz w:val="18"/>
                <w:szCs w:val="18"/>
              </w:rPr>
              <w:t>Schedule fee</w:t>
            </w:r>
          </w:p>
        </w:tc>
        <w:tc>
          <w:tcPr>
            <w:tcW w:w="1154" w:type="dxa"/>
            <w:shd w:val="clear" w:color="auto" w:fill="01653F"/>
            <w:vAlign w:val="bottom"/>
          </w:tcPr>
          <w:p w14:paraId="28C1695D" w14:textId="77777777" w:rsidR="006D2440" w:rsidRDefault="004D7CE6">
            <w:pPr>
              <w:keepNext/>
              <w:spacing w:before="60" w:after="60" w:line="312" w:lineRule="auto"/>
              <w:rPr>
                <w:b/>
                <w:color w:val="FFFFFF"/>
                <w:sz w:val="18"/>
                <w:szCs w:val="18"/>
              </w:rPr>
            </w:pPr>
            <w:r>
              <w:rPr>
                <w:b/>
                <w:color w:val="FFFFFF"/>
                <w:sz w:val="18"/>
                <w:szCs w:val="18"/>
              </w:rPr>
              <w:t>Services FY2016/17</w:t>
            </w:r>
          </w:p>
        </w:tc>
        <w:tc>
          <w:tcPr>
            <w:tcW w:w="1145" w:type="dxa"/>
            <w:shd w:val="clear" w:color="auto" w:fill="01653F"/>
            <w:vAlign w:val="bottom"/>
          </w:tcPr>
          <w:p w14:paraId="1EF3EC74" w14:textId="77777777" w:rsidR="006D2440" w:rsidRDefault="004D7CE6">
            <w:pPr>
              <w:keepNext/>
              <w:spacing w:before="60" w:after="60" w:line="312" w:lineRule="auto"/>
              <w:rPr>
                <w:b/>
                <w:color w:val="FFFFFF"/>
                <w:sz w:val="18"/>
                <w:szCs w:val="18"/>
              </w:rPr>
            </w:pPr>
            <w:r>
              <w:rPr>
                <w:b/>
                <w:color w:val="FFFFFF"/>
                <w:sz w:val="18"/>
                <w:szCs w:val="18"/>
              </w:rPr>
              <w:t>Benefits FY2016/17</w:t>
            </w:r>
          </w:p>
        </w:tc>
        <w:tc>
          <w:tcPr>
            <w:tcW w:w="1193" w:type="dxa"/>
            <w:shd w:val="clear" w:color="auto" w:fill="01653F"/>
            <w:vAlign w:val="bottom"/>
          </w:tcPr>
          <w:p w14:paraId="0EC2E58D" w14:textId="77777777" w:rsidR="006D2440" w:rsidRDefault="004D7CE6">
            <w:pPr>
              <w:keepNext/>
              <w:spacing w:before="60" w:after="60" w:line="312" w:lineRule="auto"/>
              <w:rPr>
                <w:b/>
                <w:color w:val="FFFFFF"/>
                <w:sz w:val="18"/>
                <w:szCs w:val="18"/>
              </w:rPr>
            </w:pPr>
            <w:r>
              <w:rPr>
                <w:b/>
                <w:color w:val="FFFFFF"/>
                <w:sz w:val="18"/>
                <w:szCs w:val="18"/>
              </w:rPr>
              <w:t>Services 5-year annual avg. growth</w:t>
            </w:r>
          </w:p>
        </w:tc>
      </w:tr>
      <w:tr w:rsidR="006D2440" w14:paraId="6D2EFF37" w14:textId="77777777">
        <w:tc>
          <w:tcPr>
            <w:tcW w:w="718" w:type="dxa"/>
          </w:tcPr>
          <w:p w14:paraId="5198CED8" w14:textId="77777777" w:rsidR="006D2440" w:rsidRDefault="004D7CE6">
            <w:pPr>
              <w:spacing w:before="140" w:after="40" w:line="312" w:lineRule="auto"/>
              <w:rPr>
                <w:sz w:val="18"/>
                <w:szCs w:val="18"/>
              </w:rPr>
            </w:pPr>
            <w:r>
              <w:rPr>
                <w:sz w:val="18"/>
                <w:szCs w:val="18"/>
              </w:rPr>
              <w:t>288</w:t>
            </w:r>
          </w:p>
        </w:tc>
        <w:tc>
          <w:tcPr>
            <w:tcW w:w="3848" w:type="dxa"/>
          </w:tcPr>
          <w:p w14:paraId="6E44199F" w14:textId="77777777" w:rsidR="006D2440" w:rsidRDefault="004D7CE6">
            <w:pPr>
              <w:spacing w:before="140" w:after="40" w:line="312" w:lineRule="auto"/>
              <w:rPr>
                <w:sz w:val="18"/>
                <w:szCs w:val="18"/>
              </w:rPr>
            </w:pPr>
            <w:r>
              <w:rPr>
                <w:sz w:val="18"/>
                <w:szCs w:val="18"/>
              </w:rPr>
              <w:t>Telehealth add on for psychiatrist</w:t>
            </w:r>
          </w:p>
        </w:tc>
        <w:tc>
          <w:tcPr>
            <w:tcW w:w="958" w:type="dxa"/>
          </w:tcPr>
          <w:p w14:paraId="4597CAD8" w14:textId="77777777" w:rsidR="006D2440" w:rsidRDefault="004D7CE6">
            <w:pPr>
              <w:spacing w:before="140" w:after="40" w:line="312" w:lineRule="auto"/>
              <w:rPr>
                <w:sz w:val="18"/>
                <w:szCs w:val="18"/>
              </w:rPr>
            </w:pPr>
            <w:r>
              <w:rPr>
                <w:sz w:val="18"/>
                <w:szCs w:val="18"/>
              </w:rPr>
              <w:t>Derived fee</w:t>
            </w:r>
          </w:p>
        </w:tc>
        <w:tc>
          <w:tcPr>
            <w:tcW w:w="1154" w:type="dxa"/>
          </w:tcPr>
          <w:p w14:paraId="6B4D9177" w14:textId="77777777" w:rsidR="006D2440" w:rsidRDefault="004D7CE6">
            <w:pPr>
              <w:spacing w:before="140" w:after="40" w:line="312" w:lineRule="auto"/>
              <w:rPr>
                <w:sz w:val="18"/>
                <w:szCs w:val="18"/>
              </w:rPr>
            </w:pPr>
            <w:r>
              <w:rPr>
                <w:sz w:val="18"/>
                <w:szCs w:val="18"/>
              </w:rPr>
              <w:t>37,626</w:t>
            </w:r>
          </w:p>
        </w:tc>
        <w:tc>
          <w:tcPr>
            <w:tcW w:w="1145" w:type="dxa"/>
          </w:tcPr>
          <w:p w14:paraId="19D269A2" w14:textId="77777777" w:rsidR="006D2440" w:rsidRDefault="004D7CE6">
            <w:pPr>
              <w:spacing w:before="140" w:after="40" w:line="312" w:lineRule="auto"/>
              <w:rPr>
                <w:sz w:val="18"/>
                <w:szCs w:val="18"/>
              </w:rPr>
            </w:pPr>
            <w:r>
              <w:rPr>
                <w:sz w:val="18"/>
                <w:szCs w:val="18"/>
              </w:rPr>
              <w:t>$10,759,694</w:t>
            </w:r>
          </w:p>
        </w:tc>
        <w:tc>
          <w:tcPr>
            <w:tcW w:w="1193" w:type="dxa"/>
          </w:tcPr>
          <w:p w14:paraId="382B38CE" w14:textId="77777777" w:rsidR="006D2440" w:rsidRDefault="004D7CE6">
            <w:pPr>
              <w:spacing w:before="140" w:after="40" w:line="312" w:lineRule="auto"/>
              <w:rPr>
                <w:sz w:val="18"/>
                <w:szCs w:val="18"/>
              </w:rPr>
            </w:pPr>
            <w:r>
              <w:rPr>
                <w:sz w:val="18"/>
                <w:szCs w:val="18"/>
              </w:rPr>
              <w:t>62.2%</w:t>
            </w:r>
          </w:p>
        </w:tc>
      </w:tr>
    </w:tbl>
    <w:p w14:paraId="3F01CCA7" w14:textId="77777777" w:rsidR="006D2440" w:rsidRDefault="004D7CE6" w:rsidP="00165E5B">
      <w:pPr>
        <w:pStyle w:val="Style4"/>
        <w:spacing w:before="0" w:line="240" w:lineRule="auto"/>
      </w:pPr>
      <w:bookmarkStart w:id="89" w:name="_41mghml" w:colFirst="0" w:colLast="0"/>
      <w:bookmarkEnd w:id="89"/>
      <w:r>
        <w:t>Recommendation 2 - Reform arrangements for item 288 - delivering telehealth consultations to regional and remote patients</w:t>
      </w:r>
    </w:p>
    <w:p w14:paraId="4314FD42" w14:textId="77777777" w:rsidR="006D2440" w:rsidRDefault="004D7CE6" w:rsidP="00165E5B">
      <w:pPr>
        <w:spacing w:after="120" w:line="240" w:lineRule="auto"/>
        <w:ind w:left="573" w:hanging="431"/>
        <w:rPr>
          <w:rFonts w:ascii="Calibri" w:eastAsia="Calibri" w:hAnsi="Calibri" w:cs="Calibri"/>
        </w:rPr>
      </w:pPr>
      <w:r>
        <w:rPr>
          <w:rFonts w:ascii="Calibri" w:eastAsia="Calibri" w:hAnsi="Calibri" w:cs="Calibri"/>
        </w:rPr>
        <w:t>The Committee recommends:</w:t>
      </w:r>
    </w:p>
    <w:p w14:paraId="1744979C" w14:textId="77777777" w:rsidR="006D2440" w:rsidRDefault="004D7CE6" w:rsidP="00165E5B">
      <w:pPr>
        <w:numPr>
          <w:ilvl w:val="0"/>
          <w:numId w:val="38"/>
        </w:numPr>
        <w:spacing w:after="120" w:line="240" w:lineRule="auto"/>
        <w:rPr>
          <w:rFonts w:ascii="Calibri" w:eastAsia="Calibri" w:hAnsi="Calibri" w:cs="Calibri"/>
        </w:rPr>
      </w:pPr>
      <w:r>
        <w:rPr>
          <w:rFonts w:ascii="Calibri" w:eastAsia="Calibri" w:hAnsi="Calibri" w:cs="Calibri"/>
        </w:rPr>
        <w:t>removing item 288 from the MBS.</w:t>
      </w:r>
    </w:p>
    <w:p w14:paraId="3D78EBDA" w14:textId="77777777" w:rsidR="006D2440" w:rsidRDefault="004D7CE6" w:rsidP="00165E5B">
      <w:pPr>
        <w:numPr>
          <w:ilvl w:val="0"/>
          <w:numId w:val="38"/>
        </w:numPr>
        <w:spacing w:after="120" w:line="240" w:lineRule="auto"/>
        <w:rPr>
          <w:rFonts w:ascii="Calibri" w:eastAsia="Calibri" w:hAnsi="Calibri" w:cs="Calibri"/>
        </w:rPr>
      </w:pPr>
      <w:r>
        <w:rPr>
          <w:rFonts w:ascii="Calibri" w:eastAsia="Calibri" w:hAnsi="Calibri" w:cs="Calibri"/>
        </w:rPr>
        <w:t>a new suite of time-tiered items be introduced to provide for telehealth consultations to regional and remote areas (RA2–5), with:</w:t>
      </w:r>
    </w:p>
    <w:p w14:paraId="62FCDC2A" w14:textId="77777777" w:rsidR="006D2440" w:rsidRDefault="004D7CE6" w:rsidP="00165E5B">
      <w:pPr>
        <w:numPr>
          <w:ilvl w:val="1"/>
          <w:numId w:val="21"/>
        </w:numPr>
        <w:spacing w:after="120" w:line="240" w:lineRule="auto"/>
      </w:pPr>
      <w:r>
        <w:rPr>
          <w:rFonts w:ascii="Calibri" w:eastAsia="Calibri" w:hAnsi="Calibri" w:cs="Calibri"/>
        </w:rPr>
        <w:t>remuneration at the same rate as standard consultation items (300–308</w:t>
      </w:r>
      <w:r>
        <w:rPr>
          <w:rFonts w:ascii="Calibri" w:eastAsia="Calibri" w:hAnsi="Calibri" w:cs="Calibri"/>
          <w:sz w:val="18"/>
          <w:szCs w:val="18"/>
        </w:rPr>
        <w:t xml:space="preserve"> (2)</w:t>
      </w:r>
      <w:r>
        <w:rPr>
          <w:rFonts w:ascii="Calibri" w:eastAsia="Calibri" w:hAnsi="Calibri" w:cs="Calibri"/>
        </w:rPr>
        <w:t xml:space="preserve">), </w:t>
      </w:r>
      <w:proofErr w:type="gramStart"/>
      <w:r>
        <w:rPr>
          <w:rFonts w:ascii="Calibri" w:eastAsia="Calibri" w:hAnsi="Calibri" w:cs="Calibri"/>
        </w:rPr>
        <w:t>with the exception of</w:t>
      </w:r>
      <w:proofErr w:type="gramEnd"/>
      <w:r>
        <w:rPr>
          <w:rFonts w:ascii="Calibri" w:eastAsia="Calibri" w:hAnsi="Calibri" w:cs="Calibri"/>
        </w:rPr>
        <w:t xml:space="preserve"> the initial consultation, which should provide additional remuneration to reflect the increased time and complexity associated with this service, and </w:t>
      </w:r>
    </w:p>
    <w:p w14:paraId="19972C86" w14:textId="77777777" w:rsidR="006D2440" w:rsidRDefault="004D7CE6" w:rsidP="00165E5B">
      <w:pPr>
        <w:numPr>
          <w:ilvl w:val="1"/>
          <w:numId w:val="21"/>
        </w:numPr>
        <w:spacing w:after="120" w:line="240" w:lineRule="auto"/>
      </w:pPr>
      <w:r>
        <w:rPr>
          <w:rFonts w:ascii="Calibri" w:eastAsia="Calibri" w:hAnsi="Calibri" w:cs="Calibri"/>
        </w:rPr>
        <w:t xml:space="preserve">the initial consultation item split into </w:t>
      </w:r>
      <w:proofErr w:type="gramStart"/>
      <w:r>
        <w:rPr>
          <w:rFonts w:ascii="Calibri" w:eastAsia="Calibri" w:hAnsi="Calibri" w:cs="Calibri"/>
        </w:rPr>
        <w:t>two time</w:t>
      </w:r>
      <w:proofErr w:type="gramEnd"/>
      <w:r>
        <w:rPr>
          <w:rFonts w:ascii="Calibri" w:eastAsia="Calibri" w:hAnsi="Calibri" w:cs="Calibri"/>
        </w:rPr>
        <w:t xml:space="preserve"> tiers mirroring the standard initial consultations items 296 and 297</w:t>
      </w:r>
      <w:r>
        <w:rPr>
          <w:rFonts w:ascii="Calibri" w:eastAsia="Calibri" w:hAnsi="Calibri" w:cs="Calibri"/>
          <w:sz w:val="18"/>
          <w:szCs w:val="18"/>
        </w:rPr>
        <w:t xml:space="preserve"> (2)</w:t>
      </w:r>
      <w:r>
        <w:rPr>
          <w:rFonts w:ascii="Calibri" w:eastAsia="Calibri" w:hAnsi="Calibri" w:cs="Calibri"/>
        </w:rPr>
        <w:t>.</w:t>
      </w:r>
    </w:p>
    <w:p w14:paraId="5793CE6B" w14:textId="77777777" w:rsidR="006D2440" w:rsidRDefault="004D7CE6" w:rsidP="00165E5B">
      <w:pPr>
        <w:numPr>
          <w:ilvl w:val="0"/>
          <w:numId w:val="38"/>
        </w:numPr>
        <w:spacing w:after="120" w:line="240" w:lineRule="auto"/>
        <w:rPr>
          <w:rFonts w:ascii="Calibri" w:eastAsia="Calibri" w:hAnsi="Calibri" w:cs="Calibri"/>
        </w:rPr>
      </w:pPr>
      <w:r>
        <w:rPr>
          <w:rFonts w:ascii="Calibri" w:eastAsia="Calibri" w:hAnsi="Calibri" w:cs="Calibri"/>
        </w:rPr>
        <w:t>that the Taskforce should consider recommending an incentive payment, or another similar funding mechanism be instituted, to continue to stimulate services in regional and remote areas.</w:t>
      </w:r>
    </w:p>
    <w:p w14:paraId="5C62D27C" w14:textId="77777777" w:rsidR="006D2440" w:rsidRDefault="004D7CE6" w:rsidP="00165E5B">
      <w:pPr>
        <w:pStyle w:val="Style4"/>
        <w:spacing w:before="0" w:line="240" w:lineRule="auto"/>
      </w:pPr>
      <w:bookmarkStart w:id="90" w:name="_2grqrue" w:colFirst="0" w:colLast="0"/>
      <w:bookmarkEnd w:id="90"/>
      <w:r>
        <w:lastRenderedPageBreak/>
        <w:t>Rationale 2</w:t>
      </w:r>
    </w:p>
    <w:p w14:paraId="5631C34D" w14:textId="77777777" w:rsidR="006D2440" w:rsidRDefault="004D7CE6" w:rsidP="00165E5B">
      <w:pPr>
        <w:spacing w:after="120" w:line="240" w:lineRule="auto"/>
        <w:rPr>
          <w:rFonts w:ascii="Calibri" w:eastAsia="Calibri" w:hAnsi="Calibri" w:cs="Calibri"/>
        </w:rPr>
      </w:pPr>
      <w:r>
        <w:rPr>
          <w:rFonts w:ascii="Calibri" w:eastAsia="Calibri" w:hAnsi="Calibri" w:cs="Calibri"/>
        </w:rPr>
        <w:t>Item 288 provides for a 50% loading for all consultations delivered via video conference to telehealth eligible areas in Australia (RA2–5).</w:t>
      </w:r>
    </w:p>
    <w:p w14:paraId="4E1E3C29" w14:textId="77777777" w:rsidR="006D2440" w:rsidRDefault="004D7CE6" w:rsidP="00165E5B">
      <w:pPr>
        <w:spacing w:after="120" w:line="240" w:lineRule="auto"/>
        <w:rPr>
          <w:rFonts w:ascii="Calibri" w:eastAsia="Calibri" w:hAnsi="Calibri" w:cs="Calibri"/>
        </w:rPr>
      </w:pPr>
      <w:r>
        <w:rPr>
          <w:rFonts w:ascii="Calibri" w:eastAsia="Calibri" w:hAnsi="Calibri" w:cs="Calibri"/>
        </w:rPr>
        <w:t xml:space="preserve">This recommendation focuses on ensuring that the MBS is used as intended while ensuring that patient outcomes are not compromised. It is based on the following assessment: </w:t>
      </w:r>
    </w:p>
    <w:p w14:paraId="78F6CCE7"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 Committee noted that the original intent of this loading was to accelerate the adoption of telehealth by all specialists and consultant physicians, including psychiatrists. The Committee acknowledged the loading was introduced as a time-limited incentive.</w:t>
      </w:r>
    </w:p>
    <w:p w14:paraId="2F1FBC38"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 Committee noted that while psychiatrists had been the most successful in terms of adoption, the uptake of new providers had slowed from an initial growth of 256% in the first year to just 8% between the 2015/16 and 2016/17 financial years. The Committee noted this could indicate the loading was no longer stimulating the uptake of telehealth by new providers.</w:t>
      </w:r>
    </w:p>
    <w:p w14:paraId="6F848563"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The Committee noted advice from the Taskforce and its Principles and Rules Committee that MBS items should </w:t>
      </w:r>
      <w:proofErr w:type="spellStart"/>
      <w:r>
        <w:rPr>
          <w:rFonts w:ascii="Calibri" w:eastAsia="Calibri" w:hAnsi="Calibri" w:cs="Calibri"/>
        </w:rPr>
        <w:t>recognise</w:t>
      </w:r>
      <w:proofErr w:type="spellEnd"/>
      <w:r>
        <w:rPr>
          <w:rFonts w:ascii="Calibri" w:eastAsia="Calibri" w:hAnsi="Calibri" w:cs="Calibri"/>
        </w:rPr>
        <w:t xml:space="preserve"> only the time and complexity associated with delivering that service, and that additional loadings to </w:t>
      </w:r>
      <w:proofErr w:type="spellStart"/>
      <w:r>
        <w:rPr>
          <w:rFonts w:ascii="Calibri" w:eastAsia="Calibri" w:hAnsi="Calibri" w:cs="Calibri"/>
        </w:rPr>
        <w:t>incentivise</w:t>
      </w:r>
      <w:proofErr w:type="spellEnd"/>
      <w:r>
        <w:rPr>
          <w:rFonts w:ascii="Calibri" w:eastAsia="Calibri" w:hAnsi="Calibri" w:cs="Calibri"/>
        </w:rPr>
        <w:t xml:space="preserve"> service delivery to regional and remote areas should be provided outside the MBS. </w:t>
      </w:r>
    </w:p>
    <w:p w14:paraId="49FE0706"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 Committee agreed that there were additional complexities associated with delivering a telehealth consultation to a new patient and that extra remuneration should be available to ensure providers can effectively deliver this service. These additional complexities include:</w:t>
      </w:r>
    </w:p>
    <w:p w14:paraId="316045ED" w14:textId="77777777" w:rsidR="006D2440" w:rsidRDefault="004D7CE6" w:rsidP="00165E5B">
      <w:pPr>
        <w:numPr>
          <w:ilvl w:val="1"/>
          <w:numId w:val="21"/>
        </w:numPr>
        <w:spacing w:after="120" w:line="240" w:lineRule="auto"/>
      </w:pPr>
      <w:r>
        <w:rPr>
          <w:rFonts w:ascii="Calibri" w:eastAsia="Calibri" w:hAnsi="Calibri" w:cs="Calibri"/>
        </w:rPr>
        <w:t>Increased time spent building relationships with regional and remote referrers.</w:t>
      </w:r>
    </w:p>
    <w:p w14:paraId="55675948" w14:textId="77777777" w:rsidR="006D2440" w:rsidRDefault="004D7CE6" w:rsidP="00165E5B">
      <w:pPr>
        <w:numPr>
          <w:ilvl w:val="1"/>
          <w:numId w:val="21"/>
        </w:numPr>
        <w:spacing w:after="120" w:line="240" w:lineRule="auto"/>
      </w:pPr>
      <w:r>
        <w:rPr>
          <w:rFonts w:ascii="Calibri" w:eastAsia="Calibri" w:hAnsi="Calibri" w:cs="Calibri"/>
        </w:rPr>
        <w:t>Increased time spent orienting patients on the use of technology and troubleshooting connection and audio-visual issues.</w:t>
      </w:r>
    </w:p>
    <w:p w14:paraId="78D9043B" w14:textId="77777777" w:rsidR="006D2440" w:rsidRDefault="004D7CE6" w:rsidP="00165E5B">
      <w:pPr>
        <w:numPr>
          <w:ilvl w:val="1"/>
          <w:numId w:val="21"/>
        </w:numPr>
        <w:spacing w:after="120" w:line="240" w:lineRule="auto"/>
      </w:pPr>
      <w:r>
        <w:rPr>
          <w:rFonts w:ascii="Calibri" w:eastAsia="Calibri" w:hAnsi="Calibri" w:cs="Calibri"/>
        </w:rPr>
        <w:t>Greater difficulty in conducting a physical examination of the patient.</w:t>
      </w:r>
    </w:p>
    <w:p w14:paraId="38844CE9" w14:textId="77777777" w:rsidR="006D2440" w:rsidRDefault="004D7CE6" w:rsidP="00165E5B">
      <w:pPr>
        <w:numPr>
          <w:ilvl w:val="1"/>
          <w:numId w:val="21"/>
        </w:numPr>
        <w:spacing w:after="120" w:line="240" w:lineRule="auto"/>
      </w:pPr>
      <w:r>
        <w:rPr>
          <w:rFonts w:ascii="Calibri" w:eastAsia="Calibri" w:hAnsi="Calibri" w:cs="Calibri"/>
        </w:rPr>
        <w:t>More onerous reporting and prescribing requirements following the initial consultation.</w:t>
      </w:r>
    </w:p>
    <w:p w14:paraId="46875BB0"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The Committee noted concerns that these changes could lead to a decrease in telehealth services or significantly alter service delivery, such as </w:t>
      </w:r>
      <w:proofErr w:type="gramStart"/>
      <w:r>
        <w:rPr>
          <w:rFonts w:ascii="Calibri" w:eastAsia="Calibri" w:hAnsi="Calibri" w:cs="Calibri"/>
        </w:rPr>
        <w:t>for the production of</w:t>
      </w:r>
      <w:proofErr w:type="gramEnd"/>
      <w:r>
        <w:rPr>
          <w:rFonts w:ascii="Calibri" w:eastAsia="Calibri" w:hAnsi="Calibri" w:cs="Calibri"/>
        </w:rPr>
        <w:t xml:space="preserve"> management plans for regional and remote GPs to implement. Therefore, the Committee agreed the Taskforce should consider recommending an incentive payment or another similar funding mechanism be instituted to continue to stimulate services in regional and remote areas.</w:t>
      </w:r>
    </w:p>
    <w:p w14:paraId="51D54EFF"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If opting not to introduce an incentive payment or similar, item 288 should be gradually withdrawn rather than removed, </w:t>
      </w:r>
      <w:proofErr w:type="gramStart"/>
      <w:r>
        <w:rPr>
          <w:rFonts w:ascii="Calibri" w:eastAsia="Calibri" w:hAnsi="Calibri" w:cs="Calibri"/>
        </w:rPr>
        <w:t>as a means to</w:t>
      </w:r>
      <w:proofErr w:type="gramEnd"/>
      <w:r>
        <w:rPr>
          <w:rFonts w:ascii="Calibri" w:eastAsia="Calibri" w:hAnsi="Calibri" w:cs="Calibri"/>
        </w:rPr>
        <w:t xml:space="preserve"> avoid any sudden retreat from its use and to allow the system time to readjust.</w:t>
      </w:r>
    </w:p>
    <w:p w14:paraId="7D52F10B" w14:textId="77777777" w:rsidR="006D2440" w:rsidRDefault="004D7CE6" w:rsidP="00165E5B">
      <w:pPr>
        <w:pStyle w:val="Style4"/>
        <w:spacing w:before="0" w:line="240" w:lineRule="auto"/>
      </w:pPr>
      <w:bookmarkStart w:id="91" w:name="_vx1227" w:colFirst="0" w:colLast="0"/>
      <w:bookmarkEnd w:id="91"/>
      <w:r>
        <w:t>Recommendation 3 - New items to provide telehealth consultations to patients in major cities of Australia</w:t>
      </w:r>
    </w:p>
    <w:p w14:paraId="71F62050" w14:textId="77777777" w:rsidR="006D2440" w:rsidRDefault="004D7CE6" w:rsidP="00165E5B">
      <w:pPr>
        <w:spacing w:after="120" w:line="240" w:lineRule="auto"/>
        <w:ind w:left="573" w:hanging="431"/>
        <w:rPr>
          <w:rFonts w:ascii="Calibri" w:eastAsia="Calibri" w:hAnsi="Calibri" w:cs="Calibri"/>
        </w:rPr>
      </w:pPr>
      <w:r>
        <w:rPr>
          <w:rFonts w:ascii="Calibri" w:eastAsia="Calibri" w:hAnsi="Calibri" w:cs="Calibri"/>
        </w:rPr>
        <w:t>The Committee recommends:</w:t>
      </w:r>
    </w:p>
    <w:p w14:paraId="0A429DDE" w14:textId="77777777" w:rsidR="006D2440" w:rsidRDefault="004D7CE6" w:rsidP="00165E5B">
      <w:pPr>
        <w:numPr>
          <w:ilvl w:val="0"/>
          <w:numId w:val="30"/>
        </w:numPr>
        <w:spacing w:after="120" w:line="240" w:lineRule="auto"/>
        <w:rPr>
          <w:rFonts w:ascii="Calibri" w:eastAsia="Calibri" w:hAnsi="Calibri" w:cs="Calibri"/>
        </w:rPr>
      </w:pPr>
      <w:r>
        <w:rPr>
          <w:rFonts w:ascii="Calibri" w:eastAsia="Calibri" w:hAnsi="Calibri" w:cs="Calibri"/>
        </w:rPr>
        <w:t>introducing a new suite of items to provide for time-tiered telehealth consultations (via videoconference) to patients in major cities (RA1), to be remunerated at the same rate as consultation items 300–308</w:t>
      </w:r>
      <w:r>
        <w:rPr>
          <w:rFonts w:ascii="Calibri" w:eastAsia="Calibri" w:hAnsi="Calibri" w:cs="Calibri"/>
          <w:sz w:val="18"/>
          <w:szCs w:val="18"/>
        </w:rPr>
        <w:t xml:space="preserve"> (2)</w:t>
      </w:r>
      <w:r>
        <w:rPr>
          <w:rFonts w:ascii="Calibri" w:eastAsia="Calibri" w:hAnsi="Calibri" w:cs="Calibri"/>
        </w:rPr>
        <w:t>.</w:t>
      </w:r>
    </w:p>
    <w:p w14:paraId="38AF0A6B" w14:textId="77777777" w:rsidR="006D2440" w:rsidRDefault="004D7CE6" w:rsidP="00165E5B">
      <w:pPr>
        <w:numPr>
          <w:ilvl w:val="0"/>
          <w:numId w:val="30"/>
        </w:numPr>
        <w:spacing w:after="120" w:line="240" w:lineRule="auto"/>
        <w:rPr>
          <w:rFonts w:ascii="Calibri" w:eastAsia="Calibri" w:hAnsi="Calibri" w:cs="Calibri"/>
        </w:rPr>
      </w:pPr>
      <w:r>
        <w:rPr>
          <w:rFonts w:ascii="Calibri" w:eastAsia="Calibri" w:hAnsi="Calibri" w:cs="Calibri"/>
        </w:rPr>
        <w:t xml:space="preserve">access to these items should be triggered by an initial assessment by a psychiatrist via videoconference, on referral from a GP or nurse practitioner, where an assessment of the patient is conducted and it is concluded the patient would benefit from telehealth for reasons of either severe physical disability, a mental health disorder that prevents them from attending a </w:t>
      </w:r>
      <w:r>
        <w:rPr>
          <w:rFonts w:ascii="Calibri" w:eastAsia="Calibri" w:hAnsi="Calibri" w:cs="Calibri"/>
        </w:rPr>
        <w:lastRenderedPageBreak/>
        <w:t>face-to-face consultation, or psychosocial stress (for instance if a patient cannot take time off from work).</w:t>
      </w:r>
    </w:p>
    <w:p w14:paraId="2E2F6A43" w14:textId="77777777" w:rsidR="006D2440" w:rsidRDefault="004D7CE6" w:rsidP="00165E5B">
      <w:pPr>
        <w:numPr>
          <w:ilvl w:val="0"/>
          <w:numId w:val="30"/>
        </w:numPr>
        <w:spacing w:after="120" w:line="240" w:lineRule="auto"/>
        <w:rPr>
          <w:rFonts w:ascii="Calibri" w:eastAsia="Calibri" w:hAnsi="Calibri" w:cs="Calibri"/>
        </w:rPr>
      </w:pPr>
      <w:r>
        <w:rPr>
          <w:rFonts w:ascii="Calibri" w:eastAsia="Calibri" w:hAnsi="Calibri" w:cs="Calibri"/>
        </w:rPr>
        <w:t>telehealth services in major cities be restricted to 12 services per calendar year per patient, including the initial assessment and that these 12 consultations contribute to a patient’s annual service cap (50 sessions or 160 for complex patients).</w:t>
      </w:r>
    </w:p>
    <w:p w14:paraId="6C0C5970" w14:textId="77777777" w:rsidR="006D2440" w:rsidRDefault="004D7CE6" w:rsidP="00165E5B">
      <w:pPr>
        <w:pStyle w:val="Style4"/>
        <w:spacing w:before="0" w:line="240" w:lineRule="auto"/>
      </w:pPr>
      <w:bookmarkStart w:id="92" w:name="_3fwokq0" w:colFirst="0" w:colLast="0"/>
      <w:bookmarkEnd w:id="92"/>
      <w:r>
        <w:t>Rationale 3</w:t>
      </w:r>
    </w:p>
    <w:p w14:paraId="30D01A5F" w14:textId="77777777" w:rsidR="006D2440" w:rsidRDefault="004D7CE6" w:rsidP="00165E5B">
      <w:pPr>
        <w:spacing w:after="120" w:line="240" w:lineRule="auto"/>
        <w:rPr>
          <w:rFonts w:ascii="Calibri" w:eastAsia="Calibri" w:hAnsi="Calibri" w:cs="Calibri"/>
        </w:rPr>
      </w:pPr>
      <w:r>
        <w:rPr>
          <w:rFonts w:ascii="Calibri" w:eastAsia="Calibri" w:hAnsi="Calibri" w:cs="Calibri"/>
        </w:rPr>
        <w:t xml:space="preserve">This recommendation focuses on providing access to alternative delivery mechanisms to meet the needs of patients with appropriate needs. It is based on the following assessment: </w:t>
      </w:r>
    </w:p>
    <w:p w14:paraId="3A906B94"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 Committee agreed that face-to-face consultations represent a higher value service in psychiatry, in terms of being able to provide more comprehensive physical assessments of patients, as well as in the formation of the psychiatrist-patient relationship.</w:t>
      </w:r>
    </w:p>
    <w:p w14:paraId="517BE807"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However, the Committee agreed that it is challenging for some patients in major cities to access a psychiatrist and for those </w:t>
      </w:r>
      <w:proofErr w:type="gramStart"/>
      <w:r>
        <w:rPr>
          <w:rFonts w:ascii="Calibri" w:eastAsia="Calibri" w:hAnsi="Calibri" w:cs="Calibri"/>
        </w:rPr>
        <w:t>patients</w:t>
      </w:r>
      <w:proofErr w:type="gramEnd"/>
      <w:r>
        <w:rPr>
          <w:rFonts w:ascii="Calibri" w:eastAsia="Calibri" w:hAnsi="Calibri" w:cs="Calibri"/>
        </w:rPr>
        <w:t xml:space="preserve"> consultations via videoconference are preferential to ensure they are receiving adequate care. This includes, for example, patients with severe agoraphobia and physical disabilities, such as quadriplegia, that would impact their ability to access transport.</w:t>
      </w:r>
    </w:p>
    <w:p w14:paraId="19813787"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All members of the Committee have experience with patients being unable to attend an appointment for physical health, social or psychiatric reasons. </w:t>
      </w:r>
    </w:p>
    <w:p w14:paraId="0D3BE780"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While there hasn’t been a study and therefore no resulting evidence that people with physical disability have difficultly accessing psychiatry services, there is good evidence that physical disability is a risk factor for mental illness, which in turn creates demand for psychiatry services. Holmes et al. </w:t>
      </w:r>
      <w:r>
        <w:rPr>
          <w:rFonts w:ascii="Calibri" w:eastAsia="Calibri" w:hAnsi="Calibri" w:cs="Calibri"/>
          <w:sz w:val="18"/>
          <w:szCs w:val="18"/>
        </w:rPr>
        <w:t xml:space="preserve">(3) </w:t>
      </w:r>
      <w:r>
        <w:rPr>
          <w:rFonts w:ascii="Calibri" w:eastAsia="Calibri" w:hAnsi="Calibri" w:cs="Calibri"/>
        </w:rPr>
        <w:t>found that persistent disability is a risk factor for late-onset mental disorder after serious injury. Other evidence shows that people living with physical disabilities are at least three times more likely to experience depression compared to the general population</w:t>
      </w:r>
      <w:r>
        <w:rPr>
          <w:rFonts w:ascii="Calibri" w:eastAsia="Calibri" w:hAnsi="Calibri" w:cs="Calibri"/>
          <w:sz w:val="18"/>
          <w:szCs w:val="18"/>
        </w:rPr>
        <w:t xml:space="preserve"> (4)</w:t>
      </w:r>
      <w:r>
        <w:rPr>
          <w:rFonts w:ascii="Calibri" w:eastAsia="Calibri" w:hAnsi="Calibri" w:cs="Calibri"/>
        </w:rPr>
        <w:t xml:space="preserve">. </w:t>
      </w:r>
    </w:p>
    <w:p w14:paraId="4E2CC87B"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In 2017, the Australian Institute of Health and Welfare reported that nearly 2 in 5 (38%) people with a disability (aged 5-64 years) had difficultly accessing buildings or facilities in the last 12 months</w:t>
      </w:r>
      <w:r>
        <w:rPr>
          <w:rFonts w:ascii="Calibri" w:eastAsia="Calibri" w:hAnsi="Calibri" w:cs="Calibri"/>
          <w:sz w:val="18"/>
          <w:szCs w:val="18"/>
        </w:rPr>
        <w:t xml:space="preserve"> (5)</w:t>
      </w:r>
      <w:r>
        <w:rPr>
          <w:rFonts w:ascii="Calibri" w:eastAsia="Calibri" w:hAnsi="Calibri" w:cs="Calibri"/>
        </w:rPr>
        <w:t>. This report does not specifically refer to access to psychiatry, only medical specialists.</w:t>
      </w:r>
    </w:p>
    <w:p w14:paraId="2713EC41"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There is evidence that telehealth consultations can be effective in treating these populations</w:t>
      </w:r>
      <w:r>
        <w:rPr>
          <w:rFonts w:ascii="Calibri" w:eastAsia="Calibri" w:hAnsi="Calibri" w:cs="Calibri"/>
          <w:sz w:val="18"/>
          <w:szCs w:val="18"/>
        </w:rPr>
        <w:t xml:space="preserve"> (6).</w:t>
      </w:r>
      <w:r>
        <w:rPr>
          <w:rFonts w:ascii="Calibri" w:eastAsia="Calibri" w:hAnsi="Calibri" w:cs="Calibri"/>
        </w:rPr>
        <w:t xml:space="preserve"> Significant improvements in coping skills and strategies, community integration, and depression were observed immediately after tele-health consultations, with modest improvements in quality of life maintained at 12 months post-intervention.</w:t>
      </w:r>
    </w:p>
    <w:p w14:paraId="425B3DB9"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In relation to people with agoraphobia, </w:t>
      </w:r>
      <w:r>
        <w:rPr>
          <w:rFonts w:ascii="Calibri" w:eastAsia="Calibri" w:hAnsi="Calibri" w:cs="Calibri"/>
          <w:color w:val="1C1D1E"/>
        </w:rPr>
        <w:t xml:space="preserve">Rees and </w:t>
      </w:r>
      <w:proofErr w:type="spellStart"/>
      <w:r>
        <w:rPr>
          <w:rFonts w:ascii="Calibri" w:eastAsia="Calibri" w:hAnsi="Calibri" w:cs="Calibri"/>
          <w:color w:val="1C1D1E"/>
        </w:rPr>
        <w:t>Mclaine</w:t>
      </w:r>
      <w:proofErr w:type="spellEnd"/>
      <w:r>
        <w:rPr>
          <w:rFonts w:ascii="Calibri" w:eastAsia="Calibri" w:hAnsi="Calibri" w:cs="Calibri"/>
          <w:sz w:val="18"/>
          <w:szCs w:val="18"/>
        </w:rPr>
        <w:t xml:space="preserve"> (7)</w:t>
      </w:r>
      <w:r>
        <w:rPr>
          <w:rFonts w:ascii="Calibri" w:eastAsia="Calibri" w:hAnsi="Calibri" w:cs="Calibri"/>
        </w:rPr>
        <w:t xml:space="preserve"> conclude that videoconference‐delivered therapy for anxiety disorders is supported by evidence of effectiveness, and results that are comparable with in‐person provision of treatment.  The authors note </w:t>
      </w:r>
      <w:proofErr w:type="gramStart"/>
      <w:r>
        <w:rPr>
          <w:rFonts w:ascii="Calibri" w:eastAsia="Calibri" w:hAnsi="Calibri" w:cs="Calibri"/>
        </w:rPr>
        <w:t>that  ‘</w:t>
      </w:r>
      <w:proofErr w:type="gramEnd"/>
      <w:r>
        <w:rPr>
          <w:rFonts w:ascii="Calibri" w:eastAsia="Calibri" w:hAnsi="Calibri" w:cs="Calibri"/>
          <w:i/>
        </w:rPr>
        <w:t xml:space="preserve">given that anxiety disorders tend to be </w:t>
      </w:r>
      <w:proofErr w:type="spellStart"/>
      <w:r>
        <w:rPr>
          <w:rFonts w:ascii="Calibri" w:eastAsia="Calibri" w:hAnsi="Calibri" w:cs="Calibri"/>
          <w:i/>
        </w:rPr>
        <w:t>characterised</w:t>
      </w:r>
      <w:proofErr w:type="spellEnd"/>
      <w:r>
        <w:rPr>
          <w:rFonts w:ascii="Calibri" w:eastAsia="Calibri" w:hAnsi="Calibri" w:cs="Calibri"/>
          <w:i/>
        </w:rPr>
        <w:t xml:space="preserve"> by avoidance and low help-seeking </w:t>
      </w:r>
      <w:proofErr w:type="spellStart"/>
      <w:r>
        <w:rPr>
          <w:rFonts w:ascii="Calibri" w:eastAsia="Calibri" w:hAnsi="Calibri" w:cs="Calibri"/>
          <w:i/>
        </w:rPr>
        <w:t>behaviour</w:t>
      </w:r>
      <w:proofErr w:type="spellEnd"/>
      <w:r>
        <w:rPr>
          <w:rFonts w:ascii="Calibri" w:eastAsia="Calibri" w:hAnsi="Calibri" w:cs="Calibri"/>
          <w:i/>
        </w:rPr>
        <w:t xml:space="preserve">, it is critical that continued efforts to improve access to efficacious psychological treatments are pursued’. </w:t>
      </w:r>
      <w:r>
        <w:rPr>
          <w:rFonts w:ascii="Calibri" w:eastAsia="Calibri" w:hAnsi="Calibri" w:cs="Calibri"/>
        </w:rPr>
        <w:t>Lindner et al.</w:t>
      </w:r>
      <w:r>
        <w:rPr>
          <w:rFonts w:ascii="Calibri" w:eastAsia="Calibri" w:hAnsi="Calibri" w:cs="Calibri"/>
          <w:sz w:val="18"/>
          <w:szCs w:val="18"/>
        </w:rPr>
        <w:t xml:space="preserve"> (8)</w:t>
      </w:r>
      <w:r>
        <w:rPr>
          <w:rFonts w:ascii="Calibri" w:eastAsia="Calibri" w:hAnsi="Calibri" w:cs="Calibri"/>
        </w:rPr>
        <w:t xml:space="preserve"> demonstrated evidence for videoconferencing as an effective tool in treatment delivery for panic disorder with agoraphobia.  </w:t>
      </w:r>
    </w:p>
    <w:p w14:paraId="415BC051"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The Committee agreed that patients should have an appropriate balance of face-to-face and telehealth consultations. The Committee noted that for the patient populations in question, it would be counter-productive to mandate for the first consultation to be face-to-face. The Committee also agreed that it would be difficult to set milestones whereby patients would be required to have a face-to-face consultation (e.g. every fourth consultation). </w:t>
      </w:r>
    </w:p>
    <w:p w14:paraId="77EDC2A8"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 Committee affirmed that the new items should not be used for convenience and that eligible patients should have a genuine unmet need that can be addressed via video conference consultations.</w:t>
      </w:r>
    </w:p>
    <w:p w14:paraId="7751A20F"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lastRenderedPageBreak/>
        <w:t xml:space="preserve">The Committee has specified that these attendances should not replace face to face </w:t>
      </w:r>
      <w:proofErr w:type="gramStart"/>
      <w:r>
        <w:rPr>
          <w:rFonts w:ascii="Calibri" w:eastAsia="Calibri" w:hAnsi="Calibri" w:cs="Calibri"/>
        </w:rPr>
        <w:t>consultations, but</w:t>
      </w:r>
      <w:proofErr w:type="gramEnd"/>
      <w:r>
        <w:rPr>
          <w:rFonts w:ascii="Calibri" w:eastAsia="Calibri" w:hAnsi="Calibri" w:cs="Calibri"/>
        </w:rPr>
        <w:t xml:space="preserve"> should supplement them in particular circumstances and that there should be no loading on telehealth item numbers for urban consultations.</w:t>
      </w:r>
    </w:p>
    <w:p w14:paraId="11C3238C"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The Committee anticipates that telehealth consultations for urban-based patients would have a relatively low uptake. </w:t>
      </w:r>
    </w:p>
    <w:p w14:paraId="06375C59"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A model for telehealth consultations might include limiting eligibility for a referral to specific patients (including patients with physical disability, severe agoraphobia, and other health conditions whereby attending face-to-face consultations is not practical or efficient), or for patients who require treatment from a psychiatrist located in another city (for example, patients who are temporarily located interstate).</w:t>
      </w:r>
    </w:p>
    <w:p w14:paraId="14DE7570"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These criteria should be included in the explanatory notes for the item with the number of sessions to be capped at 5 in a 12-month period.</w:t>
      </w:r>
    </w:p>
    <w:p w14:paraId="354BF885" w14:textId="77777777" w:rsidR="006D2440" w:rsidRDefault="004D7CE6" w:rsidP="00165E5B">
      <w:pPr>
        <w:pStyle w:val="Style4"/>
        <w:spacing w:before="0" w:line="240" w:lineRule="auto"/>
      </w:pPr>
      <w:r>
        <w:t>Telepsychiatry</w:t>
      </w:r>
    </w:p>
    <w:p w14:paraId="3E89CDF3" w14:textId="77777777" w:rsidR="006D2440" w:rsidRDefault="004D7CE6">
      <w:pPr>
        <w:spacing w:after="200" w:line="240" w:lineRule="auto"/>
        <w:rPr>
          <w:rFonts w:ascii="Calibri" w:eastAsia="Calibri" w:hAnsi="Calibri" w:cs="Calibri"/>
          <w:i/>
          <w:color w:val="44546A"/>
          <w:sz w:val="18"/>
          <w:szCs w:val="18"/>
        </w:rPr>
      </w:pPr>
      <w:bookmarkStart w:id="93" w:name="_4f1mdlm" w:colFirst="0" w:colLast="0"/>
      <w:bookmarkEnd w:id="93"/>
      <w:r>
        <w:rPr>
          <w:rFonts w:ascii="Calibri" w:eastAsia="Calibri" w:hAnsi="Calibri" w:cs="Calibri"/>
          <w:i/>
          <w:color w:val="44546A"/>
          <w:sz w:val="18"/>
          <w:szCs w:val="18"/>
        </w:rPr>
        <w:t>Table 3: Items 353–370</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00" w:firstRow="0" w:lastRow="0" w:firstColumn="0" w:lastColumn="0" w:noHBand="0" w:noVBand="1"/>
      </w:tblPr>
      <w:tblGrid>
        <w:gridCol w:w="718"/>
        <w:gridCol w:w="3851"/>
        <w:gridCol w:w="957"/>
        <w:gridCol w:w="1153"/>
        <w:gridCol w:w="1145"/>
        <w:gridCol w:w="1192"/>
      </w:tblGrid>
      <w:tr w:rsidR="006D2440" w14:paraId="438AC460" w14:textId="77777777">
        <w:tc>
          <w:tcPr>
            <w:tcW w:w="718" w:type="dxa"/>
            <w:shd w:val="clear" w:color="auto" w:fill="01653F"/>
            <w:vAlign w:val="bottom"/>
          </w:tcPr>
          <w:p w14:paraId="47AEAFA1" w14:textId="77777777" w:rsidR="006D2440" w:rsidRDefault="004D7CE6">
            <w:pPr>
              <w:keepNext/>
              <w:spacing w:before="60" w:after="60" w:line="312" w:lineRule="auto"/>
              <w:rPr>
                <w:b/>
                <w:color w:val="FFFFFF"/>
                <w:sz w:val="18"/>
                <w:szCs w:val="18"/>
              </w:rPr>
            </w:pPr>
            <w:r>
              <w:rPr>
                <w:b/>
                <w:color w:val="FFFFFF"/>
                <w:sz w:val="18"/>
                <w:szCs w:val="18"/>
              </w:rPr>
              <w:t>Item</w:t>
            </w:r>
          </w:p>
        </w:tc>
        <w:tc>
          <w:tcPr>
            <w:tcW w:w="3851" w:type="dxa"/>
            <w:shd w:val="clear" w:color="auto" w:fill="01653F"/>
            <w:vAlign w:val="bottom"/>
          </w:tcPr>
          <w:p w14:paraId="139490DA" w14:textId="77777777" w:rsidR="006D2440" w:rsidRDefault="004D7CE6">
            <w:pPr>
              <w:keepNext/>
              <w:spacing w:before="60" w:after="60" w:line="312" w:lineRule="auto"/>
              <w:rPr>
                <w:b/>
                <w:color w:val="FFFFFF"/>
                <w:sz w:val="18"/>
                <w:szCs w:val="18"/>
              </w:rPr>
            </w:pPr>
            <w:r>
              <w:rPr>
                <w:b/>
                <w:color w:val="FFFFFF"/>
                <w:sz w:val="18"/>
                <w:szCs w:val="18"/>
              </w:rPr>
              <w:t>Short item descriptor</w:t>
            </w:r>
          </w:p>
        </w:tc>
        <w:tc>
          <w:tcPr>
            <w:tcW w:w="957" w:type="dxa"/>
            <w:shd w:val="clear" w:color="auto" w:fill="01653F"/>
            <w:vAlign w:val="bottom"/>
          </w:tcPr>
          <w:p w14:paraId="4585BB1C" w14:textId="77777777" w:rsidR="006D2440" w:rsidRDefault="004D7CE6">
            <w:pPr>
              <w:keepNext/>
              <w:spacing w:before="60" w:after="60" w:line="312" w:lineRule="auto"/>
              <w:rPr>
                <w:b/>
                <w:color w:val="FFFFFF"/>
                <w:sz w:val="18"/>
                <w:szCs w:val="18"/>
              </w:rPr>
            </w:pPr>
            <w:r>
              <w:rPr>
                <w:b/>
                <w:color w:val="FFFFFF"/>
                <w:sz w:val="18"/>
                <w:szCs w:val="18"/>
              </w:rPr>
              <w:t>Schedule fee</w:t>
            </w:r>
          </w:p>
        </w:tc>
        <w:tc>
          <w:tcPr>
            <w:tcW w:w="1153" w:type="dxa"/>
            <w:shd w:val="clear" w:color="auto" w:fill="01653F"/>
            <w:vAlign w:val="bottom"/>
          </w:tcPr>
          <w:p w14:paraId="3667F8B0" w14:textId="77777777" w:rsidR="006D2440" w:rsidRDefault="004D7CE6">
            <w:pPr>
              <w:keepNext/>
              <w:spacing w:before="60" w:after="60" w:line="312" w:lineRule="auto"/>
              <w:rPr>
                <w:b/>
                <w:color w:val="FFFFFF"/>
                <w:sz w:val="18"/>
                <w:szCs w:val="18"/>
              </w:rPr>
            </w:pPr>
            <w:r>
              <w:rPr>
                <w:b/>
                <w:color w:val="FFFFFF"/>
                <w:sz w:val="18"/>
                <w:szCs w:val="18"/>
              </w:rPr>
              <w:t>Services FY2016/17</w:t>
            </w:r>
          </w:p>
        </w:tc>
        <w:tc>
          <w:tcPr>
            <w:tcW w:w="1145" w:type="dxa"/>
            <w:shd w:val="clear" w:color="auto" w:fill="01653F"/>
            <w:vAlign w:val="bottom"/>
          </w:tcPr>
          <w:p w14:paraId="4DBC57C5" w14:textId="77777777" w:rsidR="006D2440" w:rsidRDefault="004D7CE6">
            <w:pPr>
              <w:keepNext/>
              <w:spacing w:before="60" w:after="60" w:line="312" w:lineRule="auto"/>
              <w:rPr>
                <w:b/>
                <w:color w:val="FFFFFF"/>
                <w:sz w:val="18"/>
                <w:szCs w:val="18"/>
              </w:rPr>
            </w:pPr>
            <w:r>
              <w:rPr>
                <w:b/>
                <w:color w:val="FFFFFF"/>
                <w:sz w:val="18"/>
                <w:szCs w:val="18"/>
              </w:rPr>
              <w:t>Benefits FY2016/17</w:t>
            </w:r>
          </w:p>
        </w:tc>
        <w:tc>
          <w:tcPr>
            <w:tcW w:w="1192" w:type="dxa"/>
            <w:shd w:val="clear" w:color="auto" w:fill="01653F"/>
            <w:vAlign w:val="bottom"/>
          </w:tcPr>
          <w:p w14:paraId="4D80069E" w14:textId="77777777" w:rsidR="006D2440" w:rsidRDefault="004D7CE6">
            <w:pPr>
              <w:keepNext/>
              <w:spacing w:before="60" w:after="60" w:line="312" w:lineRule="auto"/>
              <w:rPr>
                <w:b/>
                <w:color w:val="FFFFFF"/>
                <w:sz w:val="18"/>
                <w:szCs w:val="18"/>
              </w:rPr>
            </w:pPr>
            <w:r>
              <w:rPr>
                <w:b/>
                <w:color w:val="FFFFFF"/>
                <w:sz w:val="18"/>
                <w:szCs w:val="18"/>
              </w:rPr>
              <w:t>Services 5-year annual avg. growth</w:t>
            </w:r>
          </w:p>
        </w:tc>
      </w:tr>
      <w:tr w:rsidR="006D2440" w14:paraId="501D50E0" w14:textId="77777777">
        <w:tc>
          <w:tcPr>
            <w:tcW w:w="718" w:type="dxa"/>
          </w:tcPr>
          <w:p w14:paraId="3D9C5CB5" w14:textId="77777777" w:rsidR="006D2440" w:rsidRDefault="004D7CE6">
            <w:pPr>
              <w:spacing w:before="140" w:after="40" w:line="312" w:lineRule="auto"/>
              <w:rPr>
                <w:sz w:val="18"/>
                <w:szCs w:val="18"/>
              </w:rPr>
            </w:pPr>
            <w:r>
              <w:rPr>
                <w:sz w:val="18"/>
                <w:szCs w:val="18"/>
              </w:rPr>
              <w:t>353</w:t>
            </w:r>
          </w:p>
        </w:tc>
        <w:tc>
          <w:tcPr>
            <w:tcW w:w="3851" w:type="dxa"/>
          </w:tcPr>
          <w:p w14:paraId="329D70AF" w14:textId="77777777" w:rsidR="006D2440" w:rsidRDefault="004D7CE6">
            <w:pPr>
              <w:spacing w:before="140" w:after="40" w:line="312" w:lineRule="auto"/>
              <w:rPr>
                <w:sz w:val="18"/>
                <w:szCs w:val="18"/>
              </w:rPr>
            </w:pPr>
            <w:r>
              <w:rPr>
                <w:sz w:val="18"/>
                <w:szCs w:val="18"/>
              </w:rPr>
              <w:t>Telepsychiatry consultation &lt; 15 mins</w:t>
            </w:r>
          </w:p>
        </w:tc>
        <w:tc>
          <w:tcPr>
            <w:tcW w:w="957" w:type="dxa"/>
          </w:tcPr>
          <w:p w14:paraId="5CF8B6C0" w14:textId="77777777" w:rsidR="006D2440" w:rsidRDefault="004D7CE6">
            <w:pPr>
              <w:spacing w:before="140" w:after="40" w:line="312" w:lineRule="auto"/>
              <w:rPr>
                <w:sz w:val="18"/>
                <w:szCs w:val="18"/>
              </w:rPr>
            </w:pPr>
            <w:r>
              <w:rPr>
                <w:sz w:val="18"/>
                <w:szCs w:val="18"/>
              </w:rPr>
              <w:t>$57.20</w:t>
            </w:r>
          </w:p>
        </w:tc>
        <w:tc>
          <w:tcPr>
            <w:tcW w:w="1153" w:type="dxa"/>
          </w:tcPr>
          <w:p w14:paraId="4C87C109" w14:textId="77777777" w:rsidR="006D2440" w:rsidRDefault="004D7CE6">
            <w:pPr>
              <w:spacing w:before="140" w:after="40" w:line="312" w:lineRule="auto"/>
              <w:rPr>
                <w:sz w:val="18"/>
                <w:szCs w:val="18"/>
              </w:rPr>
            </w:pPr>
            <w:r>
              <w:rPr>
                <w:sz w:val="18"/>
                <w:szCs w:val="18"/>
              </w:rPr>
              <w:t>342</w:t>
            </w:r>
          </w:p>
        </w:tc>
        <w:tc>
          <w:tcPr>
            <w:tcW w:w="1145" w:type="dxa"/>
          </w:tcPr>
          <w:p w14:paraId="0F055595" w14:textId="77777777" w:rsidR="006D2440" w:rsidRDefault="004D7CE6">
            <w:pPr>
              <w:spacing w:before="140" w:after="40" w:line="312" w:lineRule="auto"/>
              <w:rPr>
                <w:sz w:val="18"/>
                <w:szCs w:val="18"/>
              </w:rPr>
            </w:pPr>
            <w:r>
              <w:rPr>
                <w:sz w:val="18"/>
                <w:szCs w:val="18"/>
              </w:rPr>
              <w:t>$17,415</w:t>
            </w:r>
          </w:p>
        </w:tc>
        <w:tc>
          <w:tcPr>
            <w:tcW w:w="1192" w:type="dxa"/>
          </w:tcPr>
          <w:p w14:paraId="5AB0EA67" w14:textId="77777777" w:rsidR="006D2440" w:rsidRDefault="004D7CE6">
            <w:pPr>
              <w:spacing w:before="140" w:after="40" w:line="312" w:lineRule="auto"/>
              <w:rPr>
                <w:sz w:val="18"/>
                <w:szCs w:val="18"/>
              </w:rPr>
            </w:pPr>
            <w:r>
              <w:rPr>
                <w:sz w:val="18"/>
                <w:szCs w:val="18"/>
              </w:rPr>
              <w:t>7.6%</w:t>
            </w:r>
          </w:p>
        </w:tc>
      </w:tr>
      <w:tr w:rsidR="006D2440" w14:paraId="272B40ED" w14:textId="77777777">
        <w:tc>
          <w:tcPr>
            <w:tcW w:w="718" w:type="dxa"/>
          </w:tcPr>
          <w:p w14:paraId="0FB48AF4" w14:textId="77777777" w:rsidR="006D2440" w:rsidRDefault="004D7CE6">
            <w:pPr>
              <w:spacing w:before="140" w:after="40" w:line="312" w:lineRule="auto"/>
              <w:rPr>
                <w:sz w:val="18"/>
                <w:szCs w:val="18"/>
              </w:rPr>
            </w:pPr>
            <w:r>
              <w:rPr>
                <w:sz w:val="18"/>
                <w:szCs w:val="18"/>
              </w:rPr>
              <w:t>355</w:t>
            </w:r>
          </w:p>
        </w:tc>
        <w:tc>
          <w:tcPr>
            <w:tcW w:w="3851" w:type="dxa"/>
          </w:tcPr>
          <w:p w14:paraId="1C43637F" w14:textId="77777777" w:rsidR="006D2440" w:rsidRDefault="004D7CE6">
            <w:pPr>
              <w:spacing w:before="140" w:after="40" w:line="312" w:lineRule="auto"/>
              <w:rPr>
                <w:sz w:val="18"/>
                <w:szCs w:val="18"/>
              </w:rPr>
            </w:pPr>
            <w:r>
              <w:rPr>
                <w:sz w:val="18"/>
                <w:szCs w:val="18"/>
              </w:rPr>
              <w:t>Telepsychiatry consultation &gt; 15 mins &lt; 30 mins</w:t>
            </w:r>
          </w:p>
        </w:tc>
        <w:tc>
          <w:tcPr>
            <w:tcW w:w="957" w:type="dxa"/>
          </w:tcPr>
          <w:p w14:paraId="604CC318" w14:textId="77777777" w:rsidR="006D2440" w:rsidRDefault="004D7CE6">
            <w:pPr>
              <w:spacing w:before="140" w:after="40" w:line="312" w:lineRule="auto"/>
              <w:rPr>
                <w:sz w:val="18"/>
                <w:szCs w:val="18"/>
              </w:rPr>
            </w:pPr>
            <w:r>
              <w:rPr>
                <w:sz w:val="18"/>
                <w:szCs w:val="18"/>
              </w:rPr>
              <w:t>$114.45</w:t>
            </w:r>
          </w:p>
        </w:tc>
        <w:tc>
          <w:tcPr>
            <w:tcW w:w="1153" w:type="dxa"/>
          </w:tcPr>
          <w:p w14:paraId="7BE56641" w14:textId="77777777" w:rsidR="006D2440" w:rsidRDefault="004D7CE6">
            <w:pPr>
              <w:spacing w:before="140" w:after="40" w:line="312" w:lineRule="auto"/>
              <w:rPr>
                <w:sz w:val="18"/>
                <w:szCs w:val="18"/>
              </w:rPr>
            </w:pPr>
            <w:r>
              <w:rPr>
                <w:sz w:val="18"/>
                <w:szCs w:val="18"/>
              </w:rPr>
              <w:t>887</w:t>
            </w:r>
          </w:p>
        </w:tc>
        <w:tc>
          <w:tcPr>
            <w:tcW w:w="1145" w:type="dxa"/>
          </w:tcPr>
          <w:p w14:paraId="2A90B317" w14:textId="77777777" w:rsidR="006D2440" w:rsidRDefault="004D7CE6">
            <w:pPr>
              <w:spacing w:before="140" w:after="40" w:line="312" w:lineRule="auto"/>
              <w:rPr>
                <w:sz w:val="18"/>
                <w:szCs w:val="18"/>
              </w:rPr>
            </w:pPr>
            <w:r>
              <w:rPr>
                <w:sz w:val="18"/>
                <w:szCs w:val="18"/>
              </w:rPr>
              <w:t>$91,513</w:t>
            </w:r>
          </w:p>
        </w:tc>
        <w:tc>
          <w:tcPr>
            <w:tcW w:w="1192" w:type="dxa"/>
          </w:tcPr>
          <w:p w14:paraId="0C334D5B" w14:textId="77777777" w:rsidR="006D2440" w:rsidRDefault="004D7CE6">
            <w:pPr>
              <w:spacing w:before="140" w:after="40" w:line="312" w:lineRule="auto"/>
              <w:rPr>
                <w:sz w:val="18"/>
                <w:szCs w:val="18"/>
              </w:rPr>
            </w:pPr>
            <w:r>
              <w:rPr>
                <w:sz w:val="18"/>
                <w:szCs w:val="18"/>
              </w:rPr>
              <w:t>0.7%</w:t>
            </w:r>
          </w:p>
        </w:tc>
      </w:tr>
      <w:tr w:rsidR="006D2440" w14:paraId="769842A3" w14:textId="77777777">
        <w:tc>
          <w:tcPr>
            <w:tcW w:w="718" w:type="dxa"/>
          </w:tcPr>
          <w:p w14:paraId="416685A9" w14:textId="77777777" w:rsidR="006D2440" w:rsidRDefault="004D7CE6">
            <w:pPr>
              <w:spacing w:before="140" w:after="40" w:line="312" w:lineRule="auto"/>
              <w:rPr>
                <w:sz w:val="18"/>
                <w:szCs w:val="18"/>
              </w:rPr>
            </w:pPr>
            <w:r>
              <w:rPr>
                <w:sz w:val="18"/>
                <w:szCs w:val="18"/>
              </w:rPr>
              <w:t>356</w:t>
            </w:r>
          </w:p>
        </w:tc>
        <w:tc>
          <w:tcPr>
            <w:tcW w:w="3851" w:type="dxa"/>
          </w:tcPr>
          <w:p w14:paraId="15227BC4" w14:textId="77777777" w:rsidR="006D2440" w:rsidRDefault="004D7CE6">
            <w:pPr>
              <w:spacing w:before="140" w:after="40" w:line="312" w:lineRule="auto"/>
              <w:rPr>
                <w:sz w:val="18"/>
                <w:szCs w:val="18"/>
              </w:rPr>
            </w:pPr>
            <w:r>
              <w:rPr>
                <w:sz w:val="18"/>
                <w:szCs w:val="18"/>
              </w:rPr>
              <w:t>Telepsychiatry consultation &gt; 30 mins &lt; 45 mins</w:t>
            </w:r>
          </w:p>
        </w:tc>
        <w:tc>
          <w:tcPr>
            <w:tcW w:w="957" w:type="dxa"/>
          </w:tcPr>
          <w:p w14:paraId="66F2B9BC" w14:textId="77777777" w:rsidR="006D2440" w:rsidRDefault="004D7CE6">
            <w:pPr>
              <w:spacing w:before="140" w:after="40" w:line="312" w:lineRule="auto"/>
              <w:rPr>
                <w:sz w:val="18"/>
                <w:szCs w:val="18"/>
              </w:rPr>
            </w:pPr>
            <w:r>
              <w:rPr>
                <w:sz w:val="18"/>
                <w:szCs w:val="18"/>
              </w:rPr>
              <w:t>$167.80</w:t>
            </w:r>
          </w:p>
        </w:tc>
        <w:tc>
          <w:tcPr>
            <w:tcW w:w="1153" w:type="dxa"/>
          </w:tcPr>
          <w:p w14:paraId="08CC4F98" w14:textId="77777777" w:rsidR="006D2440" w:rsidRDefault="004D7CE6">
            <w:pPr>
              <w:spacing w:before="140" w:after="40" w:line="312" w:lineRule="auto"/>
              <w:rPr>
                <w:sz w:val="18"/>
                <w:szCs w:val="18"/>
              </w:rPr>
            </w:pPr>
            <w:r>
              <w:rPr>
                <w:sz w:val="18"/>
                <w:szCs w:val="18"/>
              </w:rPr>
              <w:t>944</w:t>
            </w:r>
          </w:p>
        </w:tc>
        <w:tc>
          <w:tcPr>
            <w:tcW w:w="1145" w:type="dxa"/>
          </w:tcPr>
          <w:p w14:paraId="21163C15" w14:textId="77777777" w:rsidR="006D2440" w:rsidRDefault="004D7CE6">
            <w:pPr>
              <w:spacing w:before="140" w:after="40" w:line="312" w:lineRule="auto"/>
              <w:rPr>
                <w:sz w:val="18"/>
                <w:szCs w:val="18"/>
              </w:rPr>
            </w:pPr>
            <w:r>
              <w:rPr>
                <w:sz w:val="18"/>
                <w:szCs w:val="18"/>
              </w:rPr>
              <w:t>$141,379</w:t>
            </w:r>
          </w:p>
        </w:tc>
        <w:tc>
          <w:tcPr>
            <w:tcW w:w="1192" w:type="dxa"/>
          </w:tcPr>
          <w:p w14:paraId="6D0BBE81" w14:textId="77777777" w:rsidR="006D2440" w:rsidRDefault="004D7CE6">
            <w:pPr>
              <w:spacing w:before="140" w:after="40" w:line="312" w:lineRule="auto"/>
              <w:rPr>
                <w:sz w:val="18"/>
                <w:szCs w:val="18"/>
              </w:rPr>
            </w:pPr>
            <w:r>
              <w:rPr>
                <w:sz w:val="18"/>
                <w:szCs w:val="18"/>
              </w:rPr>
              <w:t>14.0%</w:t>
            </w:r>
          </w:p>
        </w:tc>
      </w:tr>
      <w:tr w:rsidR="006D2440" w14:paraId="078EB2EF" w14:textId="77777777">
        <w:tc>
          <w:tcPr>
            <w:tcW w:w="718" w:type="dxa"/>
          </w:tcPr>
          <w:p w14:paraId="4A415715" w14:textId="77777777" w:rsidR="006D2440" w:rsidRDefault="004D7CE6">
            <w:pPr>
              <w:spacing w:before="140" w:after="40" w:line="312" w:lineRule="auto"/>
              <w:rPr>
                <w:sz w:val="18"/>
                <w:szCs w:val="18"/>
              </w:rPr>
            </w:pPr>
            <w:r>
              <w:rPr>
                <w:sz w:val="18"/>
                <w:szCs w:val="18"/>
              </w:rPr>
              <w:t>357</w:t>
            </w:r>
          </w:p>
        </w:tc>
        <w:tc>
          <w:tcPr>
            <w:tcW w:w="3851" w:type="dxa"/>
          </w:tcPr>
          <w:p w14:paraId="47B6A1D0" w14:textId="77777777" w:rsidR="006D2440" w:rsidRDefault="004D7CE6">
            <w:pPr>
              <w:spacing w:before="140" w:after="40" w:line="312" w:lineRule="auto"/>
              <w:rPr>
                <w:sz w:val="18"/>
                <w:szCs w:val="18"/>
              </w:rPr>
            </w:pPr>
            <w:r>
              <w:rPr>
                <w:sz w:val="18"/>
                <w:szCs w:val="18"/>
              </w:rPr>
              <w:t>Telepsychiatry consultation &gt; 45 mins &lt; 75 mins</w:t>
            </w:r>
          </w:p>
        </w:tc>
        <w:tc>
          <w:tcPr>
            <w:tcW w:w="957" w:type="dxa"/>
          </w:tcPr>
          <w:p w14:paraId="446A7297" w14:textId="77777777" w:rsidR="006D2440" w:rsidRDefault="004D7CE6">
            <w:pPr>
              <w:spacing w:before="140" w:after="40" w:line="312" w:lineRule="auto"/>
              <w:rPr>
                <w:sz w:val="18"/>
                <w:szCs w:val="18"/>
              </w:rPr>
            </w:pPr>
            <w:r>
              <w:rPr>
                <w:sz w:val="18"/>
                <w:szCs w:val="18"/>
              </w:rPr>
              <w:t>$231.45</w:t>
            </w:r>
          </w:p>
        </w:tc>
        <w:tc>
          <w:tcPr>
            <w:tcW w:w="1153" w:type="dxa"/>
          </w:tcPr>
          <w:p w14:paraId="42BAF661" w14:textId="77777777" w:rsidR="006D2440" w:rsidRDefault="004D7CE6">
            <w:pPr>
              <w:spacing w:before="140" w:after="40" w:line="312" w:lineRule="auto"/>
              <w:rPr>
                <w:sz w:val="18"/>
                <w:szCs w:val="18"/>
              </w:rPr>
            </w:pPr>
            <w:r>
              <w:rPr>
                <w:sz w:val="18"/>
                <w:szCs w:val="18"/>
              </w:rPr>
              <w:t>621</w:t>
            </w:r>
          </w:p>
        </w:tc>
        <w:tc>
          <w:tcPr>
            <w:tcW w:w="1145" w:type="dxa"/>
          </w:tcPr>
          <w:p w14:paraId="198AB3D1" w14:textId="77777777" w:rsidR="006D2440" w:rsidRDefault="004D7CE6">
            <w:pPr>
              <w:spacing w:before="140" w:after="40" w:line="312" w:lineRule="auto"/>
              <w:rPr>
                <w:sz w:val="18"/>
                <w:szCs w:val="18"/>
              </w:rPr>
            </w:pPr>
            <w:r>
              <w:rPr>
                <w:sz w:val="18"/>
                <w:szCs w:val="18"/>
              </w:rPr>
              <w:t>$133,427</w:t>
            </w:r>
          </w:p>
        </w:tc>
        <w:tc>
          <w:tcPr>
            <w:tcW w:w="1192" w:type="dxa"/>
          </w:tcPr>
          <w:p w14:paraId="792124D3" w14:textId="77777777" w:rsidR="006D2440" w:rsidRDefault="004D7CE6">
            <w:pPr>
              <w:spacing w:before="140" w:after="40" w:line="312" w:lineRule="auto"/>
              <w:rPr>
                <w:sz w:val="18"/>
                <w:szCs w:val="18"/>
              </w:rPr>
            </w:pPr>
            <w:r>
              <w:rPr>
                <w:sz w:val="18"/>
                <w:szCs w:val="18"/>
              </w:rPr>
              <w:t>4.0%</w:t>
            </w:r>
          </w:p>
        </w:tc>
      </w:tr>
      <w:tr w:rsidR="006D2440" w14:paraId="4D661B4B" w14:textId="77777777">
        <w:tc>
          <w:tcPr>
            <w:tcW w:w="718" w:type="dxa"/>
          </w:tcPr>
          <w:p w14:paraId="08732D1B" w14:textId="77777777" w:rsidR="006D2440" w:rsidRDefault="004D7CE6">
            <w:pPr>
              <w:spacing w:before="140" w:after="40" w:line="312" w:lineRule="auto"/>
              <w:rPr>
                <w:sz w:val="18"/>
                <w:szCs w:val="18"/>
              </w:rPr>
            </w:pPr>
            <w:r>
              <w:rPr>
                <w:sz w:val="18"/>
                <w:szCs w:val="18"/>
              </w:rPr>
              <w:t>358</w:t>
            </w:r>
          </w:p>
        </w:tc>
        <w:tc>
          <w:tcPr>
            <w:tcW w:w="3851" w:type="dxa"/>
          </w:tcPr>
          <w:p w14:paraId="459613B7" w14:textId="77777777" w:rsidR="006D2440" w:rsidRDefault="004D7CE6">
            <w:pPr>
              <w:spacing w:before="140" w:after="40" w:line="312" w:lineRule="auto"/>
              <w:rPr>
                <w:sz w:val="18"/>
                <w:szCs w:val="18"/>
              </w:rPr>
            </w:pPr>
            <w:r>
              <w:rPr>
                <w:sz w:val="18"/>
                <w:szCs w:val="18"/>
              </w:rPr>
              <w:t>Telepsychiatry consultation &gt; 75 mins</w:t>
            </w:r>
          </w:p>
        </w:tc>
        <w:tc>
          <w:tcPr>
            <w:tcW w:w="957" w:type="dxa"/>
          </w:tcPr>
          <w:p w14:paraId="297F2215" w14:textId="77777777" w:rsidR="006D2440" w:rsidRDefault="004D7CE6">
            <w:pPr>
              <w:spacing w:before="140" w:after="40" w:line="312" w:lineRule="auto"/>
              <w:rPr>
                <w:sz w:val="18"/>
                <w:szCs w:val="18"/>
              </w:rPr>
            </w:pPr>
            <w:r>
              <w:rPr>
                <w:sz w:val="18"/>
                <w:szCs w:val="18"/>
              </w:rPr>
              <w:t>$282.00</w:t>
            </w:r>
          </w:p>
        </w:tc>
        <w:tc>
          <w:tcPr>
            <w:tcW w:w="1153" w:type="dxa"/>
          </w:tcPr>
          <w:p w14:paraId="0D4B47DD" w14:textId="77777777" w:rsidR="006D2440" w:rsidRDefault="004D7CE6">
            <w:pPr>
              <w:spacing w:before="140" w:after="40" w:line="312" w:lineRule="auto"/>
              <w:rPr>
                <w:sz w:val="18"/>
                <w:szCs w:val="18"/>
              </w:rPr>
            </w:pPr>
            <w:r>
              <w:rPr>
                <w:sz w:val="18"/>
                <w:szCs w:val="18"/>
              </w:rPr>
              <w:t>47</w:t>
            </w:r>
          </w:p>
        </w:tc>
        <w:tc>
          <w:tcPr>
            <w:tcW w:w="1145" w:type="dxa"/>
          </w:tcPr>
          <w:p w14:paraId="1C10A0A9" w14:textId="77777777" w:rsidR="006D2440" w:rsidRDefault="004D7CE6">
            <w:pPr>
              <w:spacing w:before="140" w:after="40" w:line="312" w:lineRule="auto"/>
              <w:rPr>
                <w:sz w:val="18"/>
                <w:szCs w:val="18"/>
              </w:rPr>
            </w:pPr>
            <w:r>
              <w:rPr>
                <w:sz w:val="18"/>
                <w:szCs w:val="18"/>
              </w:rPr>
              <w:t>$12,696</w:t>
            </w:r>
          </w:p>
        </w:tc>
        <w:tc>
          <w:tcPr>
            <w:tcW w:w="1192" w:type="dxa"/>
          </w:tcPr>
          <w:p w14:paraId="44F02FC9" w14:textId="77777777" w:rsidR="006D2440" w:rsidRDefault="004D7CE6">
            <w:pPr>
              <w:spacing w:before="140" w:after="40" w:line="312" w:lineRule="auto"/>
              <w:rPr>
                <w:sz w:val="18"/>
                <w:szCs w:val="18"/>
              </w:rPr>
            </w:pPr>
            <w:r>
              <w:rPr>
                <w:sz w:val="18"/>
                <w:szCs w:val="18"/>
              </w:rPr>
              <w:t>13.5%</w:t>
            </w:r>
          </w:p>
        </w:tc>
      </w:tr>
      <w:tr w:rsidR="006D2440" w14:paraId="4195309D" w14:textId="77777777">
        <w:tc>
          <w:tcPr>
            <w:tcW w:w="718" w:type="dxa"/>
          </w:tcPr>
          <w:p w14:paraId="6131EDF3" w14:textId="77777777" w:rsidR="006D2440" w:rsidRDefault="004D7CE6">
            <w:pPr>
              <w:spacing w:before="140" w:after="40" w:line="312" w:lineRule="auto"/>
              <w:rPr>
                <w:sz w:val="18"/>
                <w:szCs w:val="18"/>
              </w:rPr>
            </w:pPr>
            <w:r>
              <w:rPr>
                <w:sz w:val="18"/>
                <w:szCs w:val="18"/>
              </w:rPr>
              <w:t>359</w:t>
            </w:r>
          </w:p>
        </w:tc>
        <w:tc>
          <w:tcPr>
            <w:tcW w:w="3851" w:type="dxa"/>
          </w:tcPr>
          <w:p w14:paraId="53827E15" w14:textId="77777777" w:rsidR="006D2440" w:rsidRDefault="004D7CE6">
            <w:pPr>
              <w:spacing w:before="140" w:after="40" w:line="312" w:lineRule="auto"/>
              <w:rPr>
                <w:sz w:val="18"/>
                <w:szCs w:val="18"/>
              </w:rPr>
            </w:pPr>
            <w:r>
              <w:rPr>
                <w:sz w:val="18"/>
                <w:szCs w:val="18"/>
              </w:rPr>
              <w:t>Telepsychiatry review of referred patient assessment and management</w:t>
            </w:r>
          </w:p>
        </w:tc>
        <w:tc>
          <w:tcPr>
            <w:tcW w:w="957" w:type="dxa"/>
          </w:tcPr>
          <w:p w14:paraId="502BE0AB" w14:textId="77777777" w:rsidR="006D2440" w:rsidRDefault="004D7CE6">
            <w:pPr>
              <w:spacing w:before="140" w:after="40" w:line="312" w:lineRule="auto"/>
              <w:rPr>
                <w:sz w:val="18"/>
                <w:szCs w:val="18"/>
              </w:rPr>
            </w:pPr>
            <w:r>
              <w:rPr>
                <w:sz w:val="18"/>
                <w:szCs w:val="18"/>
              </w:rPr>
              <w:t>$325.35</w:t>
            </w:r>
          </w:p>
        </w:tc>
        <w:tc>
          <w:tcPr>
            <w:tcW w:w="1153" w:type="dxa"/>
          </w:tcPr>
          <w:p w14:paraId="3E56CF52" w14:textId="77777777" w:rsidR="006D2440" w:rsidRDefault="004D7CE6">
            <w:pPr>
              <w:spacing w:before="140" w:after="40" w:line="312" w:lineRule="auto"/>
              <w:rPr>
                <w:sz w:val="18"/>
                <w:szCs w:val="18"/>
              </w:rPr>
            </w:pPr>
            <w:r>
              <w:rPr>
                <w:sz w:val="18"/>
                <w:szCs w:val="18"/>
              </w:rPr>
              <w:t>10</w:t>
            </w:r>
          </w:p>
        </w:tc>
        <w:tc>
          <w:tcPr>
            <w:tcW w:w="1145" w:type="dxa"/>
          </w:tcPr>
          <w:p w14:paraId="235C5668" w14:textId="77777777" w:rsidR="006D2440" w:rsidRDefault="004D7CE6">
            <w:pPr>
              <w:spacing w:before="140" w:after="40" w:line="312" w:lineRule="auto"/>
              <w:rPr>
                <w:sz w:val="18"/>
                <w:szCs w:val="18"/>
              </w:rPr>
            </w:pPr>
            <w:r>
              <w:rPr>
                <w:sz w:val="18"/>
                <w:szCs w:val="18"/>
              </w:rPr>
              <w:t>$2,809</w:t>
            </w:r>
          </w:p>
        </w:tc>
        <w:tc>
          <w:tcPr>
            <w:tcW w:w="1192" w:type="dxa"/>
          </w:tcPr>
          <w:p w14:paraId="286B908D" w14:textId="77777777" w:rsidR="006D2440" w:rsidRDefault="004D7CE6">
            <w:pPr>
              <w:spacing w:before="140" w:after="40" w:line="312" w:lineRule="auto"/>
              <w:rPr>
                <w:sz w:val="18"/>
                <w:szCs w:val="18"/>
              </w:rPr>
            </w:pPr>
            <w:r>
              <w:rPr>
                <w:sz w:val="18"/>
                <w:szCs w:val="18"/>
              </w:rPr>
              <w:t>-41.3%</w:t>
            </w:r>
          </w:p>
        </w:tc>
      </w:tr>
      <w:tr w:rsidR="006D2440" w14:paraId="64BBEAF0" w14:textId="77777777">
        <w:tc>
          <w:tcPr>
            <w:tcW w:w="718" w:type="dxa"/>
          </w:tcPr>
          <w:p w14:paraId="1376C424" w14:textId="77777777" w:rsidR="006D2440" w:rsidRDefault="004D7CE6">
            <w:pPr>
              <w:spacing w:before="140" w:after="40" w:line="312" w:lineRule="auto"/>
              <w:rPr>
                <w:sz w:val="18"/>
                <w:szCs w:val="18"/>
              </w:rPr>
            </w:pPr>
            <w:r>
              <w:rPr>
                <w:sz w:val="18"/>
                <w:szCs w:val="18"/>
              </w:rPr>
              <w:t>361</w:t>
            </w:r>
          </w:p>
        </w:tc>
        <w:tc>
          <w:tcPr>
            <w:tcW w:w="3851" w:type="dxa"/>
          </w:tcPr>
          <w:p w14:paraId="4E4F4908" w14:textId="77777777" w:rsidR="006D2440" w:rsidRDefault="004D7CE6">
            <w:pPr>
              <w:spacing w:before="140" w:after="40" w:line="312" w:lineRule="auto"/>
              <w:rPr>
                <w:sz w:val="18"/>
                <w:szCs w:val="18"/>
              </w:rPr>
            </w:pPr>
            <w:r>
              <w:rPr>
                <w:sz w:val="18"/>
                <w:szCs w:val="18"/>
              </w:rPr>
              <w:t>Telepsychiatry initial consultation with new patient &gt; 45 mins</w:t>
            </w:r>
          </w:p>
        </w:tc>
        <w:tc>
          <w:tcPr>
            <w:tcW w:w="957" w:type="dxa"/>
          </w:tcPr>
          <w:p w14:paraId="52B19B56" w14:textId="77777777" w:rsidR="006D2440" w:rsidRDefault="004D7CE6">
            <w:pPr>
              <w:spacing w:before="140" w:after="40" w:line="312" w:lineRule="auto"/>
              <w:rPr>
                <w:sz w:val="18"/>
                <w:szCs w:val="18"/>
              </w:rPr>
            </w:pPr>
            <w:r>
              <w:rPr>
                <w:sz w:val="18"/>
                <w:szCs w:val="18"/>
              </w:rPr>
              <w:t>$299.30</w:t>
            </w:r>
          </w:p>
        </w:tc>
        <w:tc>
          <w:tcPr>
            <w:tcW w:w="1153" w:type="dxa"/>
          </w:tcPr>
          <w:p w14:paraId="02A10D82" w14:textId="77777777" w:rsidR="006D2440" w:rsidRDefault="004D7CE6">
            <w:pPr>
              <w:spacing w:before="140" w:after="40" w:line="312" w:lineRule="auto"/>
              <w:rPr>
                <w:sz w:val="18"/>
                <w:szCs w:val="18"/>
              </w:rPr>
            </w:pPr>
            <w:r>
              <w:rPr>
                <w:sz w:val="18"/>
                <w:szCs w:val="18"/>
              </w:rPr>
              <w:t>75</w:t>
            </w:r>
          </w:p>
        </w:tc>
        <w:tc>
          <w:tcPr>
            <w:tcW w:w="1145" w:type="dxa"/>
          </w:tcPr>
          <w:p w14:paraId="778FF0D7" w14:textId="77777777" w:rsidR="006D2440" w:rsidRDefault="004D7CE6">
            <w:pPr>
              <w:spacing w:before="140" w:after="40" w:line="312" w:lineRule="auto"/>
              <w:rPr>
                <w:sz w:val="18"/>
                <w:szCs w:val="18"/>
              </w:rPr>
            </w:pPr>
            <w:r>
              <w:rPr>
                <w:sz w:val="18"/>
                <w:szCs w:val="18"/>
              </w:rPr>
              <w:t xml:space="preserve">$19,337 </w:t>
            </w:r>
          </w:p>
        </w:tc>
        <w:tc>
          <w:tcPr>
            <w:tcW w:w="1192" w:type="dxa"/>
          </w:tcPr>
          <w:p w14:paraId="68176649" w14:textId="77777777" w:rsidR="006D2440" w:rsidRDefault="004D7CE6">
            <w:pPr>
              <w:spacing w:before="140" w:after="40" w:line="312" w:lineRule="auto"/>
              <w:rPr>
                <w:sz w:val="18"/>
                <w:szCs w:val="18"/>
              </w:rPr>
            </w:pPr>
            <w:r>
              <w:rPr>
                <w:sz w:val="18"/>
                <w:szCs w:val="18"/>
              </w:rPr>
              <w:t>31.6%</w:t>
            </w:r>
          </w:p>
        </w:tc>
      </w:tr>
      <w:tr w:rsidR="006D2440" w14:paraId="364CD5E2" w14:textId="77777777">
        <w:tc>
          <w:tcPr>
            <w:tcW w:w="718" w:type="dxa"/>
          </w:tcPr>
          <w:p w14:paraId="1830F306" w14:textId="77777777" w:rsidR="006D2440" w:rsidRDefault="004D7CE6">
            <w:pPr>
              <w:spacing w:before="140" w:after="40" w:line="312" w:lineRule="auto"/>
              <w:rPr>
                <w:sz w:val="18"/>
                <w:szCs w:val="18"/>
              </w:rPr>
            </w:pPr>
            <w:r>
              <w:rPr>
                <w:sz w:val="18"/>
                <w:szCs w:val="18"/>
              </w:rPr>
              <w:t>364</w:t>
            </w:r>
          </w:p>
        </w:tc>
        <w:tc>
          <w:tcPr>
            <w:tcW w:w="3851" w:type="dxa"/>
          </w:tcPr>
          <w:p w14:paraId="28E7EDFF" w14:textId="77777777" w:rsidR="006D2440" w:rsidRDefault="004D7CE6">
            <w:pPr>
              <w:spacing w:before="140" w:after="40" w:line="312" w:lineRule="auto"/>
              <w:rPr>
                <w:sz w:val="18"/>
                <w:szCs w:val="18"/>
              </w:rPr>
            </w:pPr>
            <w:r>
              <w:rPr>
                <w:sz w:val="18"/>
                <w:szCs w:val="18"/>
              </w:rPr>
              <w:t>Attendance by psychiatrist after telepsychiatry consultation &lt; 15 mins</w:t>
            </w:r>
          </w:p>
        </w:tc>
        <w:tc>
          <w:tcPr>
            <w:tcW w:w="957" w:type="dxa"/>
          </w:tcPr>
          <w:p w14:paraId="64A207AE" w14:textId="77777777" w:rsidR="006D2440" w:rsidRDefault="004D7CE6">
            <w:pPr>
              <w:spacing w:before="140" w:after="40" w:line="312" w:lineRule="auto"/>
              <w:rPr>
                <w:sz w:val="18"/>
                <w:szCs w:val="18"/>
              </w:rPr>
            </w:pPr>
            <w:r>
              <w:rPr>
                <w:sz w:val="18"/>
                <w:szCs w:val="18"/>
              </w:rPr>
              <w:t>$43.35</w:t>
            </w:r>
          </w:p>
        </w:tc>
        <w:tc>
          <w:tcPr>
            <w:tcW w:w="1153" w:type="dxa"/>
          </w:tcPr>
          <w:p w14:paraId="370D9952" w14:textId="77777777" w:rsidR="006D2440" w:rsidRDefault="004D7CE6">
            <w:pPr>
              <w:spacing w:before="140" w:after="40" w:line="312" w:lineRule="auto"/>
              <w:rPr>
                <w:sz w:val="18"/>
                <w:szCs w:val="18"/>
              </w:rPr>
            </w:pPr>
            <w:r>
              <w:rPr>
                <w:sz w:val="18"/>
                <w:szCs w:val="18"/>
              </w:rPr>
              <w:t>4</w:t>
            </w:r>
          </w:p>
        </w:tc>
        <w:tc>
          <w:tcPr>
            <w:tcW w:w="1145" w:type="dxa"/>
          </w:tcPr>
          <w:p w14:paraId="1FBFA2FA" w14:textId="77777777" w:rsidR="006D2440" w:rsidRDefault="004D7CE6">
            <w:pPr>
              <w:spacing w:before="140" w:after="40" w:line="312" w:lineRule="auto"/>
              <w:rPr>
                <w:sz w:val="18"/>
                <w:szCs w:val="18"/>
              </w:rPr>
            </w:pPr>
            <w:r>
              <w:rPr>
                <w:sz w:val="18"/>
                <w:szCs w:val="18"/>
              </w:rPr>
              <w:t xml:space="preserve">$195 </w:t>
            </w:r>
          </w:p>
        </w:tc>
        <w:tc>
          <w:tcPr>
            <w:tcW w:w="1192" w:type="dxa"/>
          </w:tcPr>
          <w:p w14:paraId="15DC0F8A" w14:textId="77777777" w:rsidR="006D2440" w:rsidRDefault="004D7CE6">
            <w:pPr>
              <w:spacing w:before="140" w:after="40" w:line="312" w:lineRule="auto"/>
              <w:rPr>
                <w:sz w:val="18"/>
                <w:szCs w:val="18"/>
              </w:rPr>
            </w:pPr>
            <w:r>
              <w:rPr>
                <w:sz w:val="18"/>
                <w:szCs w:val="18"/>
              </w:rPr>
              <w:t>N/A</w:t>
            </w:r>
          </w:p>
        </w:tc>
      </w:tr>
      <w:tr w:rsidR="006D2440" w14:paraId="49E43E0C" w14:textId="77777777">
        <w:tc>
          <w:tcPr>
            <w:tcW w:w="718" w:type="dxa"/>
          </w:tcPr>
          <w:p w14:paraId="3CB61425" w14:textId="77777777" w:rsidR="006D2440" w:rsidRDefault="004D7CE6">
            <w:pPr>
              <w:spacing w:before="140" w:after="40" w:line="312" w:lineRule="auto"/>
              <w:rPr>
                <w:sz w:val="18"/>
                <w:szCs w:val="18"/>
              </w:rPr>
            </w:pPr>
            <w:r>
              <w:rPr>
                <w:sz w:val="18"/>
                <w:szCs w:val="18"/>
              </w:rPr>
              <w:t>366</w:t>
            </w:r>
          </w:p>
        </w:tc>
        <w:tc>
          <w:tcPr>
            <w:tcW w:w="3851" w:type="dxa"/>
          </w:tcPr>
          <w:p w14:paraId="302FAF80" w14:textId="77777777" w:rsidR="006D2440" w:rsidRDefault="004D7CE6">
            <w:pPr>
              <w:spacing w:before="140" w:after="40" w:line="312" w:lineRule="auto"/>
              <w:rPr>
                <w:sz w:val="18"/>
                <w:szCs w:val="18"/>
              </w:rPr>
            </w:pPr>
            <w:r>
              <w:rPr>
                <w:sz w:val="18"/>
                <w:szCs w:val="18"/>
              </w:rPr>
              <w:t>Attendance by psychiatrist after telepsychiatry consultation &gt; 15 mins &lt; 30 mins</w:t>
            </w:r>
          </w:p>
        </w:tc>
        <w:tc>
          <w:tcPr>
            <w:tcW w:w="957" w:type="dxa"/>
          </w:tcPr>
          <w:p w14:paraId="306C9618" w14:textId="77777777" w:rsidR="006D2440" w:rsidRDefault="004D7CE6">
            <w:pPr>
              <w:spacing w:before="140" w:after="40" w:line="312" w:lineRule="auto"/>
              <w:rPr>
                <w:sz w:val="18"/>
                <w:szCs w:val="18"/>
              </w:rPr>
            </w:pPr>
            <w:r>
              <w:rPr>
                <w:sz w:val="18"/>
                <w:szCs w:val="18"/>
              </w:rPr>
              <w:t>$86.45</w:t>
            </w:r>
          </w:p>
        </w:tc>
        <w:tc>
          <w:tcPr>
            <w:tcW w:w="1153" w:type="dxa"/>
          </w:tcPr>
          <w:p w14:paraId="50C6F354" w14:textId="77777777" w:rsidR="006D2440" w:rsidRDefault="004D7CE6">
            <w:pPr>
              <w:spacing w:before="140" w:after="40" w:line="312" w:lineRule="auto"/>
              <w:rPr>
                <w:sz w:val="18"/>
                <w:szCs w:val="18"/>
              </w:rPr>
            </w:pPr>
            <w:r>
              <w:rPr>
                <w:sz w:val="18"/>
                <w:szCs w:val="18"/>
              </w:rPr>
              <w:t>11</w:t>
            </w:r>
          </w:p>
        </w:tc>
        <w:tc>
          <w:tcPr>
            <w:tcW w:w="1145" w:type="dxa"/>
          </w:tcPr>
          <w:p w14:paraId="7B71CAD5" w14:textId="77777777" w:rsidR="006D2440" w:rsidRDefault="004D7CE6">
            <w:pPr>
              <w:spacing w:before="140" w:after="40" w:line="312" w:lineRule="auto"/>
              <w:rPr>
                <w:sz w:val="18"/>
                <w:szCs w:val="18"/>
              </w:rPr>
            </w:pPr>
            <w:r>
              <w:rPr>
                <w:sz w:val="18"/>
                <w:szCs w:val="18"/>
              </w:rPr>
              <w:t xml:space="preserve">$809 </w:t>
            </w:r>
          </w:p>
        </w:tc>
        <w:tc>
          <w:tcPr>
            <w:tcW w:w="1192" w:type="dxa"/>
          </w:tcPr>
          <w:p w14:paraId="577F4E1B" w14:textId="77777777" w:rsidR="006D2440" w:rsidRDefault="004D7CE6">
            <w:pPr>
              <w:spacing w:before="140" w:after="40" w:line="312" w:lineRule="auto"/>
              <w:rPr>
                <w:sz w:val="18"/>
                <w:szCs w:val="18"/>
              </w:rPr>
            </w:pPr>
            <w:r>
              <w:rPr>
                <w:sz w:val="18"/>
                <w:szCs w:val="18"/>
              </w:rPr>
              <w:t>29.7%</w:t>
            </w:r>
          </w:p>
        </w:tc>
      </w:tr>
      <w:tr w:rsidR="006D2440" w14:paraId="11503354" w14:textId="77777777">
        <w:tc>
          <w:tcPr>
            <w:tcW w:w="718" w:type="dxa"/>
          </w:tcPr>
          <w:p w14:paraId="542D1CD6" w14:textId="77777777" w:rsidR="006D2440" w:rsidRDefault="004D7CE6">
            <w:pPr>
              <w:spacing w:before="140" w:after="40" w:line="312" w:lineRule="auto"/>
              <w:rPr>
                <w:sz w:val="18"/>
                <w:szCs w:val="18"/>
              </w:rPr>
            </w:pPr>
            <w:r>
              <w:rPr>
                <w:sz w:val="18"/>
                <w:szCs w:val="18"/>
              </w:rPr>
              <w:t>367</w:t>
            </w:r>
          </w:p>
        </w:tc>
        <w:tc>
          <w:tcPr>
            <w:tcW w:w="3851" w:type="dxa"/>
          </w:tcPr>
          <w:p w14:paraId="61B82CB6" w14:textId="77777777" w:rsidR="006D2440" w:rsidRDefault="004D7CE6">
            <w:pPr>
              <w:spacing w:before="140" w:after="40" w:line="312" w:lineRule="auto"/>
              <w:rPr>
                <w:sz w:val="18"/>
                <w:szCs w:val="18"/>
              </w:rPr>
            </w:pPr>
            <w:r>
              <w:rPr>
                <w:sz w:val="18"/>
                <w:szCs w:val="18"/>
              </w:rPr>
              <w:t>Attendance by psychiatrist after telepsychiatry consultation &gt; 30 mins &lt; 45mins</w:t>
            </w:r>
          </w:p>
        </w:tc>
        <w:tc>
          <w:tcPr>
            <w:tcW w:w="957" w:type="dxa"/>
          </w:tcPr>
          <w:p w14:paraId="71981C54" w14:textId="77777777" w:rsidR="006D2440" w:rsidRDefault="004D7CE6">
            <w:pPr>
              <w:spacing w:before="140" w:after="40" w:line="312" w:lineRule="auto"/>
              <w:rPr>
                <w:sz w:val="18"/>
                <w:szCs w:val="18"/>
              </w:rPr>
            </w:pPr>
            <w:r>
              <w:rPr>
                <w:sz w:val="18"/>
                <w:szCs w:val="18"/>
              </w:rPr>
              <w:t>$133.10</w:t>
            </w:r>
          </w:p>
        </w:tc>
        <w:tc>
          <w:tcPr>
            <w:tcW w:w="1153" w:type="dxa"/>
          </w:tcPr>
          <w:p w14:paraId="7383B707" w14:textId="77777777" w:rsidR="006D2440" w:rsidRDefault="004D7CE6">
            <w:pPr>
              <w:spacing w:before="140" w:after="40" w:line="312" w:lineRule="auto"/>
              <w:rPr>
                <w:sz w:val="18"/>
                <w:szCs w:val="18"/>
              </w:rPr>
            </w:pPr>
            <w:r>
              <w:rPr>
                <w:sz w:val="18"/>
                <w:szCs w:val="18"/>
              </w:rPr>
              <w:t>25</w:t>
            </w:r>
          </w:p>
        </w:tc>
        <w:tc>
          <w:tcPr>
            <w:tcW w:w="1145" w:type="dxa"/>
          </w:tcPr>
          <w:p w14:paraId="1F1172C5" w14:textId="77777777" w:rsidR="006D2440" w:rsidRDefault="004D7CE6">
            <w:pPr>
              <w:spacing w:before="140" w:after="40" w:line="312" w:lineRule="auto"/>
              <w:rPr>
                <w:sz w:val="18"/>
                <w:szCs w:val="18"/>
              </w:rPr>
            </w:pPr>
            <w:r>
              <w:rPr>
                <w:sz w:val="18"/>
                <w:szCs w:val="18"/>
              </w:rPr>
              <w:t xml:space="preserve">$3,044 </w:t>
            </w:r>
          </w:p>
        </w:tc>
        <w:tc>
          <w:tcPr>
            <w:tcW w:w="1192" w:type="dxa"/>
          </w:tcPr>
          <w:p w14:paraId="7B6CA057" w14:textId="77777777" w:rsidR="006D2440" w:rsidRDefault="004D7CE6">
            <w:pPr>
              <w:spacing w:before="140" w:after="40" w:line="312" w:lineRule="auto"/>
              <w:rPr>
                <w:sz w:val="18"/>
                <w:szCs w:val="18"/>
              </w:rPr>
            </w:pPr>
            <w:r>
              <w:rPr>
                <w:sz w:val="18"/>
                <w:szCs w:val="18"/>
              </w:rPr>
              <w:t>90.4%</w:t>
            </w:r>
          </w:p>
        </w:tc>
      </w:tr>
      <w:tr w:rsidR="006D2440" w14:paraId="43DAC5EE" w14:textId="77777777">
        <w:tc>
          <w:tcPr>
            <w:tcW w:w="718" w:type="dxa"/>
          </w:tcPr>
          <w:p w14:paraId="4CCDCB99" w14:textId="77777777" w:rsidR="006D2440" w:rsidRDefault="004D7CE6">
            <w:pPr>
              <w:spacing w:before="140" w:after="40" w:line="312" w:lineRule="auto"/>
              <w:rPr>
                <w:sz w:val="18"/>
                <w:szCs w:val="18"/>
              </w:rPr>
            </w:pPr>
            <w:r>
              <w:rPr>
                <w:sz w:val="18"/>
                <w:szCs w:val="18"/>
              </w:rPr>
              <w:t>369</w:t>
            </w:r>
          </w:p>
        </w:tc>
        <w:tc>
          <w:tcPr>
            <w:tcW w:w="3851" w:type="dxa"/>
          </w:tcPr>
          <w:p w14:paraId="0E087B43" w14:textId="77777777" w:rsidR="006D2440" w:rsidRDefault="004D7CE6">
            <w:pPr>
              <w:spacing w:before="140" w:after="40" w:line="312" w:lineRule="auto"/>
              <w:rPr>
                <w:sz w:val="18"/>
                <w:szCs w:val="18"/>
              </w:rPr>
            </w:pPr>
            <w:r>
              <w:rPr>
                <w:sz w:val="18"/>
                <w:szCs w:val="18"/>
              </w:rPr>
              <w:t>Attendance by psychiatrist after telepsychiatry consultation &gt; 45 mins &lt; 75 mins</w:t>
            </w:r>
          </w:p>
        </w:tc>
        <w:tc>
          <w:tcPr>
            <w:tcW w:w="957" w:type="dxa"/>
          </w:tcPr>
          <w:p w14:paraId="766D622C" w14:textId="77777777" w:rsidR="006D2440" w:rsidRDefault="004D7CE6">
            <w:pPr>
              <w:spacing w:before="140" w:after="40" w:line="312" w:lineRule="auto"/>
              <w:rPr>
                <w:sz w:val="18"/>
                <w:szCs w:val="18"/>
              </w:rPr>
            </w:pPr>
            <w:r>
              <w:rPr>
                <w:sz w:val="18"/>
                <w:szCs w:val="18"/>
              </w:rPr>
              <w:t>$183.80</w:t>
            </w:r>
          </w:p>
        </w:tc>
        <w:tc>
          <w:tcPr>
            <w:tcW w:w="1153" w:type="dxa"/>
          </w:tcPr>
          <w:p w14:paraId="5D5C31F6" w14:textId="77777777" w:rsidR="006D2440" w:rsidRDefault="004D7CE6">
            <w:pPr>
              <w:spacing w:before="140" w:after="40" w:line="312" w:lineRule="auto"/>
              <w:rPr>
                <w:sz w:val="18"/>
                <w:szCs w:val="18"/>
              </w:rPr>
            </w:pPr>
            <w:r>
              <w:rPr>
                <w:sz w:val="18"/>
                <w:szCs w:val="18"/>
              </w:rPr>
              <w:t>141</w:t>
            </w:r>
          </w:p>
        </w:tc>
        <w:tc>
          <w:tcPr>
            <w:tcW w:w="1145" w:type="dxa"/>
          </w:tcPr>
          <w:p w14:paraId="34F58D80" w14:textId="77777777" w:rsidR="006D2440" w:rsidRDefault="004D7CE6">
            <w:pPr>
              <w:spacing w:before="140" w:after="40" w:line="312" w:lineRule="auto"/>
              <w:rPr>
                <w:sz w:val="18"/>
                <w:szCs w:val="18"/>
              </w:rPr>
            </w:pPr>
            <w:r>
              <w:rPr>
                <w:sz w:val="18"/>
                <w:szCs w:val="18"/>
              </w:rPr>
              <w:t xml:space="preserve">$25,794 </w:t>
            </w:r>
          </w:p>
        </w:tc>
        <w:tc>
          <w:tcPr>
            <w:tcW w:w="1192" w:type="dxa"/>
          </w:tcPr>
          <w:p w14:paraId="4B4226E4" w14:textId="77777777" w:rsidR="006D2440" w:rsidRDefault="004D7CE6">
            <w:pPr>
              <w:spacing w:before="140" w:after="40" w:line="312" w:lineRule="auto"/>
              <w:rPr>
                <w:sz w:val="18"/>
                <w:szCs w:val="18"/>
              </w:rPr>
            </w:pPr>
            <w:r>
              <w:rPr>
                <w:sz w:val="18"/>
                <w:szCs w:val="18"/>
              </w:rPr>
              <w:t>52.7%</w:t>
            </w:r>
          </w:p>
        </w:tc>
      </w:tr>
      <w:tr w:rsidR="006D2440" w14:paraId="589605E9" w14:textId="77777777">
        <w:tc>
          <w:tcPr>
            <w:tcW w:w="718" w:type="dxa"/>
          </w:tcPr>
          <w:p w14:paraId="3AE811C7" w14:textId="77777777" w:rsidR="006D2440" w:rsidRDefault="004D7CE6">
            <w:pPr>
              <w:spacing w:before="140" w:after="40" w:line="312" w:lineRule="auto"/>
              <w:rPr>
                <w:sz w:val="18"/>
                <w:szCs w:val="18"/>
              </w:rPr>
            </w:pPr>
            <w:r>
              <w:rPr>
                <w:sz w:val="18"/>
                <w:szCs w:val="18"/>
              </w:rPr>
              <w:lastRenderedPageBreak/>
              <w:t>370</w:t>
            </w:r>
          </w:p>
        </w:tc>
        <w:tc>
          <w:tcPr>
            <w:tcW w:w="3851" w:type="dxa"/>
          </w:tcPr>
          <w:p w14:paraId="73FEE2B8" w14:textId="77777777" w:rsidR="006D2440" w:rsidRDefault="004D7CE6">
            <w:pPr>
              <w:spacing w:before="140" w:after="40" w:line="312" w:lineRule="auto"/>
              <w:rPr>
                <w:sz w:val="18"/>
                <w:szCs w:val="18"/>
              </w:rPr>
            </w:pPr>
            <w:r>
              <w:rPr>
                <w:sz w:val="18"/>
                <w:szCs w:val="18"/>
              </w:rPr>
              <w:t>Attendance by psychiatrist after telepsychiatry consultation &gt; 75 mins</w:t>
            </w:r>
          </w:p>
        </w:tc>
        <w:tc>
          <w:tcPr>
            <w:tcW w:w="957" w:type="dxa"/>
          </w:tcPr>
          <w:p w14:paraId="144CAE79" w14:textId="77777777" w:rsidR="006D2440" w:rsidRDefault="004D7CE6">
            <w:pPr>
              <w:spacing w:before="140" w:after="40" w:line="312" w:lineRule="auto"/>
              <w:rPr>
                <w:sz w:val="18"/>
                <w:szCs w:val="18"/>
              </w:rPr>
            </w:pPr>
            <w:r>
              <w:rPr>
                <w:sz w:val="18"/>
                <w:szCs w:val="18"/>
              </w:rPr>
              <w:t>$213.15</w:t>
            </w:r>
          </w:p>
        </w:tc>
        <w:tc>
          <w:tcPr>
            <w:tcW w:w="1153" w:type="dxa"/>
          </w:tcPr>
          <w:p w14:paraId="5CCE14B9" w14:textId="77777777" w:rsidR="006D2440" w:rsidRDefault="004D7CE6">
            <w:pPr>
              <w:spacing w:before="140" w:after="40" w:line="312" w:lineRule="auto"/>
              <w:rPr>
                <w:sz w:val="18"/>
                <w:szCs w:val="18"/>
              </w:rPr>
            </w:pPr>
            <w:r>
              <w:rPr>
                <w:sz w:val="18"/>
                <w:szCs w:val="18"/>
              </w:rPr>
              <w:t>2</w:t>
            </w:r>
          </w:p>
        </w:tc>
        <w:tc>
          <w:tcPr>
            <w:tcW w:w="1145" w:type="dxa"/>
          </w:tcPr>
          <w:p w14:paraId="68FDE2F5" w14:textId="77777777" w:rsidR="006D2440" w:rsidRDefault="004D7CE6">
            <w:pPr>
              <w:spacing w:before="140" w:after="40" w:line="312" w:lineRule="auto"/>
              <w:rPr>
                <w:sz w:val="18"/>
                <w:szCs w:val="18"/>
              </w:rPr>
            </w:pPr>
            <w:r>
              <w:rPr>
                <w:sz w:val="18"/>
                <w:szCs w:val="18"/>
              </w:rPr>
              <w:t xml:space="preserve">$665 </w:t>
            </w:r>
          </w:p>
        </w:tc>
        <w:tc>
          <w:tcPr>
            <w:tcW w:w="1192" w:type="dxa"/>
          </w:tcPr>
          <w:p w14:paraId="6EF8C477" w14:textId="77777777" w:rsidR="006D2440" w:rsidRDefault="004D7CE6">
            <w:pPr>
              <w:spacing w:before="140" w:after="40" w:line="312" w:lineRule="auto"/>
              <w:rPr>
                <w:sz w:val="18"/>
                <w:szCs w:val="18"/>
              </w:rPr>
            </w:pPr>
            <w:r>
              <w:rPr>
                <w:sz w:val="18"/>
                <w:szCs w:val="18"/>
              </w:rPr>
              <w:t>N/A</w:t>
            </w:r>
          </w:p>
        </w:tc>
      </w:tr>
    </w:tbl>
    <w:p w14:paraId="0E6D9F14" w14:textId="77777777" w:rsidR="006D2440" w:rsidRDefault="004D7CE6" w:rsidP="00165E5B">
      <w:pPr>
        <w:pStyle w:val="Style4"/>
        <w:spacing w:before="0" w:line="240" w:lineRule="auto"/>
        <w:ind w:left="205" w:firstLine="0"/>
      </w:pPr>
      <w:bookmarkStart w:id="94" w:name="_2u6wntf" w:colFirst="0" w:colLast="0"/>
      <w:bookmarkEnd w:id="94"/>
      <w:r>
        <w:t>Recommendation 4 - Continue arrangements for items 353 to 370 - consultations with psychiatrists via the phone in regional and remote areas</w:t>
      </w:r>
    </w:p>
    <w:p w14:paraId="1E7C772B" w14:textId="77777777" w:rsidR="006D2440" w:rsidRDefault="004D7CE6" w:rsidP="00165E5B">
      <w:pPr>
        <w:spacing w:after="120" w:line="240" w:lineRule="auto"/>
        <w:ind w:left="573" w:hanging="431"/>
        <w:rPr>
          <w:rFonts w:ascii="Calibri" w:eastAsia="Calibri" w:hAnsi="Calibri" w:cs="Calibri"/>
        </w:rPr>
      </w:pPr>
      <w:r>
        <w:rPr>
          <w:rFonts w:ascii="Calibri" w:eastAsia="Calibri" w:hAnsi="Calibri" w:cs="Calibri"/>
        </w:rPr>
        <w:t>The Committee recommends:</w:t>
      </w:r>
    </w:p>
    <w:p w14:paraId="27F4693D" w14:textId="77777777" w:rsidR="006D2440" w:rsidRDefault="004D7CE6" w:rsidP="00165E5B">
      <w:pPr>
        <w:numPr>
          <w:ilvl w:val="0"/>
          <w:numId w:val="22"/>
        </w:numPr>
        <w:spacing w:after="120" w:line="240" w:lineRule="auto"/>
        <w:rPr>
          <w:rFonts w:ascii="Calibri" w:eastAsia="Calibri" w:hAnsi="Calibri" w:cs="Calibri"/>
        </w:rPr>
      </w:pPr>
      <w:r>
        <w:rPr>
          <w:rFonts w:ascii="Calibri" w:eastAsia="Calibri" w:hAnsi="Calibri" w:cs="Calibri"/>
        </w:rPr>
        <w:t>retaining the telepsychiatry items on the MBS, as they are still providing a high value service to patients who currently access these services,</w:t>
      </w:r>
    </w:p>
    <w:p w14:paraId="667620F9" w14:textId="77777777" w:rsidR="006D2440" w:rsidRDefault="004D7CE6" w:rsidP="00165E5B">
      <w:pPr>
        <w:numPr>
          <w:ilvl w:val="0"/>
          <w:numId w:val="22"/>
        </w:numPr>
        <w:spacing w:after="120" w:line="240" w:lineRule="auto"/>
        <w:rPr>
          <w:rFonts w:ascii="Calibri" w:eastAsia="Calibri" w:hAnsi="Calibri" w:cs="Calibri"/>
        </w:rPr>
      </w:pPr>
      <w:r>
        <w:rPr>
          <w:rFonts w:ascii="Calibri" w:eastAsia="Calibri" w:hAnsi="Calibri" w:cs="Calibri"/>
        </w:rPr>
        <w:t>aligning the schedule fees for these items with the consultation items 300–308, and items 296 and 297 for the initial consultation item via telepsychiatry, and</w:t>
      </w:r>
    </w:p>
    <w:p w14:paraId="5CDBEC2A" w14:textId="77777777" w:rsidR="006D2440" w:rsidRDefault="004D7CE6" w:rsidP="00165E5B">
      <w:pPr>
        <w:numPr>
          <w:ilvl w:val="0"/>
          <w:numId w:val="22"/>
        </w:numPr>
        <w:spacing w:after="120" w:line="240" w:lineRule="auto"/>
        <w:rPr>
          <w:rFonts w:ascii="Calibri" w:eastAsia="Calibri" w:hAnsi="Calibri" w:cs="Calibri"/>
        </w:rPr>
      </w:pPr>
      <w:r>
        <w:rPr>
          <w:rFonts w:ascii="Calibri" w:eastAsia="Calibri" w:hAnsi="Calibri" w:cs="Calibri"/>
        </w:rPr>
        <w:t>re-evaluating the need for these services in the next review of psychiatry items.</w:t>
      </w:r>
    </w:p>
    <w:p w14:paraId="7BFFDCD3" w14:textId="77777777" w:rsidR="006D2440" w:rsidRDefault="004D7CE6" w:rsidP="00165E5B">
      <w:pPr>
        <w:pStyle w:val="Style4"/>
        <w:spacing w:before="0" w:line="240" w:lineRule="auto"/>
      </w:pPr>
      <w:bookmarkStart w:id="95" w:name="_19c6y18" w:colFirst="0" w:colLast="0"/>
      <w:bookmarkEnd w:id="95"/>
      <w:r>
        <w:t>Rationale 4</w:t>
      </w:r>
    </w:p>
    <w:p w14:paraId="21C77521" w14:textId="77777777" w:rsidR="006D2440" w:rsidRDefault="004D7CE6" w:rsidP="00165E5B">
      <w:pPr>
        <w:spacing w:after="120" w:line="240" w:lineRule="auto"/>
        <w:rPr>
          <w:rFonts w:ascii="Calibri" w:eastAsia="Calibri" w:hAnsi="Calibri" w:cs="Calibri"/>
        </w:rPr>
      </w:pPr>
      <w:r>
        <w:rPr>
          <w:rFonts w:ascii="Calibri" w:eastAsia="Calibri" w:hAnsi="Calibri" w:cs="Calibri"/>
        </w:rPr>
        <w:t xml:space="preserve">The telepsychiatry items provide for consultations with psychiatrists over the phone in regional and remote areas (RA3-5). </w:t>
      </w:r>
    </w:p>
    <w:p w14:paraId="7BE52ACE" w14:textId="77777777" w:rsidR="006D2440" w:rsidRDefault="004D7CE6" w:rsidP="00165E5B">
      <w:pPr>
        <w:spacing w:after="120" w:line="240" w:lineRule="auto"/>
        <w:rPr>
          <w:rFonts w:ascii="Calibri" w:eastAsia="Calibri" w:hAnsi="Calibri" w:cs="Calibri"/>
        </w:rPr>
      </w:pPr>
      <w:r>
        <w:rPr>
          <w:rFonts w:ascii="Calibri" w:eastAsia="Calibri" w:hAnsi="Calibri" w:cs="Calibri"/>
        </w:rPr>
        <w:t>This recommendation focuses on ensuring continued access to services relevant to patient need. It is based on the following assessment:</w:t>
      </w:r>
    </w:p>
    <w:p w14:paraId="21A82D67"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 Committee noted low service volumes for these items, but additionally noted the number of services had not decreased between 2011/12 and 2016/17.</w:t>
      </w:r>
    </w:p>
    <w:p w14:paraId="4BE298F7"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 Committee agreed these services were still providing high value care to patients who could not otherwise access consultations face-to-face or over videoconference.</w:t>
      </w:r>
    </w:p>
    <w:p w14:paraId="4F131FAF"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Moffatt and </w:t>
      </w:r>
      <w:proofErr w:type="spellStart"/>
      <w:r>
        <w:rPr>
          <w:rFonts w:ascii="Calibri" w:eastAsia="Calibri" w:hAnsi="Calibri" w:cs="Calibri"/>
        </w:rPr>
        <w:t>Eley</w:t>
      </w:r>
      <w:proofErr w:type="spellEnd"/>
      <w:r>
        <w:rPr>
          <w:rFonts w:ascii="Calibri" w:eastAsia="Calibri" w:hAnsi="Calibri" w:cs="Calibri"/>
          <w:sz w:val="18"/>
          <w:szCs w:val="18"/>
        </w:rPr>
        <w:t xml:space="preserve"> (9)</w:t>
      </w:r>
      <w:r>
        <w:rPr>
          <w:rFonts w:ascii="Calibri" w:eastAsia="Calibri" w:hAnsi="Calibri" w:cs="Calibri"/>
        </w:rPr>
        <w:t xml:space="preserve"> reported on the benefits of telehealth for rural Australians, finding that patients in rural and remote locations in Australia are reported to benefit from telehealth by increased access to health services and up-skilled health professionals. Their review findings suggest that the increased use of telehealth has the potential to reduce the inequitable access to health services and the poorer health status that many rural Australians experience. </w:t>
      </w:r>
    </w:p>
    <w:p w14:paraId="2BB36241" w14:textId="77777777" w:rsidR="006D2440" w:rsidRDefault="004D7CE6" w:rsidP="00165E5B">
      <w:pPr>
        <w:numPr>
          <w:ilvl w:val="0"/>
          <w:numId w:val="21"/>
        </w:numPr>
        <w:spacing w:after="120" w:line="240" w:lineRule="auto"/>
        <w:ind w:left="431"/>
        <w:rPr>
          <w:rFonts w:ascii="Calibri" w:eastAsia="Calibri" w:hAnsi="Calibri" w:cs="Calibri"/>
        </w:rPr>
      </w:pPr>
      <w:proofErr w:type="spellStart"/>
      <w:r>
        <w:rPr>
          <w:rFonts w:ascii="Calibri" w:eastAsia="Calibri" w:hAnsi="Calibri" w:cs="Calibri"/>
        </w:rPr>
        <w:t>Hareriimana</w:t>
      </w:r>
      <w:proofErr w:type="spellEnd"/>
      <w:r>
        <w:rPr>
          <w:rFonts w:ascii="Calibri" w:eastAsia="Calibri" w:hAnsi="Calibri" w:cs="Calibri"/>
        </w:rPr>
        <w:t xml:space="preserve">, </w:t>
      </w:r>
      <w:proofErr w:type="spellStart"/>
      <w:r>
        <w:rPr>
          <w:rFonts w:ascii="Calibri" w:eastAsia="Calibri" w:hAnsi="Calibri" w:cs="Calibri"/>
        </w:rPr>
        <w:t>Forchuk</w:t>
      </w:r>
      <w:proofErr w:type="spellEnd"/>
      <w:r>
        <w:rPr>
          <w:rFonts w:ascii="Calibri" w:eastAsia="Calibri" w:hAnsi="Calibri" w:cs="Calibri"/>
        </w:rPr>
        <w:t xml:space="preserve"> &amp; </w:t>
      </w:r>
      <w:proofErr w:type="spellStart"/>
      <w:r>
        <w:rPr>
          <w:rFonts w:ascii="Calibri" w:eastAsia="Calibri" w:hAnsi="Calibri" w:cs="Calibri"/>
        </w:rPr>
        <w:t>O’Regan</w:t>
      </w:r>
      <w:proofErr w:type="spellEnd"/>
      <w:r>
        <w:rPr>
          <w:rFonts w:ascii="Calibri" w:eastAsia="Calibri" w:hAnsi="Calibri" w:cs="Calibri"/>
        </w:rPr>
        <w:t xml:space="preserve"> </w:t>
      </w:r>
      <w:r>
        <w:rPr>
          <w:rFonts w:ascii="Calibri" w:eastAsia="Calibri" w:hAnsi="Calibri" w:cs="Calibri"/>
          <w:sz w:val="18"/>
          <w:szCs w:val="18"/>
        </w:rPr>
        <w:t>(10)</w:t>
      </w:r>
      <w:r>
        <w:rPr>
          <w:rFonts w:ascii="Calibri" w:eastAsia="Calibri" w:hAnsi="Calibri" w:cs="Calibri"/>
        </w:rPr>
        <w:t xml:space="preserve"> reported on the beneficial impacts on health outcomes for telehealth involving older adults with depression, finding that telehealth for mental health care among older adults demonstrates a significant impact on health outcomes, including reduced emergency visits, hospital admissions, and depressive symptoms, as well as improved cognitive functioning. </w:t>
      </w:r>
    </w:p>
    <w:p w14:paraId="1BCD1DC0"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The Committee found it is necessary to retain these items as many patients will have access to a telephone, including a mobile phone, but may not be able to reliably access video consultations in regional and remote areas. The Committee agreed removing these items from the MBS could have unexpected consequences that would be detrimental to patients currently receiving these services. </w:t>
      </w:r>
    </w:p>
    <w:p w14:paraId="26FB02D4"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 Committee agreed, in line with other recommendations, that a face-to-face consultation is a higher value service and there should not be a financial incentive to conduct consultations via the phone, particularly when video conferencing can be used.</w:t>
      </w:r>
    </w:p>
    <w:p w14:paraId="7F076D89" w14:textId="77777777" w:rsidR="006D2440" w:rsidRDefault="004D7CE6">
      <w:pPr>
        <w:pStyle w:val="Heading1"/>
        <w:keepLines w:val="0"/>
        <w:widowControl w:val="0"/>
        <w:pBdr>
          <w:bottom w:val="single" w:sz="16" w:space="11" w:color="BFBFBF"/>
        </w:pBdr>
        <w:spacing w:before="720" w:after="720" w:line="312" w:lineRule="auto"/>
        <w:ind w:left="432"/>
        <w:rPr>
          <w:rFonts w:ascii="Calibri" w:eastAsia="Calibri" w:hAnsi="Calibri" w:cs="Calibri"/>
          <w:b/>
          <w:color w:val="01653F"/>
        </w:rPr>
      </w:pPr>
      <w:bookmarkStart w:id="96" w:name="_Toc42764252"/>
      <w:r>
        <w:rPr>
          <w:rFonts w:ascii="Calibri" w:eastAsia="Calibri" w:hAnsi="Calibri" w:cs="Calibri"/>
          <w:b/>
          <w:color w:val="01653F"/>
        </w:rPr>
        <w:t xml:space="preserve">Specialist and Consultant Physician Clinical </w:t>
      </w:r>
      <w:r>
        <w:rPr>
          <w:rFonts w:ascii="Calibri" w:eastAsia="Calibri" w:hAnsi="Calibri" w:cs="Calibri"/>
          <w:b/>
          <w:color w:val="01653F"/>
        </w:rPr>
        <w:lastRenderedPageBreak/>
        <w:t>Committee</w:t>
      </w:r>
      <w:bookmarkEnd w:id="96"/>
    </w:p>
    <w:p w14:paraId="5B02185B" w14:textId="1FC4EC4B" w:rsidR="006D2440" w:rsidRPr="008E7FF0" w:rsidRDefault="00004598" w:rsidP="008E7FF0">
      <w:pPr>
        <w:pStyle w:val="Style4"/>
        <w:rPr>
          <w:color w:val="4F6228" w:themeColor="accent3" w:themeShade="80"/>
        </w:rPr>
      </w:pPr>
      <w:r w:rsidRPr="008E7FF0">
        <w:rPr>
          <w:color w:val="4F6228" w:themeColor="accent3" w:themeShade="80"/>
        </w:rPr>
        <w:t>Telehealth Working Group Consideration</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49FDB3F4"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7A6D3100" w14:textId="5849A8DF" w:rsidR="006D2440" w:rsidRDefault="004D7CE6" w:rsidP="000E2172">
            <w:pPr>
              <w:spacing w:before="120"/>
              <w:ind w:right="142"/>
              <w:rPr>
                <w:rFonts w:ascii="Calibri" w:eastAsia="Calibri" w:hAnsi="Calibri" w:cs="Calibri"/>
              </w:rPr>
            </w:pPr>
            <w:r>
              <w:rPr>
                <w:rFonts w:ascii="Calibri" w:eastAsia="Calibri" w:hAnsi="Calibri" w:cs="Calibri"/>
                <w:b/>
              </w:rPr>
              <w:t>Telehealth Recommendation 1</w:t>
            </w:r>
            <w:r w:rsidR="000E2172">
              <w:rPr>
                <w:rFonts w:ascii="Calibri" w:eastAsia="Calibri" w:hAnsi="Calibri" w:cs="Calibri"/>
                <w:b/>
              </w:rPr>
              <w:t>6</w:t>
            </w:r>
            <w:r>
              <w:rPr>
                <w:rFonts w:ascii="Calibri" w:eastAsia="Calibri" w:hAnsi="Calibri" w:cs="Calibri"/>
                <w:b/>
              </w:rPr>
              <w:t xml:space="preserve"> of 21: </w:t>
            </w:r>
            <w:r w:rsidRPr="008E7FF0">
              <w:rPr>
                <w:rFonts w:ascii="Calibri" w:eastAsia="Calibri" w:hAnsi="Calibri" w:cs="Calibri"/>
                <w:b/>
              </w:rPr>
              <w:t>Specialist and Consultant Clinical Committee Recommendation 9</w:t>
            </w:r>
            <w:r w:rsidR="00A177E3">
              <w:rPr>
                <w:rFonts w:ascii="Calibri" w:eastAsia="Calibri" w:hAnsi="Calibri" w:cs="Calibri"/>
                <w:b/>
              </w:rPr>
              <w:t xml:space="preserve"> - </w:t>
            </w:r>
            <w:r w:rsidR="00A177E3">
              <w:rPr>
                <w:rFonts w:ascii="Calibri" w:eastAsia="Calibri" w:hAnsi="Calibri" w:cs="Calibri"/>
              </w:rPr>
              <w:t>A new framework for telehealth</w:t>
            </w:r>
          </w:p>
        </w:tc>
      </w:tr>
      <w:tr w:rsidR="00716DA7" w14:paraId="41BA694A"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24ED614C" w14:textId="664DAE38" w:rsidR="006D2440" w:rsidRDefault="00A177E3" w:rsidP="008E7FF0">
            <w:pPr>
              <w:spacing w:before="120"/>
              <w:rPr>
                <w:rFonts w:ascii="Calibri" w:eastAsia="Calibri" w:hAnsi="Calibri" w:cs="Calibri"/>
              </w:rPr>
            </w:pPr>
            <w:r>
              <w:rPr>
                <w:rFonts w:ascii="Calibri" w:eastAsia="Calibri" w:hAnsi="Calibri" w:cs="Calibri"/>
                <w:b/>
              </w:rPr>
              <w:t xml:space="preserve">TWG </w:t>
            </w:r>
            <w:r w:rsidR="004D7CE6">
              <w:rPr>
                <w:rFonts w:ascii="Calibri" w:eastAsia="Calibri" w:hAnsi="Calibri" w:cs="Calibri"/>
                <w:b/>
              </w:rPr>
              <w:t xml:space="preserve">Recommendation: </w:t>
            </w:r>
            <w:r w:rsidR="004466AC" w:rsidRPr="004C4F5B">
              <w:rPr>
                <w:rFonts w:ascii="Calibri" w:hAnsi="Calibri"/>
              </w:rPr>
              <w:t>Supported</w:t>
            </w:r>
            <w:r w:rsidR="004466AC">
              <w:rPr>
                <w:rFonts w:ascii="Calibri" w:eastAsia="Calibri" w:hAnsi="Calibri" w:cs="Calibri"/>
                <w:b/>
              </w:rPr>
              <w:t xml:space="preserve"> </w:t>
            </w:r>
          </w:p>
        </w:tc>
      </w:tr>
      <w:tr w:rsidR="00716DA7" w14:paraId="42B58A1B"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640E1B" w14:textId="77777777" w:rsidR="002C2776" w:rsidRDefault="002C2776" w:rsidP="002C2776">
            <w:pPr>
              <w:spacing w:before="120"/>
              <w:rPr>
                <w:rFonts w:ascii="Calibri" w:eastAsia="Calibri" w:hAnsi="Calibri" w:cs="Calibri"/>
                <w:b/>
              </w:rPr>
            </w:pPr>
            <w:r>
              <w:rPr>
                <w:rFonts w:ascii="Calibri" w:eastAsia="Calibri" w:hAnsi="Calibri" w:cs="Calibri"/>
                <w:b/>
              </w:rPr>
              <w:t>TWG Rationale:</w:t>
            </w:r>
          </w:p>
          <w:p w14:paraId="1BC0B894" w14:textId="1BB6FB8A" w:rsidR="00067639" w:rsidRPr="00726D35" w:rsidRDefault="004466AC" w:rsidP="002C2776">
            <w:pPr>
              <w:spacing w:after="200"/>
              <w:rPr>
                <w:rFonts w:asciiTheme="majorHAnsi" w:hAnsiTheme="majorHAnsi" w:cstheme="majorHAnsi"/>
              </w:rPr>
            </w:pPr>
            <w:r w:rsidRPr="00726D35">
              <w:rPr>
                <w:rFonts w:asciiTheme="majorHAnsi" w:hAnsiTheme="majorHAnsi" w:cstheme="majorHAnsi"/>
              </w:rPr>
              <w:t xml:space="preserve">In accordance with </w:t>
            </w:r>
            <w:r w:rsidR="00461147">
              <w:rPr>
                <w:rFonts w:asciiTheme="majorHAnsi" w:hAnsiTheme="majorHAnsi" w:cstheme="majorHAnsi"/>
              </w:rPr>
              <w:t xml:space="preserve">all the </w:t>
            </w:r>
            <w:r w:rsidR="008E5306" w:rsidRPr="00726D35">
              <w:rPr>
                <w:rFonts w:asciiTheme="majorHAnsi" w:hAnsiTheme="majorHAnsi" w:cstheme="majorHAnsi"/>
              </w:rPr>
              <w:t>principles</w:t>
            </w:r>
            <w:r w:rsidR="00461147">
              <w:rPr>
                <w:rFonts w:asciiTheme="majorHAnsi" w:hAnsiTheme="majorHAnsi" w:cstheme="majorHAnsi"/>
              </w:rPr>
              <w:t xml:space="preserve"> but in particular</w:t>
            </w:r>
            <w:r w:rsidR="002C2776" w:rsidRPr="00726D35">
              <w:rPr>
                <w:rFonts w:asciiTheme="majorHAnsi" w:hAnsiTheme="majorHAnsi" w:cstheme="majorHAnsi"/>
              </w:rPr>
              <w:t>:</w:t>
            </w:r>
          </w:p>
          <w:p w14:paraId="3DD229E4" w14:textId="77777777" w:rsidR="002C2776" w:rsidRPr="00726D35" w:rsidRDefault="00923E34" w:rsidP="00732802">
            <w:pPr>
              <w:spacing w:after="120" w:line="240" w:lineRule="auto"/>
              <w:rPr>
                <w:rFonts w:asciiTheme="majorHAnsi" w:eastAsia="Calibri" w:hAnsiTheme="majorHAnsi" w:cstheme="majorHAnsi"/>
                <w:i/>
                <w:iCs/>
              </w:rPr>
            </w:pPr>
            <w:r w:rsidRPr="00726D35">
              <w:rPr>
                <w:rFonts w:asciiTheme="majorHAnsi" w:eastAsia="Calibri" w:hAnsiTheme="majorHAnsi" w:cstheme="majorHAnsi"/>
              </w:rPr>
              <w:t xml:space="preserve">Principle 1 </w:t>
            </w:r>
            <w:r w:rsidR="002C2776" w:rsidRPr="00726D35">
              <w:rPr>
                <w:rFonts w:asciiTheme="majorHAnsi" w:eastAsia="Calibri" w:hAnsiTheme="majorHAnsi" w:cstheme="majorHAnsi"/>
                <w:i/>
                <w:iCs/>
              </w:rPr>
              <w:t>Should be patient-focused, and based on patient need, rather than geographical location</w:t>
            </w:r>
          </w:p>
          <w:p w14:paraId="690C8513" w14:textId="77777777" w:rsidR="002C2776" w:rsidRPr="00726D35" w:rsidRDefault="002C2776" w:rsidP="002C2776">
            <w:pPr>
              <w:spacing w:after="120" w:line="240" w:lineRule="auto"/>
              <w:rPr>
                <w:rFonts w:asciiTheme="majorHAnsi" w:eastAsia="Calibri" w:hAnsiTheme="majorHAnsi" w:cstheme="majorHAnsi"/>
                <w:i/>
                <w:iCs/>
              </w:rPr>
            </w:pPr>
            <w:r w:rsidRPr="00726D35">
              <w:rPr>
                <w:rFonts w:asciiTheme="majorHAnsi" w:eastAsia="Calibri" w:hAnsiTheme="majorHAnsi" w:cstheme="majorHAnsi"/>
              </w:rPr>
              <w:t xml:space="preserve">Principle 2 </w:t>
            </w:r>
            <w:r w:rsidRPr="00726D35">
              <w:rPr>
                <w:rFonts w:asciiTheme="majorHAnsi" w:eastAsia="Calibri" w:hAnsiTheme="majorHAnsi" w:cstheme="majorHAnsi"/>
                <w:i/>
                <w:iCs/>
              </w:rPr>
              <w:t>Must support and facilitate services that are clinically safe and efficacious for patients.</w:t>
            </w:r>
          </w:p>
          <w:p w14:paraId="08EAAB02" w14:textId="77777777" w:rsidR="002C2776" w:rsidRPr="00726D35" w:rsidRDefault="002C2776" w:rsidP="002C2776">
            <w:pPr>
              <w:spacing w:after="120" w:line="240" w:lineRule="auto"/>
              <w:rPr>
                <w:rFonts w:asciiTheme="majorHAnsi" w:eastAsia="Calibri" w:hAnsiTheme="majorHAnsi" w:cstheme="majorHAnsi"/>
              </w:rPr>
            </w:pPr>
            <w:r w:rsidRPr="00726D35">
              <w:rPr>
                <w:rFonts w:asciiTheme="majorHAnsi" w:eastAsia="Calibri" w:hAnsiTheme="majorHAnsi" w:cstheme="majorHAnsi"/>
              </w:rPr>
              <w:t xml:space="preserve">Principle 3 </w:t>
            </w:r>
            <w:r w:rsidRPr="00726D35">
              <w:rPr>
                <w:rFonts w:asciiTheme="majorHAnsi" w:eastAsia="Calibri" w:hAnsiTheme="majorHAnsi" w:cstheme="majorHAnsi"/>
                <w:i/>
                <w:iCs/>
              </w:rPr>
              <w:t>Should be provided in the context of continuity of care between patient and practitioner.</w:t>
            </w:r>
          </w:p>
          <w:p w14:paraId="6FFEBCC9" w14:textId="7100FBE4" w:rsidR="00923E34" w:rsidRPr="00726D35" w:rsidRDefault="00923E34" w:rsidP="002C2776">
            <w:pPr>
              <w:spacing w:after="120" w:line="240" w:lineRule="auto"/>
              <w:rPr>
                <w:rFonts w:asciiTheme="majorHAnsi" w:eastAsia="Calibri" w:hAnsiTheme="majorHAnsi" w:cstheme="majorHAnsi"/>
              </w:rPr>
            </w:pPr>
            <w:r w:rsidRPr="00726D35">
              <w:rPr>
                <w:rFonts w:asciiTheme="majorHAnsi" w:eastAsia="Calibri" w:hAnsiTheme="majorHAnsi" w:cstheme="majorHAnsi"/>
              </w:rPr>
              <w:t xml:space="preserve">Principle </w:t>
            </w:r>
            <w:r w:rsidR="002C2776" w:rsidRPr="00726D35">
              <w:rPr>
                <w:rFonts w:asciiTheme="majorHAnsi" w:eastAsia="Calibri" w:hAnsiTheme="majorHAnsi" w:cstheme="majorHAnsi"/>
              </w:rPr>
              <w:t xml:space="preserve">4 </w:t>
            </w:r>
            <w:r w:rsidR="002C2776" w:rsidRPr="00726D35">
              <w:rPr>
                <w:rFonts w:asciiTheme="majorHAnsi" w:eastAsia="Calibri" w:hAnsiTheme="majorHAnsi" w:cstheme="majorHAnsi"/>
                <w:i/>
              </w:rPr>
              <w:t>Must not create unintended consequences or perverse incentives that undermine the role of face-to-face care</w:t>
            </w:r>
            <w:r w:rsidRPr="00726D35">
              <w:rPr>
                <w:rFonts w:asciiTheme="majorHAnsi" w:eastAsia="Calibri" w:hAnsiTheme="majorHAnsi" w:cstheme="majorHAnsi"/>
                <w:i/>
                <w:iCs/>
              </w:rPr>
              <w:t>.</w:t>
            </w:r>
          </w:p>
          <w:p w14:paraId="529BEBE5" w14:textId="621C6806" w:rsidR="006D2440" w:rsidRPr="002C2776" w:rsidRDefault="00BC40AA" w:rsidP="002C2776">
            <w:pPr>
              <w:spacing w:after="200"/>
              <w:rPr>
                <w:rFonts w:asciiTheme="majorHAnsi" w:hAnsiTheme="majorHAnsi" w:cstheme="majorHAnsi"/>
              </w:rPr>
            </w:pPr>
            <w:r w:rsidRPr="00726D35">
              <w:rPr>
                <w:rFonts w:asciiTheme="majorHAnsi" w:hAnsiTheme="majorHAnsi" w:cstheme="majorHAnsi"/>
              </w:rPr>
              <w:t>The TWG agreed that any restructuring should be in line with SC</w:t>
            </w:r>
            <w:r w:rsidR="00C11C8F" w:rsidRPr="00726D35">
              <w:rPr>
                <w:rFonts w:asciiTheme="majorHAnsi" w:hAnsiTheme="majorHAnsi" w:cstheme="majorHAnsi"/>
              </w:rPr>
              <w:t>P</w:t>
            </w:r>
            <w:r w:rsidRPr="00726D35">
              <w:rPr>
                <w:rFonts w:asciiTheme="majorHAnsi" w:hAnsiTheme="majorHAnsi" w:cstheme="majorHAnsi"/>
              </w:rPr>
              <w:t>CC</w:t>
            </w:r>
            <w:r w:rsidR="00C11C8F" w:rsidRPr="00726D35">
              <w:rPr>
                <w:rFonts w:asciiTheme="majorHAnsi" w:hAnsiTheme="majorHAnsi" w:cstheme="majorHAnsi"/>
              </w:rPr>
              <w:t xml:space="preserve"> item number restructuring.</w:t>
            </w:r>
          </w:p>
        </w:tc>
      </w:tr>
    </w:tbl>
    <w:p w14:paraId="49800673" w14:textId="77777777" w:rsidR="006D2440" w:rsidRDefault="006D2440">
      <w:pPr>
        <w:spacing w:line="240" w:lineRule="auto"/>
        <w:jc w:val="both"/>
        <w:rPr>
          <w:rFonts w:ascii="Calibri" w:eastAsia="Calibri" w:hAnsi="Calibri" w:cs="Calibri"/>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1F737DF6"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4F843F0C" w14:textId="2C78A573" w:rsidR="006D2440" w:rsidRDefault="004D7CE6" w:rsidP="000E2172">
            <w:pPr>
              <w:spacing w:before="120"/>
              <w:ind w:right="142"/>
              <w:rPr>
                <w:rFonts w:ascii="Calibri" w:eastAsia="Calibri" w:hAnsi="Calibri" w:cs="Calibri"/>
                <w:b/>
              </w:rPr>
            </w:pPr>
            <w:r>
              <w:rPr>
                <w:rFonts w:ascii="Calibri" w:eastAsia="Calibri" w:hAnsi="Calibri" w:cs="Calibri"/>
                <w:b/>
              </w:rPr>
              <w:t>Telehealth Recommendation 1</w:t>
            </w:r>
            <w:r w:rsidR="000E2172">
              <w:rPr>
                <w:rFonts w:ascii="Calibri" w:eastAsia="Calibri" w:hAnsi="Calibri" w:cs="Calibri"/>
                <w:b/>
              </w:rPr>
              <w:t>7</w:t>
            </w:r>
            <w:r>
              <w:rPr>
                <w:rFonts w:ascii="Calibri" w:eastAsia="Calibri" w:hAnsi="Calibri" w:cs="Calibri"/>
                <w:b/>
              </w:rPr>
              <w:t xml:space="preserve"> of 21: </w:t>
            </w:r>
            <w:r w:rsidRPr="008E7FF0">
              <w:rPr>
                <w:rFonts w:ascii="Calibri" w:eastAsia="Calibri" w:hAnsi="Calibri" w:cs="Calibri"/>
                <w:b/>
              </w:rPr>
              <w:t>Specialist and Consultant Clinical Committee Recommendation 10</w:t>
            </w:r>
            <w:r w:rsidR="00A177E3">
              <w:rPr>
                <w:rFonts w:ascii="Calibri" w:eastAsia="Calibri" w:hAnsi="Calibri" w:cs="Calibri"/>
                <w:b/>
              </w:rPr>
              <w:t xml:space="preserve"> - </w:t>
            </w:r>
            <w:r w:rsidR="00A177E3">
              <w:rPr>
                <w:rFonts w:ascii="Calibri" w:eastAsia="Calibri" w:hAnsi="Calibri" w:cs="Calibri"/>
              </w:rPr>
              <w:t>Reinvest in telehealth</w:t>
            </w:r>
          </w:p>
        </w:tc>
      </w:tr>
      <w:tr w:rsidR="00716DA7" w14:paraId="12A0E152"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2CB40E99" w14:textId="7C89C136" w:rsidR="006D2440" w:rsidRDefault="00A177E3" w:rsidP="008E7FF0">
            <w:pPr>
              <w:spacing w:before="120"/>
              <w:rPr>
                <w:rFonts w:ascii="Calibri" w:eastAsia="Calibri" w:hAnsi="Calibri" w:cs="Calibri"/>
              </w:rPr>
            </w:pPr>
            <w:r>
              <w:rPr>
                <w:rFonts w:ascii="Calibri" w:eastAsia="Calibri" w:hAnsi="Calibri" w:cs="Calibri"/>
                <w:b/>
              </w:rPr>
              <w:t xml:space="preserve">TWG </w:t>
            </w:r>
            <w:r w:rsidR="004D7CE6">
              <w:rPr>
                <w:rFonts w:ascii="Calibri" w:eastAsia="Calibri" w:hAnsi="Calibri" w:cs="Calibri"/>
                <w:b/>
              </w:rPr>
              <w:t xml:space="preserve">Recommendation: </w:t>
            </w:r>
            <w:r w:rsidR="00A30383" w:rsidRPr="004C4F5B">
              <w:rPr>
                <w:rFonts w:ascii="Calibri" w:hAnsi="Calibri"/>
              </w:rPr>
              <w:t>Supported</w:t>
            </w:r>
          </w:p>
        </w:tc>
      </w:tr>
      <w:tr w:rsidR="00716DA7" w14:paraId="4AC36FF9"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5B6969" w14:textId="77777777" w:rsidR="002C2776" w:rsidRDefault="002C2776" w:rsidP="002C2776">
            <w:pPr>
              <w:spacing w:before="120"/>
              <w:rPr>
                <w:rFonts w:ascii="Calibri" w:eastAsia="Calibri" w:hAnsi="Calibri" w:cs="Calibri"/>
                <w:b/>
              </w:rPr>
            </w:pPr>
            <w:r>
              <w:rPr>
                <w:rFonts w:ascii="Calibri" w:eastAsia="Calibri" w:hAnsi="Calibri" w:cs="Calibri"/>
                <w:b/>
              </w:rPr>
              <w:t>TWG Rationale:</w:t>
            </w:r>
          </w:p>
          <w:p w14:paraId="5F11D91F" w14:textId="7367E042" w:rsidR="006D2440" w:rsidRPr="002C2776" w:rsidRDefault="00A30383" w:rsidP="002C2776">
            <w:pPr>
              <w:spacing w:after="200"/>
              <w:rPr>
                <w:rFonts w:asciiTheme="majorHAnsi" w:hAnsiTheme="majorHAnsi" w:cstheme="majorHAnsi"/>
              </w:rPr>
            </w:pPr>
            <w:r w:rsidRPr="002C2776">
              <w:rPr>
                <w:rFonts w:asciiTheme="majorHAnsi" w:hAnsiTheme="majorHAnsi" w:cstheme="majorHAnsi"/>
              </w:rPr>
              <w:t>The TWG agrees that access to Telehealth should be expande</w:t>
            </w:r>
            <w:r w:rsidR="005F5758" w:rsidRPr="002C2776">
              <w:rPr>
                <w:rFonts w:asciiTheme="majorHAnsi" w:hAnsiTheme="majorHAnsi" w:cstheme="majorHAnsi"/>
              </w:rPr>
              <w:t>d.</w:t>
            </w:r>
          </w:p>
        </w:tc>
      </w:tr>
    </w:tbl>
    <w:p w14:paraId="366B6479" w14:textId="77777777" w:rsidR="000C06A1" w:rsidRPr="008E7FF0" w:rsidRDefault="000C06A1" w:rsidP="008E7FF0">
      <w:pPr>
        <w:pStyle w:val="Style4"/>
        <w:rPr>
          <w:color w:val="4F6228" w:themeColor="accent3" w:themeShade="80"/>
        </w:rPr>
      </w:pPr>
      <w:bookmarkStart w:id="97" w:name="_gmj1qge8rtz" w:colFirst="0" w:colLast="0"/>
      <w:bookmarkEnd w:id="97"/>
      <w:r w:rsidRPr="008E7FF0">
        <w:rPr>
          <w:color w:val="4F6228" w:themeColor="accent3" w:themeShade="80"/>
        </w:rPr>
        <w:t>Specialist and Consultant Physician Clinical Committee</w:t>
      </w:r>
    </w:p>
    <w:p w14:paraId="3E00A69D" w14:textId="77777777" w:rsidR="006D2440" w:rsidRDefault="004D7CE6" w:rsidP="00165E5B">
      <w:pPr>
        <w:pStyle w:val="Style4"/>
        <w:spacing w:before="0" w:line="240" w:lineRule="auto"/>
      </w:pPr>
      <w:r>
        <w:t>Current telehealth framework</w:t>
      </w:r>
    </w:p>
    <w:p w14:paraId="3A04BB8A" w14:textId="77777777" w:rsidR="006D2440" w:rsidRDefault="004D7CE6" w:rsidP="00165E5B">
      <w:pPr>
        <w:spacing w:after="120" w:line="240" w:lineRule="auto"/>
        <w:rPr>
          <w:rFonts w:ascii="Calibri" w:eastAsia="Calibri" w:hAnsi="Calibri" w:cs="Calibri"/>
        </w:rPr>
      </w:pPr>
      <w:r>
        <w:rPr>
          <w:rFonts w:ascii="Calibri" w:eastAsia="Calibri" w:hAnsi="Calibri" w:cs="Calibri"/>
        </w:rPr>
        <w:t>The MBS has 17 telehealth attendance items with 67,000 services provided in conjunction with an existing consultation item in FY2016/17.</w:t>
      </w:r>
      <w:r>
        <w:rPr>
          <w:rFonts w:ascii="Calibri" w:eastAsia="Calibri" w:hAnsi="Calibri" w:cs="Calibri"/>
          <w:vertAlign w:val="superscript"/>
        </w:rPr>
        <w:footnoteReference w:id="16"/>
      </w:r>
      <w:r>
        <w:rPr>
          <w:rFonts w:ascii="Calibri" w:eastAsia="Calibri" w:hAnsi="Calibri" w:cs="Calibri"/>
        </w:rPr>
        <w:t xml:space="preserve"> These items include:</w:t>
      </w:r>
    </w:p>
    <w:p w14:paraId="629B6330"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Nine telehealth loading items valued at 50 per cent of the schedule fee for the attendance item with which they are co-claimed, accounting for more than 98 per cent of telehealth service volume and spend.</w:t>
      </w:r>
    </w:p>
    <w:p w14:paraId="7E392244"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Eight items for telehealth attendances under 10 minutes,</w:t>
      </w:r>
      <w:r>
        <w:rPr>
          <w:rFonts w:ascii="Calibri" w:eastAsia="Calibri" w:hAnsi="Calibri" w:cs="Calibri"/>
          <w:vertAlign w:val="superscript"/>
        </w:rPr>
        <w:footnoteReference w:id="17"/>
      </w:r>
      <w:r>
        <w:rPr>
          <w:rFonts w:ascii="Calibri" w:eastAsia="Calibri" w:hAnsi="Calibri" w:cs="Calibri"/>
        </w:rPr>
        <w:t xml:space="preserve"> accounting for just 159 services in 2016/17. </w:t>
      </w:r>
    </w:p>
    <w:p w14:paraId="70E4983D" w14:textId="77777777" w:rsidR="006D2440" w:rsidRDefault="004D7CE6" w:rsidP="00165E5B">
      <w:pPr>
        <w:spacing w:after="120" w:line="240" w:lineRule="auto"/>
        <w:ind w:left="573" w:hanging="431"/>
        <w:rPr>
          <w:rFonts w:ascii="Calibri" w:eastAsia="Calibri" w:hAnsi="Calibri" w:cs="Calibri"/>
        </w:rPr>
      </w:pPr>
      <w:r>
        <w:rPr>
          <w:rFonts w:ascii="Calibri" w:eastAsia="Calibri" w:hAnsi="Calibri" w:cs="Calibri"/>
        </w:rPr>
        <w:lastRenderedPageBreak/>
        <w:t xml:space="preserve">The Committee noted that the 2011 telehealth incentive scheme and loading items have been successful in capturing early adopters, with almost 2,000 providers using these items in 2016/17. However, the Committee </w:t>
      </w:r>
      <w:proofErr w:type="spellStart"/>
      <w:r>
        <w:rPr>
          <w:rFonts w:ascii="Calibri" w:eastAsia="Calibri" w:hAnsi="Calibri" w:cs="Calibri"/>
        </w:rPr>
        <w:t>recognises</w:t>
      </w:r>
      <w:proofErr w:type="spellEnd"/>
      <w:r>
        <w:rPr>
          <w:rFonts w:ascii="Calibri" w:eastAsia="Calibri" w:hAnsi="Calibri" w:cs="Calibri"/>
        </w:rPr>
        <w:t xml:space="preserve"> that barriers to uptake persist, as evidenced by the significant slowing of growth in services (from 167 per cent growth in the first year of implementation down to 8 per cent growth last year).</w:t>
      </w:r>
    </w:p>
    <w:p w14:paraId="0CB16103" w14:textId="77777777" w:rsidR="006D2440" w:rsidRDefault="004D7CE6" w:rsidP="00165E5B">
      <w:pPr>
        <w:spacing w:after="120" w:line="240" w:lineRule="auto"/>
        <w:ind w:left="573" w:hanging="431"/>
        <w:rPr>
          <w:rFonts w:ascii="Calibri" w:eastAsia="Calibri" w:hAnsi="Calibri" w:cs="Calibri"/>
        </w:rPr>
      </w:pPr>
      <w:r>
        <w:rPr>
          <w:rFonts w:ascii="Calibri" w:eastAsia="Calibri" w:hAnsi="Calibri" w:cs="Calibri"/>
        </w:rPr>
        <w:t>There are currently two applications of telehealth in Australia:</w:t>
      </w:r>
    </w:p>
    <w:p w14:paraId="0BE36584" w14:textId="77777777" w:rsidR="006D2440" w:rsidRDefault="004D7CE6" w:rsidP="00165E5B">
      <w:pPr>
        <w:numPr>
          <w:ilvl w:val="0"/>
          <w:numId w:val="21"/>
        </w:numPr>
        <w:spacing w:after="120" w:line="240" w:lineRule="auto"/>
        <w:ind w:left="431"/>
      </w:pPr>
      <w:r>
        <w:rPr>
          <w:rFonts w:ascii="Calibri" w:eastAsia="Calibri" w:hAnsi="Calibri" w:cs="Calibri"/>
        </w:rPr>
        <w:t>Patient supported by a health professional:</w:t>
      </w:r>
      <w:r>
        <w:rPr>
          <w:rFonts w:ascii="Calibri" w:eastAsia="Calibri" w:hAnsi="Calibri" w:cs="Calibri"/>
          <w:b/>
        </w:rPr>
        <w:t xml:space="preserve"> </w:t>
      </w:r>
      <w:r>
        <w:rPr>
          <w:rFonts w:ascii="Calibri" w:eastAsia="Calibri" w:hAnsi="Calibri" w:cs="Calibri"/>
        </w:rPr>
        <w:t>A</w:t>
      </w:r>
      <w:r>
        <w:rPr>
          <w:rFonts w:ascii="Calibri" w:eastAsia="Calibri" w:hAnsi="Calibri" w:cs="Calibri"/>
          <w:b/>
        </w:rPr>
        <w:t xml:space="preserve"> </w:t>
      </w:r>
      <w:r>
        <w:rPr>
          <w:rFonts w:ascii="Calibri" w:eastAsia="Calibri" w:hAnsi="Calibri" w:cs="Calibri"/>
        </w:rPr>
        <w:t xml:space="preserve">health professional (for example, a GP, nurse practitioner or physiotherapist) is with the patient for the telehealth attendance. This creates a communication bridge between consumers, primary care and consultant specialists, </w:t>
      </w:r>
      <w:proofErr w:type="spellStart"/>
      <w:r>
        <w:rPr>
          <w:rFonts w:ascii="Calibri" w:eastAsia="Calibri" w:hAnsi="Calibri" w:cs="Calibri"/>
        </w:rPr>
        <w:t>minimises</w:t>
      </w:r>
      <w:proofErr w:type="spellEnd"/>
      <w:r>
        <w:rPr>
          <w:rFonts w:ascii="Calibri" w:eastAsia="Calibri" w:hAnsi="Calibri" w:cs="Calibri"/>
        </w:rPr>
        <w:t xml:space="preserve"> the number of times a patient has to “tell their story</w:t>
      </w:r>
      <w:proofErr w:type="gramStart"/>
      <w:r>
        <w:rPr>
          <w:rFonts w:ascii="Calibri" w:eastAsia="Calibri" w:hAnsi="Calibri" w:cs="Calibri"/>
        </w:rPr>
        <w:t>”, and</w:t>
      </w:r>
      <w:proofErr w:type="gramEnd"/>
      <w:r>
        <w:rPr>
          <w:rFonts w:ascii="Calibri" w:eastAsia="Calibri" w:hAnsi="Calibri" w:cs="Calibri"/>
        </w:rPr>
        <w:t xml:space="preserve"> allows for a more complex examination than can be undertaken if the patient is alone.</w:t>
      </w:r>
    </w:p>
    <w:p w14:paraId="2DBA3FFD" w14:textId="77777777" w:rsidR="006D2440" w:rsidRDefault="004D7CE6" w:rsidP="00165E5B">
      <w:pPr>
        <w:numPr>
          <w:ilvl w:val="0"/>
          <w:numId w:val="21"/>
        </w:numPr>
        <w:spacing w:after="120" w:line="240" w:lineRule="auto"/>
        <w:ind w:left="431"/>
      </w:pPr>
      <w:r>
        <w:rPr>
          <w:rFonts w:ascii="Calibri" w:eastAsia="Calibri" w:hAnsi="Calibri" w:cs="Calibri"/>
        </w:rPr>
        <w:t>Directly with the patient:</w:t>
      </w:r>
      <w:r>
        <w:rPr>
          <w:rFonts w:ascii="Calibri" w:eastAsia="Calibri" w:hAnsi="Calibri" w:cs="Calibri"/>
          <w:b/>
        </w:rPr>
        <w:t xml:space="preserve"> </w:t>
      </w:r>
      <w:r>
        <w:rPr>
          <w:rFonts w:ascii="Calibri" w:eastAsia="Calibri" w:hAnsi="Calibri" w:cs="Calibri"/>
        </w:rPr>
        <w:t>This item is better suited to providing ongoing or follow-up care, is more cost-effective, and increases access by patients to consultant specialist services.</w:t>
      </w:r>
    </w:p>
    <w:p w14:paraId="5D3587E1" w14:textId="77777777" w:rsidR="006D2440" w:rsidRDefault="004D7CE6" w:rsidP="00165E5B">
      <w:pPr>
        <w:pStyle w:val="Style4"/>
        <w:spacing w:before="0" w:line="240" w:lineRule="auto"/>
      </w:pPr>
      <w:r>
        <w:t>Benefits of telehealth</w:t>
      </w:r>
    </w:p>
    <w:p w14:paraId="69AA9AB4" w14:textId="77777777" w:rsidR="006D2440" w:rsidRDefault="004D7CE6" w:rsidP="00165E5B">
      <w:pPr>
        <w:spacing w:after="120" w:line="240" w:lineRule="auto"/>
        <w:ind w:left="573" w:hanging="431"/>
        <w:rPr>
          <w:rFonts w:ascii="Calibri" w:eastAsia="Calibri" w:hAnsi="Calibri" w:cs="Calibri"/>
        </w:rPr>
      </w:pPr>
      <w:r>
        <w:rPr>
          <w:rFonts w:ascii="Calibri" w:eastAsia="Calibri" w:hAnsi="Calibri" w:cs="Calibri"/>
        </w:rPr>
        <w:t xml:space="preserve">The Committee </w:t>
      </w:r>
      <w:proofErr w:type="spellStart"/>
      <w:r>
        <w:rPr>
          <w:rFonts w:ascii="Calibri" w:eastAsia="Calibri" w:hAnsi="Calibri" w:cs="Calibri"/>
        </w:rPr>
        <w:t>recognises</w:t>
      </w:r>
      <w:proofErr w:type="spellEnd"/>
      <w:r>
        <w:rPr>
          <w:rFonts w:ascii="Calibri" w:eastAsia="Calibri" w:hAnsi="Calibri" w:cs="Calibri"/>
        </w:rPr>
        <w:t xml:space="preserve"> that there are huge benefits to be gained from the uptake and appropriate use of telehealth, including:</w:t>
      </w:r>
    </w:p>
    <w:p w14:paraId="50FDCEAB"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Increased access for patients in rural and remote areas, and for those who may find it difficult to attend consulting rooms or a hospital (for example, consumers with significant mobility challenges, or parents who have a child with a disability).</w:t>
      </w:r>
    </w:p>
    <w:p w14:paraId="33EE69D0"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Reduced travel time and costs for patients, resulting in patient savings, fewer travel grants and less time off work. </w:t>
      </w:r>
    </w:p>
    <w:p w14:paraId="5C5E156C"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Reduced travel time and costs for clinicians, resulting in saved clinician days.</w:t>
      </w:r>
    </w:p>
    <w:p w14:paraId="2068A74E" w14:textId="77777777" w:rsidR="006D2440" w:rsidRDefault="004D7CE6" w:rsidP="00165E5B">
      <w:pPr>
        <w:pStyle w:val="Style4"/>
        <w:spacing w:before="0" w:line="240" w:lineRule="auto"/>
      </w:pPr>
      <w:r>
        <w:t>Barriers to telehealth growth</w:t>
      </w:r>
    </w:p>
    <w:p w14:paraId="69E7115B" w14:textId="77777777" w:rsidR="006D2440" w:rsidRDefault="004D7CE6" w:rsidP="00165E5B">
      <w:pPr>
        <w:spacing w:after="120" w:line="240" w:lineRule="auto"/>
        <w:ind w:left="573" w:hanging="431"/>
        <w:rPr>
          <w:rFonts w:ascii="Calibri" w:eastAsia="Calibri" w:hAnsi="Calibri" w:cs="Calibri"/>
        </w:rPr>
      </w:pPr>
      <w:proofErr w:type="spellStart"/>
      <w:r>
        <w:rPr>
          <w:rFonts w:ascii="Calibri" w:eastAsia="Calibri" w:hAnsi="Calibri" w:cs="Calibri"/>
        </w:rPr>
        <w:t>Recognising</w:t>
      </w:r>
      <w:proofErr w:type="spellEnd"/>
      <w:r>
        <w:rPr>
          <w:rFonts w:ascii="Calibri" w:eastAsia="Calibri" w:hAnsi="Calibri" w:cs="Calibri"/>
        </w:rPr>
        <w:t xml:space="preserve"> the significant slow-down in growth of services, the Committee has noted significant barriers to the increased adoption of telehealth, particularly patient and primary care awareness and consultant specialists’ perception of telehealth.</w:t>
      </w:r>
    </w:p>
    <w:p w14:paraId="6091CED6" w14:textId="77777777" w:rsidR="006D2440" w:rsidRDefault="004D7CE6" w:rsidP="00165E5B">
      <w:pPr>
        <w:numPr>
          <w:ilvl w:val="0"/>
          <w:numId w:val="20"/>
        </w:numPr>
        <w:spacing w:after="120" w:line="240" w:lineRule="auto"/>
        <w:rPr>
          <w:rFonts w:ascii="Calibri" w:eastAsia="Calibri" w:hAnsi="Calibri" w:cs="Calibri"/>
        </w:rPr>
      </w:pPr>
      <w:r>
        <w:rPr>
          <w:rFonts w:ascii="Calibri" w:eastAsia="Calibri" w:hAnsi="Calibri" w:cs="Calibri"/>
        </w:rPr>
        <w:t xml:space="preserve">Patients may not have access to information about when to request telehealth, how to access it, and a clear understanding of its benefits. </w:t>
      </w:r>
    </w:p>
    <w:p w14:paraId="54B8CE78" w14:textId="77777777" w:rsidR="006D2440" w:rsidRDefault="004D7CE6" w:rsidP="00165E5B">
      <w:pPr>
        <w:numPr>
          <w:ilvl w:val="0"/>
          <w:numId w:val="20"/>
        </w:numPr>
        <w:spacing w:after="120" w:line="240" w:lineRule="auto"/>
        <w:rPr>
          <w:rFonts w:ascii="Calibri" w:eastAsia="Calibri" w:hAnsi="Calibri" w:cs="Calibri"/>
        </w:rPr>
      </w:pPr>
      <w:r>
        <w:rPr>
          <w:rFonts w:ascii="Calibri" w:eastAsia="Calibri" w:hAnsi="Calibri" w:cs="Calibri"/>
        </w:rPr>
        <w:t>GPs may not be aware of the patient population groups that would benefit most from telehealth, when to recommend it to these patients, and how to integrate it into their practice. Likewise, consumers may be unaware this service option is available.</w:t>
      </w:r>
    </w:p>
    <w:p w14:paraId="50D5AC8E" w14:textId="77777777" w:rsidR="006D2440" w:rsidRDefault="004D7CE6" w:rsidP="00165E5B">
      <w:pPr>
        <w:numPr>
          <w:ilvl w:val="0"/>
          <w:numId w:val="20"/>
        </w:numPr>
        <w:spacing w:after="120" w:line="240" w:lineRule="auto"/>
        <w:rPr>
          <w:rFonts w:ascii="Calibri" w:eastAsia="Calibri" w:hAnsi="Calibri" w:cs="Calibri"/>
        </w:rPr>
      </w:pPr>
      <w:r>
        <w:rPr>
          <w:rFonts w:ascii="Calibri" w:eastAsia="Calibri" w:hAnsi="Calibri" w:cs="Calibri"/>
        </w:rPr>
        <w:t>Primary care workers may not be aware of existing MBS items for providing clinical support to a patient who is participating in a telehealth attendance.</w:t>
      </w:r>
    </w:p>
    <w:p w14:paraId="3049B10F" w14:textId="77777777" w:rsidR="006D2440" w:rsidRDefault="004D7CE6" w:rsidP="00165E5B">
      <w:pPr>
        <w:numPr>
          <w:ilvl w:val="0"/>
          <w:numId w:val="20"/>
        </w:numPr>
        <w:spacing w:after="120" w:line="240" w:lineRule="auto"/>
        <w:rPr>
          <w:rFonts w:ascii="Calibri" w:eastAsia="Calibri" w:hAnsi="Calibri" w:cs="Calibri"/>
        </w:rPr>
      </w:pPr>
      <w:r>
        <w:rPr>
          <w:rFonts w:ascii="Calibri" w:eastAsia="Calibri" w:hAnsi="Calibri" w:cs="Calibri"/>
        </w:rPr>
        <w:t>Clinicians may be unwilling to change their clinical practice to adopt telehealth and may not be convinced of its effectiveness (4). There may be a lack of understanding of the functionality and security of telehealth.</w:t>
      </w:r>
    </w:p>
    <w:p w14:paraId="161A4E64" w14:textId="77777777" w:rsidR="006D2440" w:rsidRDefault="004D7CE6" w:rsidP="00165E5B">
      <w:pPr>
        <w:spacing w:after="120" w:line="240" w:lineRule="auto"/>
        <w:ind w:left="573" w:hanging="431"/>
        <w:rPr>
          <w:rFonts w:ascii="Calibri" w:eastAsia="Calibri" w:hAnsi="Calibri" w:cs="Calibri"/>
        </w:rPr>
      </w:pPr>
      <w:r>
        <w:rPr>
          <w:rFonts w:ascii="Calibri" w:eastAsia="Calibri" w:hAnsi="Calibri" w:cs="Calibri"/>
        </w:rPr>
        <w:t>Telehealth also requires additional technology and administrative support to enable efficient delivery, such as telehealth equipment, scheduling software, and mechanisms to collate and email patient records and investigation results. These technical issues may be regarded as significant barriers to access to potential provider users.</w:t>
      </w:r>
    </w:p>
    <w:p w14:paraId="0A3DFFD0" w14:textId="77777777" w:rsidR="006D2440" w:rsidRDefault="004D7CE6" w:rsidP="00165E5B">
      <w:pPr>
        <w:pStyle w:val="Style4"/>
        <w:spacing w:before="0" w:line="240" w:lineRule="auto"/>
      </w:pPr>
      <w:r>
        <w:t>Recommendation 9 – A new framework for telehealth</w:t>
      </w:r>
    </w:p>
    <w:p w14:paraId="078B8BDC" w14:textId="77777777" w:rsidR="006D2440" w:rsidRDefault="004D7CE6" w:rsidP="00165E5B">
      <w:pPr>
        <w:spacing w:after="120" w:line="240" w:lineRule="auto"/>
        <w:ind w:left="573" w:hanging="431"/>
        <w:rPr>
          <w:rFonts w:ascii="Calibri" w:eastAsia="Calibri" w:hAnsi="Calibri" w:cs="Calibri"/>
        </w:rPr>
      </w:pPr>
      <w:r>
        <w:rPr>
          <w:rFonts w:ascii="Calibri" w:eastAsia="Calibri" w:hAnsi="Calibri" w:cs="Calibri"/>
        </w:rPr>
        <w:t>The Committee recommends:</w:t>
      </w:r>
    </w:p>
    <w:p w14:paraId="0F811A5E" w14:textId="77777777" w:rsidR="006D2440" w:rsidRDefault="004D7CE6" w:rsidP="00165E5B">
      <w:pPr>
        <w:numPr>
          <w:ilvl w:val="0"/>
          <w:numId w:val="9"/>
        </w:numPr>
        <w:spacing w:after="120" w:line="240" w:lineRule="auto"/>
        <w:rPr>
          <w:rFonts w:ascii="Calibri" w:eastAsia="Calibri" w:hAnsi="Calibri" w:cs="Calibri"/>
        </w:rPr>
      </w:pPr>
      <w:r>
        <w:rPr>
          <w:rFonts w:ascii="Calibri" w:eastAsia="Calibri" w:hAnsi="Calibri" w:cs="Calibri"/>
        </w:rPr>
        <w:lastRenderedPageBreak/>
        <w:t xml:space="preserve">Removing the eight specialty-specific telehealth attendance items (items 113, 114, 384, 2799, 3003, 6004, 6025, and 6059) from the </w:t>
      </w:r>
      <w:proofErr w:type="gramStart"/>
      <w:r>
        <w:rPr>
          <w:rFonts w:ascii="Calibri" w:eastAsia="Calibri" w:hAnsi="Calibri" w:cs="Calibri"/>
        </w:rPr>
        <w:t>MBS;</w:t>
      </w:r>
      <w:proofErr w:type="gramEnd"/>
    </w:p>
    <w:p w14:paraId="66DD3866" w14:textId="77777777" w:rsidR="006D2440" w:rsidRDefault="004D7CE6" w:rsidP="00165E5B">
      <w:pPr>
        <w:numPr>
          <w:ilvl w:val="0"/>
          <w:numId w:val="9"/>
        </w:numPr>
        <w:spacing w:after="120" w:line="240" w:lineRule="auto"/>
        <w:rPr>
          <w:rFonts w:ascii="Calibri" w:eastAsia="Calibri" w:hAnsi="Calibri" w:cs="Calibri"/>
        </w:rPr>
      </w:pPr>
      <w:r>
        <w:rPr>
          <w:rFonts w:ascii="Calibri" w:eastAsia="Calibri" w:hAnsi="Calibri" w:cs="Calibri"/>
        </w:rPr>
        <w:t xml:space="preserve">incrementally reducing derived fee for the nine telehealth loading items loading items (items 99, 112, 149, 389, 2820, 3015, 6016, 6026, and 6060) to </w:t>
      </w:r>
      <w:proofErr w:type="gramStart"/>
      <w:r>
        <w:rPr>
          <w:rFonts w:ascii="Calibri" w:eastAsia="Calibri" w:hAnsi="Calibri" w:cs="Calibri"/>
        </w:rPr>
        <w:t>zero;</w:t>
      </w:r>
      <w:proofErr w:type="gramEnd"/>
      <w:r>
        <w:rPr>
          <w:rFonts w:ascii="Calibri" w:eastAsia="Calibri" w:hAnsi="Calibri" w:cs="Calibri"/>
        </w:rPr>
        <w:t xml:space="preserve"> </w:t>
      </w:r>
    </w:p>
    <w:p w14:paraId="4FC9A05B" w14:textId="77777777" w:rsidR="006D2440" w:rsidRDefault="004D7CE6" w:rsidP="00165E5B">
      <w:pPr>
        <w:numPr>
          <w:ilvl w:val="0"/>
          <w:numId w:val="9"/>
        </w:numPr>
        <w:spacing w:after="120" w:line="240" w:lineRule="auto"/>
        <w:rPr>
          <w:rFonts w:ascii="Calibri" w:eastAsia="Calibri" w:hAnsi="Calibri" w:cs="Calibri"/>
        </w:rPr>
      </w:pPr>
      <w:r>
        <w:rPr>
          <w:rFonts w:ascii="Calibri" w:eastAsia="Calibri" w:hAnsi="Calibri" w:cs="Calibri"/>
        </w:rPr>
        <w:t>undertaking annual analysis of the phase out so to identify potential unintended consequences; and</w:t>
      </w:r>
    </w:p>
    <w:p w14:paraId="0519B434" w14:textId="77777777" w:rsidR="006D2440" w:rsidRDefault="004D7CE6" w:rsidP="00165E5B">
      <w:pPr>
        <w:numPr>
          <w:ilvl w:val="0"/>
          <w:numId w:val="9"/>
        </w:numPr>
        <w:spacing w:after="120" w:line="240" w:lineRule="auto"/>
        <w:rPr>
          <w:rFonts w:ascii="Calibri" w:eastAsia="Calibri" w:hAnsi="Calibri" w:cs="Calibri"/>
        </w:rPr>
      </w:pPr>
      <w:r>
        <w:rPr>
          <w:rFonts w:ascii="Calibri" w:eastAsia="Calibri" w:hAnsi="Calibri" w:cs="Calibri"/>
        </w:rPr>
        <w:t>introducing new telehealth-specific attendance items (after the nine loading items have been removed) that mirror the standard time-tiered attendance items, with the same fees, and with item descriptors that describe recommended activities to be performed in each tier.</w:t>
      </w:r>
    </w:p>
    <w:p w14:paraId="4622ED02" w14:textId="77777777" w:rsidR="006D2440" w:rsidRDefault="004D7CE6">
      <w:pPr>
        <w:spacing w:after="200" w:line="240" w:lineRule="auto"/>
        <w:rPr>
          <w:rFonts w:ascii="Calibri" w:eastAsia="Calibri" w:hAnsi="Calibri" w:cs="Calibri"/>
          <w:i/>
          <w:color w:val="44546A"/>
          <w:sz w:val="18"/>
          <w:szCs w:val="18"/>
        </w:rPr>
      </w:pPr>
      <w:bookmarkStart w:id="98" w:name="_1mrcu09" w:colFirst="0" w:colLast="0"/>
      <w:bookmarkEnd w:id="98"/>
      <w:r>
        <w:rPr>
          <w:rFonts w:ascii="Calibri" w:eastAsia="Calibri" w:hAnsi="Calibri" w:cs="Calibri"/>
          <w:i/>
          <w:color w:val="44546A"/>
          <w:sz w:val="18"/>
          <w:szCs w:val="18"/>
        </w:rPr>
        <w:t>Table 6: Telehealth attendance item descriptors</w:t>
      </w:r>
    </w:p>
    <w:tbl>
      <w:tblPr>
        <w:tblW w:w="907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00" w:firstRow="0" w:lastRow="0" w:firstColumn="0" w:lastColumn="0" w:noHBand="0" w:noVBand="1"/>
      </w:tblPr>
      <w:tblGrid>
        <w:gridCol w:w="764"/>
        <w:gridCol w:w="1077"/>
        <w:gridCol w:w="7236"/>
      </w:tblGrid>
      <w:tr w:rsidR="006D2440" w14:paraId="2580195C" w14:textId="77777777">
        <w:tc>
          <w:tcPr>
            <w:tcW w:w="764" w:type="dxa"/>
            <w:shd w:val="clear" w:color="auto" w:fill="01653F"/>
            <w:vAlign w:val="bottom"/>
          </w:tcPr>
          <w:p w14:paraId="44EB2F75" w14:textId="77777777" w:rsidR="006D2440" w:rsidRDefault="004D7CE6">
            <w:pPr>
              <w:spacing w:before="20" w:after="20"/>
              <w:rPr>
                <w:b/>
                <w:color w:val="FFFFFF"/>
              </w:rPr>
            </w:pPr>
            <w:r>
              <w:rPr>
                <w:b/>
                <w:color w:val="FFFFFF"/>
              </w:rPr>
              <w:t>Level (item)</w:t>
            </w:r>
            <w:r>
              <w:rPr>
                <w:b/>
                <w:color w:val="FFFFFF"/>
                <w:vertAlign w:val="superscript"/>
              </w:rPr>
              <w:footnoteReference w:id="18"/>
            </w:r>
          </w:p>
        </w:tc>
        <w:tc>
          <w:tcPr>
            <w:tcW w:w="1077" w:type="dxa"/>
            <w:shd w:val="clear" w:color="auto" w:fill="01653F"/>
            <w:vAlign w:val="bottom"/>
          </w:tcPr>
          <w:p w14:paraId="0D886B28" w14:textId="77777777" w:rsidR="006D2440" w:rsidRDefault="004D7CE6">
            <w:pPr>
              <w:spacing w:before="20" w:after="20"/>
              <w:rPr>
                <w:b/>
                <w:color w:val="FFFFFF"/>
              </w:rPr>
            </w:pPr>
            <w:r>
              <w:rPr>
                <w:b/>
                <w:color w:val="FFFFFF"/>
              </w:rPr>
              <w:t>Duration</w:t>
            </w:r>
          </w:p>
        </w:tc>
        <w:tc>
          <w:tcPr>
            <w:tcW w:w="7236" w:type="dxa"/>
            <w:shd w:val="clear" w:color="auto" w:fill="01653F"/>
          </w:tcPr>
          <w:p w14:paraId="4583943B" w14:textId="77777777" w:rsidR="006D2440" w:rsidRDefault="006D2440">
            <w:pPr>
              <w:spacing w:before="20" w:after="20"/>
              <w:rPr>
                <w:b/>
                <w:color w:val="FFFFFF"/>
              </w:rPr>
            </w:pPr>
          </w:p>
          <w:p w14:paraId="63DA65D6" w14:textId="77777777" w:rsidR="006D2440" w:rsidRDefault="006D2440">
            <w:pPr>
              <w:spacing w:before="20" w:after="20"/>
              <w:rPr>
                <w:b/>
                <w:color w:val="FFFFFF"/>
              </w:rPr>
            </w:pPr>
          </w:p>
          <w:p w14:paraId="4C81AABE" w14:textId="77777777" w:rsidR="006D2440" w:rsidRDefault="004D7CE6">
            <w:pPr>
              <w:spacing w:before="20" w:after="20"/>
              <w:rPr>
                <w:b/>
                <w:color w:val="FFFFFF"/>
              </w:rPr>
            </w:pPr>
            <w:r>
              <w:rPr>
                <w:b/>
                <w:color w:val="FFFFFF"/>
              </w:rPr>
              <w:t>Item descriptor</w:t>
            </w:r>
          </w:p>
        </w:tc>
      </w:tr>
      <w:tr w:rsidR="006D2440" w14:paraId="37D7F265" w14:textId="77777777">
        <w:tc>
          <w:tcPr>
            <w:tcW w:w="764" w:type="dxa"/>
            <w:shd w:val="clear" w:color="auto" w:fill="auto"/>
          </w:tcPr>
          <w:p w14:paraId="3E59AC33" w14:textId="77777777" w:rsidR="006D2440" w:rsidRDefault="004D7CE6">
            <w:pPr>
              <w:spacing w:before="20" w:after="20"/>
              <w:rPr>
                <w:b/>
              </w:rPr>
            </w:pPr>
            <w:r>
              <w:rPr>
                <w:b/>
              </w:rPr>
              <w:t>Level B</w:t>
            </w:r>
          </w:p>
          <w:p w14:paraId="112FE8D6" w14:textId="77777777" w:rsidR="006D2440" w:rsidRDefault="004D7CE6">
            <w:pPr>
              <w:spacing w:before="20" w:after="20"/>
            </w:pPr>
            <w:r>
              <w:t>(THB)</w:t>
            </w:r>
          </w:p>
          <w:p w14:paraId="76041814" w14:textId="77777777" w:rsidR="006D2440" w:rsidRDefault="006D2440">
            <w:pPr>
              <w:spacing w:before="20" w:after="20"/>
            </w:pPr>
          </w:p>
        </w:tc>
        <w:tc>
          <w:tcPr>
            <w:tcW w:w="1077" w:type="dxa"/>
            <w:shd w:val="clear" w:color="auto" w:fill="auto"/>
          </w:tcPr>
          <w:p w14:paraId="161CBC44" w14:textId="77777777" w:rsidR="006D2440" w:rsidRDefault="004D7CE6">
            <w:pPr>
              <w:spacing w:before="20" w:after="20"/>
            </w:pPr>
            <w:r>
              <w:t>6-20 minutes</w:t>
            </w:r>
          </w:p>
        </w:tc>
        <w:tc>
          <w:tcPr>
            <w:tcW w:w="7236" w:type="dxa"/>
          </w:tcPr>
          <w:p w14:paraId="676F4010" w14:textId="77777777" w:rsidR="006D2440" w:rsidRDefault="004D7CE6">
            <w:pPr>
              <w:spacing w:before="20" w:after="20"/>
            </w:pPr>
            <w:r>
              <w:t xml:space="preserve">Professional attendance of </w:t>
            </w:r>
            <w:r>
              <w:rPr>
                <w:b/>
              </w:rPr>
              <w:t>more than 5 minutes</w:t>
            </w:r>
            <w:r>
              <w:t xml:space="preserve"> </w:t>
            </w:r>
            <w:r>
              <w:rPr>
                <w:b/>
              </w:rPr>
              <w:t xml:space="preserve">but not more than 20 minutes </w:t>
            </w:r>
            <w:r>
              <w:t xml:space="preserve">by a consultant specialist in the practice of his or her </w:t>
            </w:r>
            <w:proofErr w:type="spellStart"/>
            <w:r>
              <w:t>speciality</w:t>
            </w:r>
            <w:proofErr w:type="spellEnd"/>
            <w:r>
              <w:t xml:space="preserve"> if: </w:t>
            </w:r>
          </w:p>
          <w:p w14:paraId="31F98AF8" w14:textId="77777777" w:rsidR="006D2440" w:rsidRDefault="004D7CE6">
            <w:pPr>
              <w:numPr>
                <w:ilvl w:val="1"/>
                <w:numId w:val="40"/>
              </w:numPr>
              <w:spacing w:before="20"/>
              <w:ind w:left="360"/>
            </w:pPr>
            <w:r>
              <w:t xml:space="preserve">the attendance is by video conference; and </w:t>
            </w:r>
          </w:p>
          <w:p w14:paraId="4D5507D0" w14:textId="77777777" w:rsidR="006D2440" w:rsidRDefault="004D7CE6">
            <w:pPr>
              <w:numPr>
                <w:ilvl w:val="1"/>
                <w:numId w:val="40"/>
              </w:numPr>
              <w:ind w:left="360"/>
            </w:pPr>
            <w:r>
              <w:t xml:space="preserve">the patient is not an admitted patient; and </w:t>
            </w:r>
          </w:p>
          <w:p w14:paraId="5219877C" w14:textId="77777777" w:rsidR="006D2440" w:rsidRDefault="004D7CE6">
            <w:pPr>
              <w:numPr>
                <w:ilvl w:val="1"/>
                <w:numId w:val="40"/>
              </w:numPr>
              <w:ind w:left="360"/>
            </w:pPr>
            <w:r>
              <w:t xml:space="preserve">the patient: </w:t>
            </w:r>
          </w:p>
          <w:p w14:paraId="386F807B" w14:textId="77777777" w:rsidR="006D2440" w:rsidRDefault="004D7CE6">
            <w:pPr>
              <w:numPr>
                <w:ilvl w:val="0"/>
                <w:numId w:val="37"/>
              </w:numPr>
            </w:pPr>
            <w:r>
              <w:t xml:space="preserve">is located both: (a) within a telehealth eligible area; and (b) at the time of the attendance--at least 15 km by road from the consultant specialist; or </w:t>
            </w:r>
          </w:p>
          <w:p w14:paraId="28A0BFC2" w14:textId="77777777" w:rsidR="006D2440" w:rsidRDefault="004D7CE6">
            <w:pPr>
              <w:numPr>
                <w:ilvl w:val="0"/>
                <w:numId w:val="37"/>
              </w:numPr>
            </w:pPr>
            <w:r>
              <w:t xml:space="preserve">is a care recipient in a residential care service; or </w:t>
            </w:r>
          </w:p>
          <w:p w14:paraId="39E93D7C" w14:textId="77777777" w:rsidR="006D2440" w:rsidRDefault="004D7CE6">
            <w:pPr>
              <w:numPr>
                <w:ilvl w:val="0"/>
                <w:numId w:val="37"/>
              </w:numPr>
              <w:spacing w:after="20"/>
            </w:pPr>
            <w:r>
              <w:t>is a patient of: (a) an Aboriginal Medical Service; or (b) an Aboriginal Community Controlled Health Service; for which a direction made under subsection 19(2) of the act applies.</w:t>
            </w:r>
          </w:p>
          <w:p w14:paraId="43E886E1" w14:textId="77777777" w:rsidR="006D2440" w:rsidRDefault="006D2440">
            <w:pPr>
              <w:spacing w:before="20" w:after="20"/>
            </w:pPr>
          </w:p>
          <w:p w14:paraId="4A8B2E7E" w14:textId="77777777" w:rsidR="006D2440" w:rsidRDefault="004D7CE6">
            <w:pPr>
              <w:spacing w:before="20" w:after="20"/>
            </w:pPr>
            <w:r>
              <w:t>An attendance including any of the following that are clinically relevant:</w:t>
            </w:r>
          </w:p>
          <w:p w14:paraId="58837FEC" w14:textId="77777777" w:rsidR="006D2440" w:rsidRDefault="004D7CE6">
            <w:pPr>
              <w:numPr>
                <w:ilvl w:val="0"/>
                <w:numId w:val="10"/>
              </w:numPr>
              <w:spacing w:before="20"/>
              <w:ind w:left="360"/>
            </w:pPr>
            <w:r>
              <w:t xml:space="preserve">a focused patient history </w:t>
            </w:r>
          </w:p>
          <w:p w14:paraId="47CF6D01" w14:textId="77777777" w:rsidR="006D2440" w:rsidRDefault="004D7CE6">
            <w:pPr>
              <w:numPr>
                <w:ilvl w:val="0"/>
                <w:numId w:val="10"/>
              </w:numPr>
              <w:ind w:left="357"/>
            </w:pPr>
            <w:r>
              <w:t>implementing a management plan</w:t>
            </w:r>
          </w:p>
          <w:p w14:paraId="7B95AB42" w14:textId="77777777" w:rsidR="006D2440" w:rsidRDefault="004D7CE6">
            <w:pPr>
              <w:numPr>
                <w:ilvl w:val="0"/>
                <w:numId w:val="10"/>
              </w:numPr>
              <w:spacing w:after="20"/>
              <w:ind w:left="357"/>
            </w:pPr>
            <w:r>
              <w:t>outcomes documented and communicated in writing to the referring practitioner</w:t>
            </w:r>
          </w:p>
        </w:tc>
      </w:tr>
      <w:tr w:rsidR="006D2440" w14:paraId="775157E7" w14:textId="77777777">
        <w:tc>
          <w:tcPr>
            <w:tcW w:w="764" w:type="dxa"/>
            <w:shd w:val="clear" w:color="auto" w:fill="auto"/>
          </w:tcPr>
          <w:p w14:paraId="727AEA6D" w14:textId="77777777" w:rsidR="006D2440" w:rsidRDefault="004D7CE6">
            <w:pPr>
              <w:spacing w:before="20" w:after="20"/>
              <w:rPr>
                <w:b/>
              </w:rPr>
            </w:pPr>
            <w:r>
              <w:rPr>
                <w:b/>
              </w:rPr>
              <w:t>Level C</w:t>
            </w:r>
          </w:p>
          <w:p w14:paraId="70803A5A" w14:textId="77777777" w:rsidR="006D2440" w:rsidRDefault="004D7CE6">
            <w:pPr>
              <w:spacing w:before="20" w:after="20"/>
            </w:pPr>
            <w:r>
              <w:t>(THC)</w:t>
            </w:r>
          </w:p>
        </w:tc>
        <w:tc>
          <w:tcPr>
            <w:tcW w:w="1077" w:type="dxa"/>
            <w:shd w:val="clear" w:color="auto" w:fill="auto"/>
          </w:tcPr>
          <w:p w14:paraId="024B7820" w14:textId="77777777" w:rsidR="006D2440" w:rsidRDefault="004D7CE6">
            <w:pPr>
              <w:spacing w:before="20" w:after="20"/>
            </w:pPr>
            <w:r>
              <w:t>21-40 minutes</w:t>
            </w:r>
          </w:p>
        </w:tc>
        <w:tc>
          <w:tcPr>
            <w:tcW w:w="7236" w:type="dxa"/>
          </w:tcPr>
          <w:p w14:paraId="244C069E" w14:textId="77777777" w:rsidR="006D2440" w:rsidRDefault="004D7CE6">
            <w:pPr>
              <w:spacing w:before="20" w:after="20"/>
            </w:pPr>
            <w:r>
              <w:t xml:space="preserve">Professional attendance of </w:t>
            </w:r>
            <w:r>
              <w:rPr>
                <w:b/>
              </w:rPr>
              <w:t>more than 20 minutes</w:t>
            </w:r>
            <w:r>
              <w:t xml:space="preserve"> </w:t>
            </w:r>
            <w:r>
              <w:rPr>
                <w:b/>
              </w:rPr>
              <w:t xml:space="preserve">but not more than 40 minutes </w:t>
            </w:r>
            <w:r>
              <w:t xml:space="preserve">by a consultant specialist in the practice of his or her </w:t>
            </w:r>
            <w:proofErr w:type="spellStart"/>
            <w:r>
              <w:t>speciality</w:t>
            </w:r>
            <w:proofErr w:type="spellEnd"/>
            <w:r>
              <w:t xml:space="preserve"> if: </w:t>
            </w:r>
          </w:p>
          <w:p w14:paraId="13A6AE93" w14:textId="77777777" w:rsidR="006D2440" w:rsidRDefault="004D7CE6">
            <w:pPr>
              <w:numPr>
                <w:ilvl w:val="1"/>
                <w:numId w:val="40"/>
              </w:numPr>
              <w:spacing w:before="20"/>
              <w:ind w:left="360"/>
            </w:pPr>
            <w:r>
              <w:t xml:space="preserve">the attendance is by video conference; and </w:t>
            </w:r>
          </w:p>
          <w:p w14:paraId="7C83F957" w14:textId="77777777" w:rsidR="006D2440" w:rsidRDefault="004D7CE6">
            <w:pPr>
              <w:numPr>
                <w:ilvl w:val="1"/>
                <w:numId w:val="40"/>
              </w:numPr>
              <w:ind w:left="360"/>
            </w:pPr>
            <w:r>
              <w:t xml:space="preserve">the patient is not an admitted patient; and </w:t>
            </w:r>
          </w:p>
          <w:p w14:paraId="6E018ACB" w14:textId="77777777" w:rsidR="006D2440" w:rsidRDefault="004D7CE6">
            <w:pPr>
              <w:numPr>
                <w:ilvl w:val="1"/>
                <w:numId w:val="40"/>
              </w:numPr>
              <w:ind w:left="360"/>
            </w:pPr>
            <w:r>
              <w:t xml:space="preserve">the patient: </w:t>
            </w:r>
          </w:p>
          <w:p w14:paraId="4C368841" w14:textId="77777777" w:rsidR="006D2440" w:rsidRDefault="004D7CE6">
            <w:pPr>
              <w:numPr>
                <w:ilvl w:val="0"/>
                <w:numId w:val="37"/>
              </w:numPr>
            </w:pPr>
            <w:r>
              <w:t xml:space="preserve">is located both: (a) within a telehealth eligible area; and (b) at the time of the attendance--at least 15 km by road from the consultant specialist; or </w:t>
            </w:r>
          </w:p>
          <w:p w14:paraId="6315FEDA" w14:textId="77777777" w:rsidR="006D2440" w:rsidRDefault="004D7CE6">
            <w:pPr>
              <w:numPr>
                <w:ilvl w:val="0"/>
                <w:numId w:val="37"/>
              </w:numPr>
            </w:pPr>
            <w:r>
              <w:lastRenderedPageBreak/>
              <w:t xml:space="preserve">is a care recipient in a residential care service; or </w:t>
            </w:r>
          </w:p>
          <w:p w14:paraId="5DDED7D8" w14:textId="77777777" w:rsidR="006D2440" w:rsidRDefault="004D7CE6">
            <w:pPr>
              <w:numPr>
                <w:ilvl w:val="0"/>
                <w:numId w:val="37"/>
              </w:numPr>
              <w:spacing w:after="20"/>
            </w:pPr>
            <w:r>
              <w:t xml:space="preserve">is a patient of: (a) an aboriginal medical service; or (b) an aboriginal </w:t>
            </w:r>
            <w:proofErr w:type="gramStart"/>
            <w:r>
              <w:t>community controlled</w:t>
            </w:r>
            <w:proofErr w:type="gramEnd"/>
            <w:r>
              <w:t xml:space="preserve"> health service; for which a direction made under subsection 19(2) of the act applies.</w:t>
            </w:r>
          </w:p>
          <w:p w14:paraId="490B73D4" w14:textId="77777777" w:rsidR="006D2440" w:rsidRDefault="006D2440">
            <w:pPr>
              <w:spacing w:before="20" w:after="20"/>
            </w:pPr>
          </w:p>
          <w:p w14:paraId="5767573E" w14:textId="77777777" w:rsidR="006D2440" w:rsidRDefault="004D7CE6">
            <w:pPr>
              <w:spacing w:before="20" w:after="20"/>
            </w:pPr>
            <w:r>
              <w:t>An attendance including any of the following that are clinically relevant:</w:t>
            </w:r>
          </w:p>
          <w:p w14:paraId="328ACD73" w14:textId="77777777" w:rsidR="006D2440" w:rsidRDefault="004D7CE6">
            <w:pPr>
              <w:numPr>
                <w:ilvl w:val="0"/>
                <w:numId w:val="17"/>
              </w:numPr>
              <w:spacing w:before="20"/>
            </w:pPr>
            <w:r>
              <w:t xml:space="preserve">detailed patient history of a </w:t>
            </w:r>
            <w:proofErr w:type="gramStart"/>
            <w:r>
              <w:t>major single or multiple minor conditions</w:t>
            </w:r>
            <w:proofErr w:type="gramEnd"/>
          </w:p>
          <w:p w14:paraId="11F88C26" w14:textId="77777777" w:rsidR="006D2440" w:rsidRDefault="004D7CE6">
            <w:pPr>
              <w:numPr>
                <w:ilvl w:val="0"/>
                <w:numId w:val="17"/>
              </w:numPr>
            </w:pPr>
            <w:r>
              <w:t>single or multiple minor diagnostic problems considered</w:t>
            </w:r>
          </w:p>
          <w:p w14:paraId="07253958" w14:textId="77777777" w:rsidR="006D2440" w:rsidRDefault="004D7CE6">
            <w:pPr>
              <w:numPr>
                <w:ilvl w:val="0"/>
                <w:numId w:val="17"/>
              </w:numPr>
            </w:pPr>
            <w:r>
              <w:t xml:space="preserve">a non-complex management plan and, if </w:t>
            </w:r>
            <w:proofErr w:type="gramStart"/>
            <w:r>
              <w:t>required;</w:t>
            </w:r>
            <w:proofErr w:type="gramEnd"/>
          </w:p>
          <w:p w14:paraId="3A15868A" w14:textId="77777777" w:rsidR="006D2440" w:rsidRDefault="004D7CE6">
            <w:pPr>
              <w:numPr>
                <w:ilvl w:val="0"/>
                <w:numId w:val="17"/>
              </w:numPr>
              <w:spacing w:after="20"/>
            </w:pPr>
            <w:r>
              <w:t xml:space="preserve">discussion of multiple treatment options available, </w:t>
            </w:r>
            <w:proofErr w:type="gramStart"/>
            <w:r>
              <w:t>including;</w:t>
            </w:r>
            <w:proofErr w:type="gramEnd"/>
          </w:p>
          <w:p w14:paraId="66D71DFE" w14:textId="77777777" w:rsidR="006D2440" w:rsidRDefault="004D7CE6">
            <w:pPr>
              <w:ind w:left="567" w:right="142"/>
            </w:pPr>
            <w:proofErr w:type="spellStart"/>
            <w:r>
              <w:t>i</w:t>
            </w:r>
            <w:proofErr w:type="spellEnd"/>
            <w:r>
              <w:t>. Discussion of treatment options to assess pros and cons of each option given patient characteristics and medical history</w:t>
            </w:r>
          </w:p>
          <w:p w14:paraId="65A68C83" w14:textId="77777777" w:rsidR="006D2440" w:rsidRDefault="004D7CE6">
            <w:pPr>
              <w:ind w:left="567" w:right="142"/>
            </w:pPr>
            <w:r>
              <w:t>ii. Consideration and discussion of necessary referrals to other health professionals</w:t>
            </w:r>
          </w:p>
          <w:p w14:paraId="4169655E" w14:textId="77777777" w:rsidR="006D2440" w:rsidRDefault="004D7CE6">
            <w:pPr>
              <w:ind w:left="567" w:right="142"/>
            </w:pPr>
            <w:r>
              <w:t xml:space="preserve">iii. Written documentation made available for the patient and/or </w:t>
            </w:r>
            <w:proofErr w:type="spellStart"/>
            <w:r>
              <w:t>carer</w:t>
            </w:r>
            <w:proofErr w:type="spellEnd"/>
            <w:r>
              <w:t xml:space="preserve"> that facilitates informed consent, such as treatment options, costs, and information on associated risks and benefits</w:t>
            </w:r>
          </w:p>
          <w:p w14:paraId="03629095" w14:textId="77777777" w:rsidR="006D2440" w:rsidRDefault="004D7CE6">
            <w:pPr>
              <w:numPr>
                <w:ilvl w:val="0"/>
                <w:numId w:val="17"/>
              </w:numPr>
              <w:spacing w:before="20" w:after="20"/>
            </w:pPr>
            <w:r>
              <w:t xml:space="preserve">outcomes documented and communicated in writing to the referring practitioner  </w:t>
            </w:r>
          </w:p>
        </w:tc>
      </w:tr>
      <w:tr w:rsidR="006D2440" w14:paraId="3E43F069" w14:textId="77777777">
        <w:tc>
          <w:tcPr>
            <w:tcW w:w="764" w:type="dxa"/>
            <w:shd w:val="clear" w:color="auto" w:fill="auto"/>
          </w:tcPr>
          <w:p w14:paraId="06A62678" w14:textId="77777777" w:rsidR="006D2440" w:rsidRDefault="004D7CE6">
            <w:pPr>
              <w:spacing w:before="20" w:after="20"/>
              <w:rPr>
                <w:b/>
              </w:rPr>
            </w:pPr>
            <w:r>
              <w:rPr>
                <w:b/>
              </w:rPr>
              <w:lastRenderedPageBreak/>
              <w:t xml:space="preserve">Level D </w:t>
            </w:r>
            <w:r>
              <w:t>(THC)</w:t>
            </w:r>
          </w:p>
        </w:tc>
        <w:tc>
          <w:tcPr>
            <w:tcW w:w="1077" w:type="dxa"/>
            <w:shd w:val="clear" w:color="auto" w:fill="auto"/>
          </w:tcPr>
          <w:p w14:paraId="2F1E6C49" w14:textId="77777777" w:rsidR="006D2440" w:rsidRDefault="004D7CE6">
            <w:pPr>
              <w:spacing w:before="20" w:after="20"/>
            </w:pPr>
            <w:r>
              <w:t>41-60 minutes</w:t>
            </w:r>
          </w:p>
        </w:tc>
        <w:tc>
          <w:tcPr>
            <w:tcW w:w="7236" w:type="dxa"/>
          </w:tcPr>
          <w:p w14:paraId="3D2D0A2E" w14:textId="77777777" w:rsidR="006D2440" w:rsidRDefault="004D7CE6">
            <w:pPr>
              <w:spacing w:before="20" w:after="20"/>
            </w:pPr>
            <w:r>
              <w:t xml:space="preserve">Professional attendance of </w:t>
            </w:r>
            <w:r>
              <w:rPr>
                <w:b/>
              </w:rPr>
              <w:t>more than 40 minutes</w:t>
            </w:r>
            <w:r>
              <w:t xml:space="preserve"> </w:t>
            </w:r>
            <w:r>
              <w:rPr>
                <w:b/>
              </w:rPr>
              <w:t xml:space="preserve">but not more than 60 minutes </w:t>
            </w:r>
            <w:r>
              <w:t xml:space="preserve">by a consultant specialist in the practice of his or her </w:t>
            </w:r>
            <w:proofErr w:type="spellStart"/>
            <w:r>
              <w:t>speciality</w:t>
            </w:r>
            <w:proofErr w:type="spellEnd"/>
            <w:r>
              <w:t xml:space="preserve"> if: </w:t>
            </w:r>
          </w:p>
          <w:p w14:paraId="03EC6281" w14:textId="77777777" w:rsidR="006D2440" w:rsidRDefault="004D7CE6">
            <w:pPr>
              <w:numPr>
                <w:ilvl w:val="1"/>
                <w:numId w:val="40"/>
              </w:numPr>
              <w:spacing w:before="20"/>
              <w:ind w:left="360"/>
            </w:pPr>
            <w:r>
              <w:t xml:space="preserve">the attendance is by video conference; and </w:t>
            </w:r>
          </w:p>
          <w:p w14:paraId="1E8B8F89" w14:textId="77777777" w:rsidR="006D2440" w:rsidRDefault="004D7CE6">
            <w:pPr>
              <w:numPr>
                <w:ilvl w:val="1"/>
                <w:numId w:val="40"/>
              </w:numPr>
              <w:ind w:left="360"/>
            </w:pPr>
            <w:r>
              <w:t xml:space="preserve">the patient is not an admitted patient; and </w:t>
            </w:r>
          </w:p>
          <w:p w14:paraId="6B0E35BC" w14:textId="77777777" w:rsidR="006D2440" w:rsidRDefault="004D7CE6">
            <w:pPr>
              <w:numPr>
                <w:ilvl w:val="1"/>
                <w:numId w:val="40"/>
              </w:numPr>
              <w:ind w:left="360"/>
            </w:pPr>
            <w:r>
              <w:t xml:space="preserve">the patient: </w:t>
            </w:r>
          </w:p>
          <w:p w14:paraId="1B306BA1" w14:textId="77777777" w:rsidR="006D2440" w:rsidRDefault="004D7CE6">
            <w:pPr>
              <w:numPr>
                <w:ilvl w:val="0"/>
                <w:numId w:val="37"/>
              </w:numPr>
            </w:pPr>
            <w:r>
              <w:t xml:space="preserve">is located both: (a) within a telehealth eligible area; and (b) at the time of the attendance--at least 15 km by road from the consultant specialist; or </w:t>
            </w:r>
          </w:p>
          <w:p w14:paraId="2B9DBC8E" w14:textId="77777777" w:rsidR="006D2440" w:rsidRDefault="004D7CE6">
            <w:pPr>
              <w:numPr>
                <w:ilvl w:val="0"/>
                <w:numId w:val="37"/>
              </w:numPr>
            </w:pPr>
            <w:r>
              <w:t xml:space="preserve">is a care recipient in a residential care service; or </w:t>
            </w:r>
          </w:p>
          <w:p w14:paraId="5D576ED9" w14:textId="77777777" w:rsidR="006D2440" w:rsidRDefault="004D7CE6">
            <w:pPr>
              <w:numPr>
                <w:ilvl w:val="0"/>
                <w:numId w:val="37"/>
              </w:numPr>
              <w:spacing w:after="20"/>
            </w:pPr>
            <w:r>
              <w:t xml:space="preserve">is a patient of: (a) an aboriginal medical service; or (b) an aboriginal </w:t>
            </w:r>
            <w:proofErr w:type="gramStart"/>
            <w:r>
              <w:t>community controlled</w:t>
            </w:r>
            <w:proofErr w:type="gramEnd"/>
            <w:r>
              <w:t xml:space="preserve"> health service; for which a direction made under subsection 19(2) of the act applies.</w:t>
            </w:r>
          </w:p>
          <w:p w14:paraId="7E445DCF" w14:textId="77777777" w:rsidR="006D2440" w:rsidRDefault="006D2440">
            <w:pPr>
              <w:spacing w:before="20" w:after="20"/>
            </w:pPr>
          </w:p>
          <w:p w14:paraId="1FCFCC61" w14:textId="77777777" w:rsidR="006D2440" w:rsidRDefault="004D7CE6">
            <w:pPr>
              <w:spacing w:before="20" w:after="20"/>
            </w:pPr>
            <w:r>
              <w:t>An attendance including any of the following that are clinically relevant:</w:t>
            </w:r>
          </w:p>
          <w:p w14:paraId="01E07A96" w14:textId="77777777" w:rsidR="006D2440" w:rsidRDefault="004D7CE6">
            <w:pPr>
              <w:numPr>
                <w:ilvl w:val="0"/>
                <w:numId w:val="14"/>
              </w:numPr>
              <w:spacing w:before="20"/>
            </w:pPr>
            <w:r>
              <w:t xml:space="preserve">comprehensive patient history of multiple conditions or a complex single condition </w:t>
            </w:r>
          </w:p>
          <w:p w14:paraId="1BCB7BB3" w14:textId="77777777" w:rsidR="006D2440" w:rsidRDefault="004D7CE6">
            <w:pPr>
              <w:numPr>
                <w:ilvl w:val="0"/>
                <w:numId w:val="14"/>
              </w:numPr>
            </w:pPr>
            <w:r>
              <w:t>multiple diagnostic problems considered</w:t>
            </w:r>
          </w:p>
          <w:p w14:paraId="68554623" w14:textId="77777777" w:rsidR="006D2440" w:rsidRDefault="004D7CE6">
            <w:pPr>
              <w:numPr>
                <w:ilvl w:val="0"/>
                <w:numId w:val="14"/>
              </w:numPr>
            </w:pPr>
            <w:r>
              <w:t xml:space="preserve">a comprehensive management plan and, if </w:t>
            </w:r>
            <w:proofErr w:type="gramStart"/>
            <w:r>
              <w:t>required;</w:t>
            </w:r>
            <w:proofErr w:type="gramEnd"/>
          </w:p>
          <w:p w14:paraId="2A70A1D4" w14:textId="77777777" w:rsidR="006D2440" w:rsidRDefault="004D7CE6">
            <w:pPr>
              <w:numPr>
                <w:ilvl w:val="0"/>
                <w:numId w:val="14"/>
              </w:numPr>
              <w:spacing w:after="20"/>
            </w:pPr>
            <w:r>
              <w:t xml:space="preserve">discussion of multiple treatment options available, </w:t>
            </w:r>
            <w:proofErr w:type="gramStart"/>
            <w:r>
              <w:t>including;</w:t>
            </w:r>
            <w:proofErr w:type="gramEnd"/>
          </w:p>
          <w:p w14:paraId="3DFD182F" w14:textId="77777777" w:rsidR="006D2440" w:rsidRDefault="004D7CE6">
            <w:pPr>
              <w:ind w:left="567" w:right="142"/>
            </w:pPr>
            <w:proofErr w:type="spellStart"/>
            <w:r>
              <w:t>i</w:t>
            </w:r>
            <w:proofErr w:type="spellEnd"/>
            <w:r>
              <w:t>. Discussion of treatment options to assess pros and cons of each option given patient characteristics and medical history</w:t>
            </w:r>
          </w:p>
          <w:p w14:paraId="31959892" w14:textId="77777777" w:rsidR="006D2440" w:rsidRDefault="004D7CE6">
            <w:pPr>
              <w:ind w:left="567" w:right="142"/>
            </w:pPr>
            <w:r>
              <w:t>ii. Consideration and discussion of necessary referrals to other health professionals</w:t>
            </w:r>
          </w:p>
          <w:p w14:paraId="530AD62E" w14:textId="77777777" w:rsidR="006D2440" w:rsidRDefault="004D7CE6">
            <w:pPr>
              <w:ind w:left="567" w:right="142"/>
            </w:pPr>
            <w:r>
              <w:lastRenderedPageBreak/>
              <w:t xml:space="preserve">iii. Written documentation made available for the patient and/or </w:t>
            </w:r>
            <w:proofErr w:type="spellStart"/>
            <w:r>
              <w:t>carer</w:t>
            </w:r>
            <w:proofErr w:type="spellEnd"/>
            <w:r>
              <w:t xml:space="preserve"> that outlines treatment options and information on associated risks and benefits</w:t>
            </w:r>
          </w:p>
          <w:p w14:paraId="61C784F1" w14:textId="77777777" w:rsidR="006D2440" w:rsidRDefault="004D7CE6">
            <w:pPr>
              <w:numPr>
                <w:ilvl w:val="0"/>
                <w:numId w:val="14"/>
              </w:numPr>
              <w:ind w:right="142"/>
            </w:pPr>
            <w:r>
              <w:t xml:space="preserve">Outcomes documented and communicated in writing to the referring practitioner  </w:t>
            </w:r>
          </w:p>
        </w:tc>
      </w:tr>
      <w:tr w:rsidR="006D2440" w14:paraId="534514F0" w14:textId="77777777">
        <w:tc>
          <w:tcPr>
            <w:tcW w:w="764" w:type="dxa"/>
            <w:shd w:val="clear" w:color="auto" w:fill="auto"/>
          </w:tcPr>
          <w:p w14:paraId="4F6AC456" w14:textId="77777777" w:rsidR="006D2440" w:rsidRDefault="004D7CE6">
            <w:pPr>
              <w:spacing w:before="20" w:after="20"/>
            </w:pPr>
            <w:r>
              <w:rPr>
                <w:b/>
              </w:rPr>
              <w:lastRenderedPageBreak/>
              <w:t xml:space="preserve">Level E </w:t>
            </w:r>
            <w:r>
              <w:t>(THE)</w:t>
            </w:r>
          </w:p>
        </w:tc>
        <w:tc>
          <w:tcPr>
            <w:tcW w:w="1077" w:type="dxa"/>
            <w:shd w:val="clear" w:color="auto" w:fill="auto"/>
          </w:tcPr>
          <w:p w14:paraId="4DFAE910" w14:textId="77777777" w:rsidR="006D2440" w:rsidRDefault="004D7CE6">
            <w:pPr>
              <w:spacing w:before="20" w:after="20"/>
            </w:pPr>
            <w:r>
              <w:t>More than 60 minutes</w:t>
            </w:r>
          </w:p>
        </w:tc>
        <w:tc>
          <w:tcPr>
            <w:tcW w:w="7236" w:type="dxa"/>
          </w:tcPr>
          <w:p w14:paraId="2DCBF224" w14:textId="77777777" w:rsidR="006D2440" w:rsidRDefault="004D7CE6">
            <w:pPr>
              <w:spacing w:before="20" w:after="20"/>
            </w:pPr>
            <w:r>
              <w:t xml:space="preserve">Professional attendance of </w:t>
            </w:r>
            <w:r>
              <w:rPr>
                <w:b/>
              </w:rPr>
              <w:t>more than 60 minutes</w:t>
            </w:r>
            <w:r>
              <w:t xml:space="preserve"> by a consultant specialist in the practice of his or her </w:t>
            </w:r>
            <w:proofErr w:type="spellStart"/>
            <w:r>
              <w:t>speciality</w:t>
            </w:r>
            <w:proofErr w:type="spellEnd"/>
            <w:r>
              <w:t xml:space="preserve"> if: </w:t>
            </w:r>
          </w:p>
          <w:p w14:paraId="04151511" w14:textId="77777777" w:rsidR="006D2440" w:rsidRDefault="004D7CE6">
            <w:pPr>
              <w:numPr>
                <w:ilvl w:val="1"/>
                <w:numId w:val="40"/>
              </w:numPr>
              <w:spacing w:before="20"/>
              <w:ind w:left="360"/>
            </w:pPr>
            <w:r>
              <w:t xml:space="preserve">the attendance is by video conference; and </w:t>
            </w:r>
          </w:p>
          <w:p w14:paraId="37D5D351" w14:textId="77777777" w:rsidR="006D2440" w:rsidRDefault="004D7CE6">
            <w:pPr>
              <w:numPr>
                <w:ilvl w:val="1"/>
                <w:numId w:val="40"/>
              </w:numPr>
              <w:ind w:left="360"/>
            </w:pPr>
            <w:r>
              <w:t xml:space="preserve">the patient is not an admitted patient; and </w:t>
            </w:r>
          </w:p>
          <w:p w14:paraId="21188F5D" w14:textId="77777777" w:rsidR="006D2440" w:rsidRDefault="004D7CE6">
            <w:pPr>
              <w:numPr>
                <w:ilvl w:val="1"/>
                <w:numId w:val="40"/>
              </w:numPr>
              <w:ind w:left="360"/>
            </w:pPr>
            <w:r>
              <w:t xml:space="preserve">the patient: </w:t>
            </w:r>
          </w:p>
          <w:p w14:paraId="46409A75" w14:textId="77777777" w:rsidR="006D2440" w:rsidRDefault="004D7CE6">
            <w:pPr>
              <w:numPr>
                <w:ilvl w:val="0"/>
                <w:numId w:val="37"/>
              </w:numPr>
            </w:pPr>
            <w:r>
              <w:t xml:space="preserve">is located both: (a) within a telehealth eligible area; and (b) at the time of the attendance--at least 15 km by road from consultant specialist; or </w:t>
            </w:r>
          </w:p>
          <w:p w14:paraId="377252C5" w14:textId="77777777" w:rsidR="006D2440" w:rsidRDefault="004D7CE6">
            <w:pPr>
              <w:numPr>
                <w:ilvl w:val="0"/>
                <w:numId w:val="37"/>
              </w:numPr>
            </w:pPr>
            <w:r>
              <w:t xml:space="preserve">is a care recipient in a residential care service; or </w:t>
            </w:r>
          </w:p>
          <w:p w14:paraId="37DE285B" w14:textId="77777777" w:rsidR="006D2440" w:rsidRDefault="004D7CE6">
            <w:pPr>
              <w:numPr>
                <w:ilvl w:val="0"/>
                <w:numId w:val="37"/>
              </w:numPr>
              <w:spacing w:after="20"/>
            </w:pPr>
            <w:r>
              <w:t xml:space="preserve">is a patient of: (a) an aboriginal medical service; or (b) an aboriginal </w:t>
            </w:r>
            <w:proofErr w:type="gramStart"/>
            <w:r>
              <w:t>community controlled</w:t>
            </w:r>
            <w:proofErr w:type="gramEnd"/>
            <w:r>
              <w:t xml:space="preserve"> health service; for which a direction made under subsection 19(2) of the act applies.</w:t>
            </w:r>
          </w:p>
          <w:p w14:paraId="60BF0E43" w14:textId="77777777" w:rsidR="006D2440" w:rsidRDefault="006D2440">
            <w:pPr>
              <w:spacing w:before="20" w:after="20"/>
            </w:pPr>
          </w:p>
          <w:p w14:paraId="1C930D10" w14:textId="77777777" w:rsidR="006D2440" w:rsidRDefault="004D7CE6">
            <w:pPr>
              <w:spacing w:before="20" w:after="20"/>
            </w:pPr>
            <w:r>
              <w:t>An attendance including any of the following that are clinically relevant:</w:t>
            </w:r>
          </w:p>
          <w:p w14:paraId="5068E7CB" w14:textId="77777777" w:rsidR="006D2440" w:rsidRDefault="004D7CE6">
            <w:pPr>
              <w:numPr>
                <w:ilvl w:val="0"/>
                <w:numId w:val="15"/>
              </w:numPr>
              <w:spacing w:before="20"/>
            </w:pPr>
            <w:r>
              <w:t xml:space="preserve">extensive history of multiple complex conditions </w:t>
            </w:r>
          </w:p>
          <w:p w14:paraId="63912D70" w14:textId="77777777" w:rsidR="006D2440" w:rsidRDefault="004D7CE6">
            <w:pPr>
              <w:numPr>
                <w:ilvl w:val="0"/>
                <w:numId w:val="15"/>
              </w:numPr>
            </w:pPr>
            <w:r>
              <w:t>multiple complex diagnoses considered</w:t>
            </w:r>
          </w:p>
          <w:p w14:paraId="53890198" w14:textId="77777777" w:rsidR="006D2440" w:rsidRDefault="004D7CE6">
            <w:pPr>
              <w:numPr>
                <w:ilvl w:val="0"/>
                <w:numId w:val="15"/>
              </w:numPr>
            </w:pPr>
            <w:r>
              <w:t xml:space="preserve">a comprehensive management plan and, if </w:t>
            </w:r>
            <w:proofErr w:type="gramStart"/>
            <w:r>
              <w:t>required;</w:t>
            </w:r>
            <w:proofErr w:type="gramEnd"/>
          </w:p>
          <w:p w14:paraId="4A0F113D" w14:textId="77777777" w:rsidR="006D2440" w:rsidRDefault="004D7CE6">
            <w:pPr>
              <w:numPr>
                <w:ilvl w:val="0"/>
                <w:numId w:val="15"/>
              </w:numPr>
              <w:spacing w:after="20"/>
            </w:pPr>
            <w:r>
              <w:t xml:space="preserve">discussion of multiple treatment options available, </w:t>
            </w:r>
            <w:proofErr w:type="gramStart"/>
            <w:r>
              <w:t>including;</w:t>
            </w:r>
            <w:proofErr w:type="gramEnd"/>
          </w:p>
          <w:p w14:paraId="3F153604" w14:textId="77777777" w:rsidR="006D2440" w:rsidRDefault="004D7CE6">
            <w:pPr>
              <w:ind w:left="567" w:right="142"/>
            </w:pPr>
            <w:proofErr w:type="spellStart"/>
            <w:r>
              <w:t>i</w:t>
            </w:r>
            <w:proofErr w:type="spellEnd"/>
            <w:r>
              <w:t>. Discussion of treatment options to assess pros and cons of each option given patient characteristics and medical history</w:t>
            </w:r>
          </w:p>
          <w:p w14:paraId="2BC5FDAA" w14:textId="77777777" w:rsidR="006D2440" w:rsidRDefault="004D7CE6">
            <w:pPr>
              <w:ind w:left="567" w:right="142"/>
            </w:pPr>
            <w:r>
              <w:t>ii. Consideration and discussion of necessary referrals to other health professionals</w:t>
            </w:r>
          </w:p>
          <w:p w14:paraId="65A11DCD" w14:textId="77777777" w:rsidR="006D2440" w:rsidRDefault="004D7CE6">
            <w:pPr>
              <w:ind w:left="567" w:right="142"/>
            </w:pPr>
            <w:r>
              <w:t xml:space="preserve">iii. Written documentation made available for the patient and/or </w:t>
            </w:r>
            <w:proofErr w:type="spellStart"/>
            <w:r>
              <w:t>carer</w:t>
            </w:r>
            <w:proofErr w:type="spellEnd"/>
            <w:r>
              <w:t xml:space="preserve"> that outlines treatment options and information on associated risks and benefits</w:t>
            </w:r>
          </w:p>
          <w:p w14:paraId="71012067" w14:textId="77777777" w:rsidR="006D2440" w:rsidRDefault="004D7CE6">
            <w:pPr>
              <w:numPr>
                <w:ilvl w:val="0"/>
                <w:numId w:val="15"/>
              </w:numPr>
              <w:spacing w:before="20" w:after="20"/>
            </w:pPr>
            <w:r>
              <w:t xml:space="preserve">Outcomes documented and communicated in writing to the referring practitioner  </w:t>
            </w:r>
          </w:p>
        </w:tc>
      </w:tr>
    </w:tbl>
    <w:p w14:paraId="1C412F67" w14:textId="77777777" w:rsidR="006D2440" w:rsidRDefault="006D2440">
      <w:pPr>
        <w:spacing w:before="120" w:after="60" w:line="312" w:lineRule="auto"/>
        <w:ind w:left="1070" w:right="142" w:hanging="360"/>
        <w:rPr>
          <w:rFonts w:ascii="Calibri" w:eastAsia="Calibri" w:hAnsi="Calibri" w:cs="Calibri"/>
        </w:rPr>
      </w:pPr>
    </w:p>
    <w:p w14:paraId="0BC451B2" w14:textId="77777777" w:rsidR="006D2440" w:rsidRDefault="004D7CE6" w:rsidP="00165E5B">
      <w:pPr>
        <w:pStyle w:val="Style4"/>
        <w:spacing w:before="0" w:line="240" w:lineRule="auto"/>
      </w:pPr>
      <w:r>
        <w:t>Recommendation 10 – Reinvest in telehealth</w:t>
      </w:r>
    </w:p>
    <w:p w14:paraId="057ED3E3" w14:textId="77777777" w:rsidR="006D2440" w:rsidRDefault="004D7CE6" w:rsidP="00165E5B">
      <w:pPr>
        <w:spacing w:after="120" w:line="240" w:lineRule="auto"/>
        <w:ind w:left="573" w:hanging="431"/>
        <w:rPr>
          <w:rFonts w:ascii="Calibri" w:eastAsia="Calibri" w:hAnsi="Calibri" w:cs="Calibri"/>
        </w:rPr>
      </w:pPr>
      <w:bookmarkStart w:id="99" w:name="_2lwamvv" w:colFirst="0" w:colLast="0"/>
      <w:bookmarkEnd w:id="99"/>
      <w:r>
        <w:rPr>
          <w:rFonts w:ascii="Calibri" w:eastAsia="Calibri" w:hAnsi="Calibri" w:cs="Calibri"/>
        </w:rPr>
        <w:t xml:space="preserve">The Committee recommends reinvesting all savings from removing the telehealth loading towards mechanisms designed to increase uptake of telehealth services in Australia. Both MBS and non-MBS mechanisms should be considered, and options could include the following: </w:t>
      </w:r>
    </w:p>
    <w:p w14:paraId="6D93641C" w14:textId="77777777" w:rsidR="006D2440" w:rsidRDefault="004D7CE6" w:rsidP="00165E5B">
      <w:pPr>
        <w:numPr>
          <w:ilvl w:val="0"/>
          <w:numId w:val="44"/>
        </w:numPr>
        <w:spacing w:after="120" w:line="240" w:lineRule="auto"/>
        <w:ind w:right="142"/>
        <w:rPr>
          <w:rFonts w:ascii="Calibri" w:eastAsia="Calibri" w:hAnsi="Calibri" w:cs="Calibri"/>
        </w:rPr>
      </w:pPr>
      <w:r>
        <w:rPr>
          <w:rFonts w:ascii="Calibri" w:eastAsia="Calibri" w:hAnsi="Calibri" w:cs="Calibri"/>
        </w:rPr>
        <w:t xml:space="preserve">increase </w:t>
      </w:r>
      <w:proofErr w:type="spellStart"/>
      <w:r>
        <w:rPr>
          <w:rFonts w:ascii="Calibri" w:eastAsia="Calibri" w:hAnsi="Calibri" w:cs="Calibri"/>
        </w:rPr>
        <w:t>utilisation</w:t>
      </w:r>
      <w:proofErr w:type="spellEnd"/>
      <w:r>
        <w:rPr>
          <w:rFonts w:ascii="Calibri" w:eastAsia="Calibri" w:hAnsi="Calibri" w:cs="Calibri"/>
        </w:rPr>
        <w:t xml:space="preserve"> of telehealth services among consumers, GPs and PHNs, by:</w:t>
      </w:r>
    </w:p>
    <w:p w14:paraId="4A746C4D" w14:textId="77777777" w:rsidR="006D2440" w:rsidRDefault="004D7CE6" w:rsidP="00165E5B">
      <w:pPr>
        <w:numPr>
          <w:ilvl w:val="0"/>
          <w:numId w:val="41"/>
        </w:numPr>
        <w:spacing w:after="120" w:line="240" w:lineRule="auto"/>
        <w:rPr>
          <w:rFonts w:ascii="Calibri" w:eastAsia="Calibri" w:hAnsi="Calibri" w:cs="Calibri"/>
        </w:rPr>
      </w:pPr>
      <w:bookmarkStart w:id="100" w:name="_111kx3o" w:colFirst="0" w:colLast="0"/>
      <w:bookmarkEnd w:id="100"/>
      <w:r>
        <w:rPr>
          <w:rFonts w:ascii="Calibri" w:eastAsia="Calibri" w:hAnsi="Calibri" w:cs="Calibri"/>
        </w:rPr>
        <w:t xml:space="preserve">developing and sharing the value proposition of telehealth with consumers, including the potential savings in </w:t>
      </w:r>
      <w:proofErr w:type="gramStart"/>
      <w:r>
        <w:rPr>
          <w:rFonts w:ascii="Calibri" w:eastAsia="Calibri" w:hAnsi="Calibri" w:cs="Calibri"/>
        </w:rPr>
        <w:t>time,  travel</w:t>
      </w:r>
      <w:proofErr w:type="gramEnd"/>
      <w:r>
        <w:rPr>
          <w:rFonts w:ascii="Calibri" w:eastAsia="Calibri" w:hAnsi="Calibri" w:cs="Calibri"/>
        </w:rPr>
        <w:t xml:space="preserve"> and other costs;</w:t>
      </w:r>
    </w:p>
    <w:p w14:paraId="6F6B8FA0" w14:textId="77777777" w:rsidR="006D2440" w:rsidRDefault="004D7CE6" w:rsidP="00165E5B">
      <w:pPr>
        <w:numPr>
          <w:ilvl w:val="0"/>
          <w:numId w:val="41"/>
        </w:numPr>
        <w:spacing w:after="120" w:line="240" w:lineRule="auto"/>
        <w:rPr>
          <w:rFonts w:ascii="Calibri" w:eastAsia="Calibri" w:hAnsi="Calibri" w:cs="Calibri"/>
        </w:rPr>
      </w:pPr>
      <w:r>
        <w:rPr>
          <w:rFonts w:ascii="Calibri" w:eastAsia="Calibri" w:hAnsi="Calibri" w:cs="Calibri"/>
        </w:rPr>
        <w:t>funding PHNs and consumer representatives (community champions) to carry out telehealth education and awareness building in targeted communities (for example, where GPs already provide telehealth</w:t>
      </w:r>
      <w:proofErr w:type="gramStart"/>
      <w:r>
        <w:rPr>
          <w:rFonts w:ascii="Calibri" w:eastAsia="Calibri" w:hAnsi="Calibri" w:cs="Calibri"/>
        </w:rPr>
        <w:t>);</w:t>
      </w:r>
      <w:proofErr w:type="gramEnd"/>
    </w:p>
    <w:p w14:paraId="0C71DC2C" w14:textId="77777777" w:rsidR="006D2440" w:rsidRDefault="004D7CE6" w:rsidP="00165E5B">
      <w:pPr>
        <w:numPr>
          <w:ilvl w:val="0"/>
          <w:numId w:val="41"/>
        </w:numPr>
        <w:spacing w:after="120" w:line="240" w:lineRule="auto"/>
        <w:rPr>
          <w:rFonts w:ascii="Calibri" w:eastAsia="Calibri" w:hAnsi="Calibri" w:cs="Calibri"/>
        </w:rPr>
      </w:pPr>
      <w:r>
        <w:rPr>
          <w:rFonts w:ascii="Calibri" w:eastAsia="Calibri" w:hAnsi="Calibri" w:cs="Calibri"/>
        </w:rPr>
        <w:lastRenderedPageBreak/>
        <w:t xml:space="preserve">educating GPs and PHNs to identify and promote telehealth </w:t>
      </w:r>
      <w:proofErr w:type="spellStart"/>
      <w:r>
        <w:rPr>
          <w:rFonts w:ascii="Calibri" w:eastAsia="Calibri" w:hAnsi="Calibri" w:cs="Calibri"/>
        </w:rPr>
        <w:t>withpatient</w:t>
      </w:r>
      <w:proofErr w:type="spellEnd"/>
      <w:r>
        <w:rPr>
          <w:rFonts w:ascii="Calibri" w:eastAsia="Calibri" w:hAnsi="Calibri" w:cs="Calibri"/>
        </w:rPr>
        <w:t xml:space="preserve"> population groups that would most benefit from telehealth attendances—both those held directly with the consultant specialist (for example, follow-up care) and those supported by a health professional (for example, more complex cases or where further support with health literacy is needed);</w:t>
      </w:r>
    </w:p>
    <w:p w14:paraId="07183EF5" w14:textId="77777777" w:rsidR="006D2440" w:rsidRDefault="004D7CE6" w:rsidP="00165E5B">
      <w:pPr>
        <w:numPr>
          <w:ilvl w:val="0"/>
          <w:numId w:val="41"/>
        </w:numPr>
        <w:spacing w:after="120" w:line="240" w:lineRule="auto"/>
        <w:rPr>
          <w:rFonts w:ascii="Calibri" w:eastAsia="Calibri" w:hAnsi="Calibri" w:cs="Calibri"/>
        </w:rPr>
      </w:pPr>
      <w:r>
        <w:rPr>
          <w:rFonts w:ascii="Calibri" w:eastAsia="Calibri" w:hAnsi="Calibri" w:cs="Calibri"/>
        </w:rPr>
        <w:t>investing in education and training of primary care workers, including telehealth training days and the development of training material (for example, online modules); and</w:t>
      </w:r>
    </w:p>
    <w:p w14:paraId="4833EE9B" w14:textId="77777777" w:rsidR="006D2440" w:rsidRDefault="004D7CE6" w:rsidP="00165E5B">
      <w:pPr>
        <w:numPr>
          <w:ilvl w:val="0"/>
          <w:numId w:val="41"/>
        </w:numPr>
        <w:spacing w:after="120" w:line="240" w:lineRule="auto"/>
        <w:rPr>
          <w:rFonts w:ascii="Calibri" w:eastAsia="Calibri" w:hAnsi="Calibri" w:cs="Calibri"/>
        </w:rPr>
      </w:pPr>
      <w:r>
        <w:rPr>
          <w:rFonts w:ascii="Calibri" w:eastAsia="Calibri" w:hAnsi="Calibri" w:cs="Calibri"/>
        </w:rPr>
        <w:t>promoting the use of MBS items that already exist for primary care workers to provide clinical support to patients participating in consultant specialist telehealth attendances (Category 8 of the MBS, Groups M12, M13, and M14).</w:t>
      </w:r>
    </w:p>
    <w:p w14:paraId="0B559398" w14:textId="77777777" w:rsidR="006D2440" w:rsidRDefault="004D7CE6" w:rsidP="00165E5B">
      <w:pPr>
        <w:numPr>
          <w:ilvl w:val="0"/>
          <w:numId w:val="44"/>
        </w:numPr>
        <w:spacing w:after="120" w:line="240" w:lineRule="auto"/>
        <w:ind w:right="142"/>
        <w:rPr>
          <w:rFonts w:ascii="Calibri" w:eastAsia="Calibri" w:hAnsi="Calibri" w:cs="Calibri"/>
        </w:rPr>
      </w:pPr>
      <w:r>
        <w:rPr>
          <w:rFonts w:ascii="Calibri" w:eastAsia="Calibri" w:hAnsi="Calibri" w:cs="Calibri"/>
        </w:rPr>
        <w:t>increasing the supply of telehealth services offered by consultant specialists, by:</w:t>
      </w:r>
    </w:p>
    <w:p w14:paraId="6D0BD52E" w14:textId="77777777" w:rsidR="006D2440" w:rsidRDefault="004D7CE6" w:rsidP="00165E5B">
      <w:pPr>
        <w:numPr>
          <w:ilvl w:val="0"/>
          <w:numId w:val="32"/>
        </w:numPr>
        <w:spacing w:after="120" w:line="240" w:lineRule="auto"/>
        <w:rPr>
          <w:rFonts w:ascii="Calibri" w:eastAsia="Calibri" w:hAnsi="Calibri" w:cs="Calibri"/>
        </w:rPr>
      </w:pPr>
      <w:r>
        <w:rPr>
          <w:rFonts w:ascii="Calibri" w:eastAsia="Calibri" w:hAnsi="Calibri" w:cs="Calibri"/>
        </w:rPr>
        <w:t xml:space="preserve">developing the value proposition of telehealth for providers and sharing this with provider population groups that are most likely to offer telehealth </w:t>
      </w:r>
      <w:proofErr w:type="gramStart"/>
      <w:r>
        <w:rPr>
          <w:rFonts w:ascii="Calibri" w:eastAsia="Calibri" w:hAnsi="Calibri" w:cs="Calibri"/>
        </w:rPr>
        <w:t>services;</w:t>
      </w:r>
      <w:proofErr w:type="gramEnd"/>
    </w:p>
    <w:p w14:paraId="79FE30EE" w14:textId="3DE6A13E" w:rsidR="006D2440" w:rsidRDefault="004D7CE6" w:rsidP="00165E5B">
      <w:pPr>
        <w:numPr>
          <w:ilvl w:val="0"/>
          <w:numId w:val="32"/>
        </w:numPr>
        <w:spacing w:after="120" w:line="240" w:lineRule="auto"/>
        <w:rPr>
          <w:rFonts w:ascii="Calibri" w:eastAsia="Calibri" w:hAnsi="Calibri" w:cs="Calibri"/>
        </w:rPr>
      </w:pPr>
      <w:r>
        <w:rPr>
          <w:rFonts w:ascii="Calibri" w:eastAsia="Calibri" w:hAnsi="Calibri" w:cs="Calibri"/>
        </w:rPr>
        <w:t>educating consultant specialists to identify and promote telehealth with</w:t>
      </w:r>
      <w:r w:rsidR="00645C8B">
        <w:rPr>
          <w:rFonts w:ascii="Calibri" w:eastAsia="Calibri" w:hAnsi="Calibri" w:cs="Calibri"/>
        </w:rPr>
        <w:t xml:space="preserve"> </w:t>
      </w:r>
      <w:r>
        <w:rPr>
          <w:rFonts w:ascii="Calibri" w:eastAsia="Calibri" w:hAnsi="Calibri" w:cs="Calibri"/>
        </w:rPr>
        <w:t xml:space="preserve">patient population groups that would most benefit from telehealth </w:t>
      </w:r>
      <w:proofErr w:type="gramStart"/>
      <w:r>
        <w:rPr>
          <w:rFonts w:ascii="Calibri" w:eastAsia="Calibri" w:hAnsi="Calibri" w:cs="Calibri"/>
        </w:rPr>
        <w:t>attendances;</w:t>
      </w:r>
      <w:proofErr w:type="gramEnd"/>
    </w:p>
    <w:p w14:paraId="27A817F8" w14:textId="77777777" w:rsidR="006D2440" w:rsidRDefault="004D7CE6" w:rsidP="00165E5B">
      <w:pPr>
        <w:numPr>
          <w:ilvl w:val="0"/>
          <w:numId w:val="32"/>
        </w:numPr>
        <w:spacing w:after="120" w:line="240" w:lineRule="auto"/>
        <w:rPr>
          <w:rFonts w:ascii="Calibri" w:eastAsia="Calibri" w:hAnsi="Calibri" w:cs="Calibri"/>
        </w:rPr>
      </w:pPr>
      <w:r>
        <w:rPr>
          <w:rFonts w:ascii="Calibri" w:eastAsia="Calibri" w:hAnsi="Calibri" w:cs="Calibri"/>
        </w:rPr>
        <w:t xml:space="preserve">developing materials on how to set up and run telehealth </w:t>
      </w:r>
      <w:proofErr w:type="gramStart"/>
      <w:r>
        <w:rPr>
          <w:rFonts w:ascii="Calibri" w:eastAsia="Calibri" w:hAnsi="Calibri" w:cs="Calibri"/>
        </w:rPr>
        <w:t>services;</w:t>
      </w:r>
      <w:proofErr w:type="gramEnd"/>
    </w:p>
    <w:p w14:paraId="76AC4228" w14:textId="77777777" w:rsidR="006D2440" w:rsidRDefault="004D7CE6" w:rsidP="00165E5B">
      <w:pPr>
        <w:numPr>
          <w:ilvl w:val="0"/>
          <w:numId w:val="32"/>
        </w:numPr>
        <w:spacing w:after="120" w:line="240" w:lineRule="auto"/>
        <w:rPr>
          <w:rFonts w:ascii="Calibri" w:eastAsia="Calibri" w:hAnsi="Calibri" w:cs="Calibri"/>
        </w:rPr>
      </w:pPr>
      <w:bookmarkStart w:id="101" w:name="_3l18frh" w:colFirst="0" w:colLast="0"/>
      <w:bookmarkEnd w:id="101"/>
      <w:r>
        <w:rPr>
          <w:rFonts w:ascii="Calibri" w:eastAsia="Calibri" w:hAnsi="Calibri" w:cs="Calibri"/>
        </w:rPr>
        <w:t xml:space="preserve">coordinating with Colleges to promote telehealth education and training, including awarding CPD points for telehealth </w:t>
      </w:r>
      <w:proofErr w:type="gramStart"/>
      <w:r>
        <w:rPr>
          <w:rFonts w:ascii="Calibri" w:eastAsia="Calibri" w:hAnsi="Calibri" w:cs="Calibri"/>
        </w:rPr>
        <w:t>training;</w:t>
      </w:r>
      <w:proofErr w:type="gramEnd"/>
    </w:p>
    <w:p w14:paraId="4972FA28" w14:textId="77777777" w:rsidR="006D2440" w:rsidRDefault="004D7CE6" w:rsidP="00165E5B">
      <w:pPr>
        <w:numPr>
          <w:ilvl w:val="0"/>
          <w:numId w:val="32"/>
        </w:numPr>
        <w:spacing w:after="120" w:line="240" w:lineRule="auto"/>
        <w:rPr>
          <w:rFonts w:ascii="Calibri" w:eastAsia="Calibri" w:hAnsi="Calibri" w:cs="Calibri"/>
        </w:rPr>
      </w:pPr>
      <w:r>
        <w:rPr>
          <w:rFonts w:ascii="Calibri" w:eastAsia="Calibri" w:hAnsi="Calibri" w:cs="Calibri"/>
        </w:rPr>
        <w:t>encouraging Colleges to educate consultant specialists on the benefits of telehealth, how to set it up, and when it should be used; and</w:t>
      </w:r>
    </w:p>
    <w:p w14:paraId="5AF3B3A9" w14:textId="77777777" w:rsidR="006D2440" w:rsidRDefault="004D7CE6" w:rsidP="00165E5B">
      <w:pPr>
        <w:numPr>
          <w:ilvl w:val="0"/>
          <w:numId w:val="32"/>
        </w:numPr>
        <w:spacing w:after="120" w:line="240" w:lineRule="auto"/>
        <w:rPr>
          <w:rFonts w:ascii="Calibri" w:eastAsia="Calibri" w:hAnsi="Calibri" w:cs="Calibri"/>
        </w:rPr>
      </w:pPr>
      <w:r>
        <w:rPr>
          <w:rFonts w:ascii="Calibri" w:eastAsia="Calibri" w:hAnsi="Calibri" w:cs="Calibri"/>
        </w:rPr>
        <w:t>developing guidelines and tools to determine and resolve any clinical governance issues and concerns.</w:t>
      </w:r>
    </w:p>
    <w:p w14:paraId="52404025" w14:textId="77777777" w:rsidR="006D2440" w:rsidRDefault="004D7CE6" w:rsidP="00165E5B">
      <w:pPr>
        <w:pStyle w:val="Style4"/>
        <w:spacing w:before="0" w:line="240" w:lineRule="auto"/>
      </w:pPr>
      <w:r>
        <w:t>Rationale 9 &amp; 10</w:t>
      </w:r>
    </w:p>
    <w:p w14:paraId="05E9BEE9" w14:textId="77777777" w:rsidR="006D2440" w:rsidRDefault="004D7CE6" w:rsidP="00165E5B">
      <w:pPr>
        <w:keepNext/>
        <w:spacing w:after="120" w:line="240" w:lineRule="auto"/>
        <w:rPr>
          <w:rFonts w:ascii="Calibri" w:eastAsia="Calibri" w:hAnsi="Calibri" w:cs="Calibri"/>
        </w:rPr>
      </w:pPr>
      <w:r>
        <w:rPr>
          <w:rFonts w:ascii="Calibri" w:eastAsia="Calibri" w:hAnsi="Calibri" w:cs="Calibri"/>
        </w:rPr>
        <w:t>This recommendation focuses on removing an MBS telehealth loading that is no longer effective and reinvesting this saving to increase uptake of, and targeted access to, telehealth services. It is based on the following reasons:</w:t>
      </w:r>
    </w:p>
    <w:p w14:paraId="734DA099"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Telehealth is already a cost-effective way of delivering care. </w:t>
      </w:r>
      <w:proofErr w:type="gramStart"/>
      <w:r>
        <w:rPr>
          <w:rFonts w:ascii="Calibri" w:eastAsia="Calibri" w:hAnsi="Calibri" w:cs="Calibri"/>
        </w:rPr>
        <w:t>A number of</w:t>
      </w:r>
      <w:proofErr w:type="gramEnd"/>
      <w:r>
        <w:rPr>
          <w:rFonts w:ascii="Calibri" w:eastAsia="Calibri" w:hAnsi="Calibri" w:cs="Calibri"/>
        </w:rPr>
        <w:t xml:space="preserve"> systematic reviews have found that telehealth is a cost-effective way of delivering care, and follow-up via telehealth has been shown to have lower associated costs than in-person clinic assessment (4) (5). A study by Marsh et al (6). in 2014 showed that patients followed up after hip surgery via telehealth travelled less (28km versus 104km) and had lower associated costs ($10 versus $21), and that attendances took less total time to complete (122 minutes versus 229 minutes). </w:t>
      </w:r>
    </w:p>
    <w:p w14:paraId="0416F104"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The Committee also noted that many countries and health services, including Finland (7), British Colombia and the UK (8), have built successful telehealth services without providing any financial incentive to physicians (Figure 5).</w:t>
      </w:r>
    </w:p>
    <w:p w14:paraId="7B65F674" w14:textId="77777777" w:rsidR="00B11FC3" w:rsidRPr="00C8365D" w:rsidRDefault="00B11FC3" w:rsidP="00B11FC3">
      <w:pPr>
        <w:pStyle w:val="60exhnormal"/>
        <w:numPr>
          <w:ilvl w:val="0"/>
          <w:numId w:val="21"/>
        </w:numPr>
        <w:rPr>
          <w:rFonts w:asciiTheme="minorHAnsi" w:hAnsiTheme="minorHAnsi" w:cstheme="minorHAnsi"/>
          <w:b/>
          <w:sz w:val="20"/>
          <w:lang w:val="en-GB"/>
        </w:rPr>
      </w:pPr>
      <w:bookmarkStart w:id="102" w:name="_4k668n3" w:colFirst="0" w:colLast="0"/>
      <w:bookmarkStart w:id="103" w:name="_Toc529028439"/>
      <w:bookmarkEnd w:id="102"/>
      <w:r>
        <w:rPr>
          <w:rFonts w:asciiTheme="minorHAnsi" w:hAnsiTheme="minorHAnsi" w:cstheme="minorHAnsi"/>
          <w:b/>
          <w:caps w:val="0"/>
          <w:sz w:val="20"/>
          <w:lang w:val="en-GB"/>
        </w:rPr>
        <w:t>Figure</w:t>
      </w:r>
      <w:r w:rsidRPr="00C8365D">
        <w:rPr>
          <w:rFonts w:asciiTheme="minorHAnsi" w:hAnsiTheme="minorHAnsi" w:cstheme="minorHAnsi"/>
          <w:b/>
          <w:caps w:val="0"/>
          <w:sz w:val="20"/>
          <w:lang w:val="en-GB"/>
        </w:rPr>
        <w:t xml:space="preserve"> </w:t>
      </w:r>
      <w:r>
        <w:rPr>
          <w:rFonts w:asciiTheme="minorHAnsi" w:hAnsiTheme="minorHAnsi" w:cstheme="minorHAnsi"/>
          <w:b/>
          <w:caps w:val="0"/>
          <w:sz w:val="20"/>
          <w:lang w:val="en-GB"/>
        </w:rPr>
        <w:t>5</w:t>
      </w:r>
      <w:r w:rsidRPr="00C8365D">
        <w:rPr>
          <w:rFonts w:asciiTheme="minorHAnsi" w:hAnsiTheme="minorHAnsi" w:cstheme="minorHAnsi"/>
          <w:b/>
          <w:caps w:val="0"/>
          <w:sz w:val="20"/>
          <w:lang w:val="en-GB"/>
        </w:rPr>
        <w:t>: How are telehealth attendances reimbursed in other geographies?</w:t>
      </w:r>
      <w:bookmarkEnd w:id="103"/>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360"/>
      </w:tblGrid>
      <w:tr w:rsidR="00B11FC3" w14:paraId="28F49D65" w14:textId="77777777" w:rsidTr="607E1B08">
        <w:trPr>
          <w:cantSplit/>
        </w:trPr>
        <w:tc>
          <w:tcPr>
            <w:tcW w:w="5000" w:type="pct"/>
          </w:tcPr>
          <w:p w14:paraId="11ACB050" w14:textId="77777777" w:rsidR="00B11FC3" w:rsidRDefault="00B11FC3" w:rsidP="00EE20D3">
            <w:pPr>
              <w:pStyle w:val="70exhtblnormal"/>
            </w:pPr>
            <w:r w:rsidRPr="002F0C10">
              <w:rPr>
                <w:noProof/>
                <w:lang w:val="en-AU" w:eastAsia="en-AU"/>
              </w:rPr>
              <w:lastRenderedPageBreak/>
              <w:drawing>
                <wp:inline distT="0" distB="0" distL="0" distR="0" wp14:anchorId="4B46E53C" wp14:editId="79D51BD0">
                  <wp:extent cx="5117911" cy="3671216"/>
                  <wp:effectExtent l="0" t="0" r="6985" b="5715"/>
                  <wp:docPr id="5" name="Picture 5" descr="Figure 7 describes what the payment mechanism, tarrif and requirements of other countries' telehealth attendance items. " title="Figure 7: How are telehealth attendances reimbursed in other georgrap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2242" cy="3674323"/>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1605918F" w14:textId="77777777" w:rsidR="00B11FC3" w:rsidRDefault="00B11FC3" w:rsidP="00B11FC3">
      <w:pPr>
        <w:spacing w:after="120" w:line="240" w:lineRule="auto"/>
        <w:ind w:left="431"/>
        <w:rPr>
          <w:rFonts w:ascii="Calibri" w:eastAsia="Calibri" w:hAnsi="Calibri" w:cs="Calibri"/>
        </w:rPr>
      </w:pPr>
    </w:p>
    <w:p w14:paraId="4561710C" w14:textId="282B0903"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Telehealth loading is not the optimal mechanism to </w:t>
      </w:r>
      <w:proofErr w:type="spellStart"/>
      <w:r>
        <w:rPr>
          <w:rFonts w:ascii="Calibri" w:eastAsia="Calibri" w:hAnsi="Calibri" w:cs="Calibri"/>
        </w:rPr>
        <w:t>incentivise</w:t>
      </w:r>
      <w:proofErr w:type="spellEnd"/>
      <w:r>
        <w:rPr>
          <w:rFonts w:ascii="Calibri" w:eastAsia="Calibri" w:hAnsi="Calibri" w:cs="Calibri"/>
        </w:rPr>
        <w:t xml:space="preserve"> physician uptake. In Australia, growth in </w:t>
      </w:r>
      <w:proofErr w:type="spellStart"/>
      <w:r>
        <w:rPr>
          <w:rFonts w:ascii="Calibri" w:eastAsia="Calibri" w:hAnsi="Calibri" w:cs="Calibri"/>
        </w:rPr>
        <w:t>utilisation</w:t>
      </w:r>
      <w:proofErr w:type="spellEnd"/>
      <w:r>
        <w:rPr>
          <w:rFonts w:ascii="Calibri" w:eastAsia="Calibri" w:hAnsi="Calibri" w:cs="Calibri"/>
        </w:rPr>
        <w:t xml:space="preserve"> of telehealth for consultations has slowed significantly since the introduction of the loading items in 2011</w:t>
      </w:r>
      <w:r>
        <w:rPr>
          <w:rFonts w:ascii="Calibri" w:eastAsia="Calibri" w:hAnsi="Calibri" w:cs="Calibri"/>
          <w:vertAlign w:val="superscript"/>
        </w:rPr>
        <w:footnoteReference w:id="19"/>
      </w:r>
      <w:r>
        <w:rPr>
          <w:rFonts w:ascii="Calibri" w:eastAsia="Calibri" w:hAnsi="Calibri" w:cs="Calibri"/>
        </w:rPr>
        <w:t xml:space="preserve">, indicating that they are not </w:t>
      </w:r>
      <w:proofErr w:type="spellStart"/>
      <w:r>
        <w:rPr>
          <w:rFonts w:ascii="Calibri" w:eastAsia="Calibri" w:hAnsi="Calibri" w:cs="Calibri"/>
        </w:rPr>
        <w:t>incentivising</w:t>
      </w:r>
      <w:proofErr w:type="spellEnd"/>
      <w:r>
        <w:rPr>
          <w:rFonts w:ascii="Calibri" w:eastAsia="Calibri" w:hAnsi="Calibri" w:cs="Calibri"/>
        </w:rPr>
        <w:t xml:space="preserve"> appropriate provider uptake of telehealth. Physicians cite a lack of acceptance of telehealth as the main barrier to uptake.</w:t>
      </w:r>
      <w:r>
        <w:rPr>
          <w:rFonts w:ascii="Calibri" w:eastAsia="Calibri" w:hAnsi="Calibri" w:cs="Calibri"/>
          <w:vertAlign w:val="superscript"/>
        </w:rPr>
        <w:footnoteReference w:id="20"/>
      </w:r>
    </w:p>
    <w:p w14:paraId="463AA32A" w14:textId="77777777" w:rsidR="006D2440" w:rsidRDefault="004D7CE6" w:rsidP="00165E5B">
      <w:pPr>
        <w:numPr>
          <w:ilvl w:val="0"/>
          <w:numId w:val="21"/>
        </w:numPr>
        <w:spacing w:after="120" w:line="240" w:lineRule="auto"/>
        <w:ind w:left="431"/>
        <w:rPr>
          <w:rFonts w:ascii="Calibri" w:eastAsia="Calibri" w:hAnsi="Calibri" w:cs="Calibri"/>
        </w:rPr>
      </w:pPr>
      <w:r>
        <w:rPr>
          <w:rFonts w:ascii="Calibri" w:eastAsia="Calibri" w:hAnsi="Calibri" w:cs="Calibri"/>
        </w:rPr>
        <w:t xml:space="preserve">Consumers lack awareness of telehealth services. Bradford et al. (9) conducted a study in rural Queensland in 2015 which showed that 60 per cent of participants were aware of telehealth, but only 13 per cent had used telehealth services. The authors observed that trust is required for telehealth to be an acceptable application for </w:t>
      </w:r>
      <w:proofErr w:type="gramStart"/>
      <w:r>
        <w:rPr>
          <w:rFonts w:ascii="Calibri" w:eastAsia="Calibri" w:hAnsi="Calibri" w:cs="Calibri"/>
        </w:rPr>
        <w:t>patients, and</w:t>
      </w:r>
      <w:proofErr w:type="gramEnd"/>
      <w:r>
        <w:rPr>
          <w:rFonts w:ascii="Calibri" w:eastAsia="Calibri" w:hAnsi="Calibri" w:cs="Calibri"/>
        </w:rPr>
        <w:t xml:space="preserve"> concluded that greater public awareness and understanding of the potential benefits of telehealth was needed.</w:t>
      </w:r>
    </w:p>
    <w:p w14:paraId="53686250" w14:textId="77777777" w:rsidR="006D2440" w:rsidRDefault="004D7CE6">
      <w:pPr>
        <w:pStyle w:val="Heading1"/>
        <w:keepLines w:val="0"/>
        <w:widowControl w:val="0"/>
        <w:pBdr>
          <w:bottom w:val="single" w:sz="16" w:space="11" w:color="BFBFBF"/>
        </w:pBdr>
        <w:spacing w:before="720" w:after="720" w:line="312" w:lineRule="auto"/>
        <w:rPr>
          <w:rFonts w:ascii="Calibri" w:eastAsia="Calibri" w:hAnsi="Calibri" w:cs="Calibri"/>
          <w:b/>
          <w:color w:val="01653F"/>
        </w:rPr>
      </w:pPr>
      <w:bookmarkStart w:id="104" w:name="_2zbgiuw" w:colFirst="0" w:colLast="0"/>
      <w:bookmarkStart w:id="105" w:name="_Toc42764253"/>
      <w:bookmarkEnd w:id="104"/>
      <w:r>
        <w:rPr>
          <w:rFonts w:ascii="Calibri" w:eastAsia="Calibri" w:hAnsi="Calibri" w:cs="Calibri"/>
          <w:b/>
          <w:color w:val="01653F"/>
        </w:rPr>
        <w:lastRenderedPageBreak/>
        <w:t>Wound Management Working Group</w:t>
      </w:r>
      <w:bookmarkEnd w:id="105"/>
    </w:p>
    <w:p w14:paraId="66908834" w14:textId="7CFF2DAD" w:rsidR="006D2440" w:rsidRPr="008E7FF0" w:rsidRDefault="00004598" w:rsidP="008E7FF0">
      <w:pPr>
        <w:pStyle w:val="Style4"/>
        <w:rPr>
          <w:color w:val="4F6228" w:themeColor="accent3" w:themeShade="80"/>
        </w:rPr>
      </w:pPr>
      <w:r w:rsidRPr="008E7FF0">
        <w:rPr>
          <w:color w:val="4F6228" w:themeColor="accent3" w:themeShade="80"/>
        </w:rPr>
        <w:t>Telehealth Working Group Consideration</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377B613E"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51C6175E" w14:textId="21D0C90A" w:rsidR="006D2440" w:rsidRDefault="004D7CE6" w:rsidP="000E2172">
            <w:pPr>
              <w:spacing w:before="120"/>
              <w:ind w:right="142"/>
              <w:rPr>
                <w:rFonts w:ascii="Calibri" w:eastAsia="Calibri" w:hAnsi="Calibri" w:cs="Calibri"/>
              </w:rPr>
            </w:pPr>
            <w:r>
              <w:rPr>
                <w:rFonts w:ascii="Calibri" w:eastAsia="Calibri" w:hAnsi="Calibri" w:cs="Calibri"/>
                <w:b/>
              </w:rPr>
              <w:t xml:space="preserve">Telehealth Recommendation </w:t>
            </w:r>
            <w:r w:rsidR="000E2172">
              <w:rPr>
                <w:rFonts w:ascii="Calibri" w:eastAsia="Calibri" w:hAnsi="Calibri" w:cs="Calibri"/>
                <w:b/>
              </w:rPr>
              <w:t>18</w:t>
            </w:r>
            <w:r>
              <w:rPr>
                <w:rFonts w:ascii="Calibri" w:eastAsia="Calibri" w:hAnsi="Calibri" w:cs="Calibri"/>
                <w:b/>
              </w:rPr>
              <w:t xml:space="preserve"> of 21: </w:t>
            </w:r>
            <w:r w:rsidRPr="008E7FF0">
              <w:rPr>
                <w:rFonts w:ascii="Calibri" w:eastAsia="Calibri" w:hAnsi="Calibri" w:cs="Calibri"/>
                <w:b/>
              </w:rPr>
              <w:t>Wound Management Working Group Recommendation 8</w:t>
            </w:r>
            <w:r w:rsidR="00A177E3">
              <w:rPr>
                <w:rFonts w:ascii="Calibri" w:eastAsia="Calibri" w:hAnsi="Calibri" w:cs="Calibri"/>
                <w:b/>
              </w:rPr>
              <w:t xml:space="preserve"> - </w:t>
            </w:r>
            <w:r w:rsidR="00A177E3">
              <w:rPr>
                <w:rFonts w:ascii="Calibri" w:eastAsia="Calibri" w:hAnsi="Calibri" w:cs="Calibri"/>
              </w:rPr>
              <w:t>Where appropriate, consideration should be given to the use of remote and non-face-to-face services (real time or asynchronous) and an appropriate funding model investigated.</w:t>
            </w:r>
          </w:p>
        </w:tc>
      </w:tr>
      <w:tr w:rsidR="00716DA7" w14:paraId="3F73100C"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134E572D" w14:textId="518FBDE5" w:rsidR="006D2440" w:rsidRDefault="00A177E3" w:rsidP="008E7FF0">
            <w:pPr>
              <w:spacing w:before="120"/>
              <w:rPr>
                <w:rFonts w:ascii="Calibri" w:eastAsia="Calibri" w:hAnsi="Calibri" w:cs="Calibri"/>
              </w:rPr>
            </w:pPr>
            <w:r>
              <w:rPr>
                <w:rFonts w:ascii="Calibri" w:eastAsia="Calibri" w:hAnsi="Calibri" w:cs="Calibri"/>
                <w:b/>
              </w:rPr>
              <w:t xml:space="preserve">TWG </w:t>
            </w:r>
            <w:r w:rsidR="004D7CE6">
              <w:rPr>
                <w:rFonts w:ascii="Calibri" w:eastAsia="Calibri" w:hAnsi="Calibri" w:cs="Calibri"/>
                <w:b/>
              </w:rPr>
              <w:t xml:space="preserve">Recommendation:  </w:t>
            </w:r>
            <w:r w:rsidR="00944E3D" w:rsidRPr="004C4F5B">
              <w:rPr>
                <w:rFonts w:ascii="Calibri" w:hAnsi="Calibri"/>
              </w:rPr>
              <w:t>Supported</w:t>
            </w:r>
          </w:p>
        </w:tc>
      </w:tr>
      <w:tr w:rsidR="00716DA7" w14:paraId="529BBF3C"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335F3BF" w14:textId="77777777" w:rsidR="00A177E3" w:rsidRDefault="00A177E3">
            <w:pPr>
              <w:spacing w:before="120"/>
              <w:rPr>
                <w:rFonts w:ascii="Calibri" w:eastAsia="Calibri" w:hAnsi="Calibri" w:cs="Calibri"/>
                <w:b/>
              </w:rPr>
            </w:pPr>
            <w:r>
              <w:rPr>
                <w:rFonts w:ascii="Calibri" w:eastAsia="Calibri" w:hAnsi="Calibri" w:cs="Calibri"/>
                <w:b/>
              </w:rPr>
              <w:t>TWG Rationale:</w:t>
            </w:r>
          </w:p>
          <w:p w14:paraId="0BE1057A" w14:textId="4D6C6C78" w:rsidR="006D2440" w:rsidRPr="002C2776" w:rsidRDefault="004D7CE6">
            <w:pPr>
              <w:spacing w:before="120"/>
              <w:rPr>
                <w:rFonts w:ascii="Calibri" w:eastAsia="Calibri" w:hAnsi="Calibri" w:cs="Calibri"/>
              </w:rPr>
            </w:pPr>
            <w:r>
              <w:rPr>
                <w:rFonts w:ascii="Calibri" w:eastAsia="Calibri" w:hAnsi="Calibri" w:cs="Calibri"/>
              </w:rPr>
              <w:t>The group agreed that further work was required - that this may fit into a VPE model or case conferencing or specialist consultation items that currently exist.</w:t>
            </w:r>
          </w:p>
        </w:tc>
      </w:tr>
    </w:tbl>
    <w:p w14:paraId="3C043731" w14:textId="77777777" w:rsidR="006D2440" w:rsidRDefault="006D2440">
      <w:pPr>
        <w:spacing w:line="240" w:lineRule="auto"/>
        <w:jc w:val="both"/>
        <w:rPr>
          <w:rFonts w:ascii="Calibri" w:eastAsia="Calibri" w:hAnsi="Calibri" w:cs="Calibri"/>
        </w:rPr>
      </w:pPr>
      <w:bookmarkStart w:id="106" w:name="_x4zltwhptk4f" w:colFirst="0" w:colLast="0"/>
      <w:bookmarkEnd w:id="106"/>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3266E6E3"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8C616D7" w14:textId="4843EDC2" w:rsidR="006D2440" w:rsidRDefault="004D7CE6" w:rsidP="000E2172">
            <w:pPr>
              <w:spacing w:before="120"/>
              <w:ind w:right="142"/>
              <w:rPr>
                <w:rFonts w:ascii="Calibri" w:eastAsia="Calibri" w:hAnsi="Calibri" w:cs="Calibri"/>
              </w:rPr>
            </w:pPr>
            <w:r>
              <w:rPr>
                <w:rFonts w:ascii="Calibri" w:eastAsia="Calibri" w:hAnsi="Calibri" w:cs="Calibri"/>
                <w:b/>
              </w:rPr>
              <w:t xml:space="preserve">Telehealth Recommendation </w:t>
            </w:r>
            <w:r w:rsidR="000E2172">
              <w:rPr>
                <w:rFonts w:ascii="Calibri" w:eastAsia="Calibri" w:hAnsi="Calibri" w:cs="Calibri"/>
                <w:b/>
              </w:rPr>
              <w:t>19</w:t>
            </w:r>
            <w:r>
              <w:rPr>
                <w:rFonts w:ascii="Calibri" w:eastAsia="Calibri" w:hAnsi="Calibri" w:cs="Calibri"/>
                <w:b/>
              </w:rPr>
              <w:t xml:space="preserve"> of 21: </w:t>
            </w:r>
            <w:r w:rsidRPr="008E7FF0">
              <w:rPr>
                <w:rFonts w:ascii="Calibri" w:eastAsia="Calibri" w:hAnsi="Calibri" w:cs="Calibri"/>
                <w:b/>
              </w:rPr>
              <w:t>Wound Management Working Group Recommendation 14</w:t>
            </w:r>
            <w:r w:rsidR="00A177E3">
              <w:rPr>
                <w:rFonts w:ascii="Calibri" w:eastAsia="Calibri" w:hAnsi="Calibri" w:cs="Calibri"/>
                <w:b/>
              </w:rPr>
              <w:t xml:space="preserve"> - </w:t>
            </w:r>
            <w:r w:rsidR="00A177E3">
              <w:rPr>
                <w:rFonts w:ascii="Calibri" w:eastAsia="Calibri" w:hAnsi="Calibri" w:cs="Calibri"/>
              </w:rPr>
              <w:t>Increase access to wound care experts in RACFs, including telehealth enabled, where appropriate.</w:t>
            </w:r>
          </w:p>
        </w:tc>
      </w:tr>
      <w:tr w:rsidR="00716DA7" w14:paraId="10590FCD"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30B44F75" w14:textId="49B13760" w:rsidR="006D2440" w:rsidRDefault="00A177E3" w:rsidP="008E7FF0">
            <w:pPr>
              <w:spacing w:before="120"/>
              <w:rPr>
                <w:rFonts w:ascii="Calibri" w:eastAsia="Calibri" w:hAnsi="Calibri" w:cs="Calibri"/>
              </w:rPr>
            </w:pPr>
            <w:r>
              <w:rPr>
                <w:rFonts w:ascii="Calibri" w:eastAsia="Calibri" w:hAnsi="Calibri" w:cs="Calibri"/>
                <w:b/>
              </w:rPr>
              <w:t xml:space="preserve">TWG </w:t>
            </w:r>
            <w:r w:rsidR="004D7CE6">
              <w:rPr>
                <w:rFonts w:ascii="Calibri" w:eastAsia="Calibri" w:hAnsi="Calibri" w:cs="Calibri"/>
                <w:b/>
              </w:rPr>
              <w:t xml:space="preserve">Recommendation: </w:t>
            </w:r>
            <w:r w:rsidR="00944E3D" w:rsidRPr="004C4F5B">
              <w:rPr>
                <w:rFonts w:ascii="Calibri" w:hAnsi="Calibri"/>
              </w:rPr>
              <w:t>Supported</w:t>
            </w:r>
          </w:p>
        </w:tc>
      </w:tr>
      <w:tr w:rsidR="00716DA7" w14:paraId="48961269"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7C20065" w14:textId="6180E8D9" w:rsidR="006D2440" w:rsidRDefault="00A177E3">
            <w:pPr>
              <w:spacing w:before="120"/>
              <w:rPr>
                <w:rFonts w:ascii="Calibri" w:eastAsia="Calibri" w:hAnsi="Calibri" w:cs="Calibri"/>
                <w:b/>
              </w:rPr>
            </w:pPr>
            <w:r>
              <w:rPr>
                <w:rFonts w:ascii="Calibri" w:eastAsia="Calibri" w:hAnsi="Calibri" w:cs="Calibri"/>
                <w:b/>
              </w:rPr>
              <w:t>TWG Rationale:</w:t>
            </w:r>
            <w:r w:rsidR="00EE7ED0">
              <w:rPr>
                <w:rFonts w:ascii="Calibri" w:eastAsia="Calibri" w:hAnsi="Calibri" w:cs="Calibri"/>
                <w:b/>
              </w:rPr>
              <w:t xml:space="preserve">  </w:t>
            </w:r>
            <w:r w:rsidR="00EE7ED0" w:rsidRPr="00163919">
              <w:rPr>
                <w:rFonts w:ascii="Calibri" w:eastAsia="Calibri" w:hAnsi="Calibri" w:cs="Calibri"/>
                <w:bCs/>
              </w:rPr>
              <w:t xml:space="preserve">This recommendation was supported by the </w:t>
            </w:r>
            <w:r w:rsidR="0001601C" w:rsidRPr="00163919">
              <w:rPr>
                <w:rFonts w:ascii="Calibri" w:eastAsia="Calibri" w:hAnsi="Calibri" w:cs="Calibri"/>
                <w:bCs/>
              </w:rPr>
              <w:t>TWG</w:t>
            </w:r>
            <w:r w:rsidR="00E128B4">
              <w:rPr>
                <w:rFonts w:ascii="Calibri" w:eastAsia="Calibri" w:hAnsi="Calibri" w:cs="Calibri"/>
                <w:bCs/>
              </w:rPr>
              <w:t xml:space="preserve"> </w:t>
            </w:r>
            <w:r w:rsidR="0017709C">
              <w:rPr>
                <w:rFonts w:ascii="Calibri" w:eastAsia="Calibri" w:hAnsi="Calibri" w:cs="Calibri"/>
                <w:bCs/>
              </w:rPr>
              <w:t xml:space="preserve">but agreed that </w:t>
            </w:r>
            <w:r w:rsidR="004D7CE6">
              <w:rPr>
                <w:rFonts w:ascii="Calibri" w:eastAsia="Calibri" w:hAnsi="Calibri" w:cs="Calibri"/>
              </w:rPr>
              <w:t xml:space="preserve">further work was required - that this may fit into a VPE model or case conferencing or specialist </w:t>
            </w:r>
            <w:r w:rsidR="00461147">
              <w:rPr>
                <w:rFonts w:ascii="Calibri" w:eastAsia="Calibri" w:hAnsi="Calibri" w:cs="Calibri"/>
              </w:rPr>
              <w:t>telehealth</w:t>
            </w:r>
            <w:r w:rsidR="004D7CE6">
              <w:rPr>
                <w:rFonts w:ascii="Calibri" w:eastAsia="Calibri" w:hAnsi="Calibri" w:cs="Calibri"/>
              </w:rPr>
              <w:t xml:space="preserve"> consultation items.</w:t>
            </w:r>
          </w:p>
        </w:tc>
      </w:tr>
    </w:tbl>
    <w:p w14:paraId="29DF02C2" w14:textId="77777777" w:rsidR="000C06A1" w:rsidRPr="008E7FF0" w:rsidRDefault="000C06A1" w:rsidP="008E7FF0">
      <w:pPr>
        <w:pStyle w:val="Style4"/>
        <w:rPr>
          <w:color w:val="4F6228" w:themeColor="accent3" w:themeShade="80"/>
        </w:rPr>
      </w:pPr>
      <w:bookmarkStart w:id="107" w:name="_ub081tjnmdrl" w:colFirst="0" w:colLast="0"/>
      <w:bookmarkEnd w:id="107"/>
      <w:r w:rsidRPr="008E7FF0">
        <w:rPr>
          <w:color w:val="4F6228" w:themeColor="accent3" w:themeShade="80"/>
        </w:rPr>
        <w:t>Wound Management Working Group</w:t>
      </w:r>
    </w:p>
    <w:p w14:paraId="68D103BA" w14:textId="77777777" w:rsidR="006D2440" w:rsidRDefault="004D7CE6" w:rsidP="00B11FC3">
      <w:pPr>
        <w:pStyle w:val="Style4"/>
        <w:spacing w:before="0" w:line="240" w:lineRule="auto"/>
      </w:pPr>
      <w:r>
        <w:t>Recommendation 8: Remote and non-face-to-face services (real time or asynchronous)</w:t>
      </w:r>
    </w:p>
    <w:p w14:paraId="3588E577" w14:textId="77777777" w:rsidR="006D2440" w:rsidRDefault="004D7CE6" w:rsidP="00B11FC3">
      <w:pPr>
        <w:spacing w:after="120" w:line="240" w:lineRule="auto"/>
        <w:rPr>
          <w:rFonts w:ascii="Calibri" w:eastAsia="Calibri" w:hAnsi="Calibri" w:cs="Calibri"/>
        </w:rPr>
      </w:pPr>
      <w:r>
        <w:rPr>
          <w:rFonts w:ascii="Calibri" w:eastAsia="Calibri" w:hAnsi="Calibri" w:cs="Calibri"/>
        </w:rPr>
        <w:t xml:space="preserve">The Working Group recommends that where appropriate, consideration should be given to the use of remote and non-face-to-face services (real time or asynchronous) and an appropriate funding model investigated. </w:t>
      </w:r>
    </w:p>
    <w:p w14:paraId="5FD7D979" w14:textId="77777777" w:rsidR="006D2440" w:rsidRDefault="004D7CE6" w:rsidP="00B11FC3">
      <w:pPr>
        <w:spacing w:after="120" w:line="240" w:lineRule="auto"/>
        <w:rPr>
          <w:rFonts w:ascii="Calibri" w:eastAsia="Calibri" w:hAnsi="Calibri" w:cs="Calibri"/>
        </w:rPr>
      </w:pPr>
      <w:r>
        <w:rPr>
          <w:rFonts w:ascii="Calibri" w:eastAsia="Calibri" w:hAnsi="Calibri" w:cs="Calibri"/>
        </w:rPr>
        <w:t>Ideally a healthcare provider would attend a patient face-to-face, however, the Working Group agrees that telehealth is an appropriate alternative in many situations, particularly to assist referral to a wound care specialist.</w:t>
      </w:r>
    </w:p>
    <w:p w14:paraId="76BEEF97" w14:textId="77777777" w:rsidR="006D2440" w:rsidRDefault="004D7CE6" w:rsidP="00B11FC3">
      <w:pPr>
        <w:spacing w:after="120" w:line="240" w:lineRule="auto"/>
        <w:rPr>
          <w:rFonts w:ascii="Calibri" w:eastAsia="Calibri" w:hAnsi="Calibri" w:cs="Calibri"/>
        </w:rPr>
      </w:pPr>
      <w:r>
        <w:rPr>
          <w:rFonts w:ascii="Calibri" w:eastAsia="Calibri" w:hAnsi="Calibri" w:cs="Calibri"/>
        </w:rPr>
        <w:t>The situation of obtaining an expert/specialist opinion is one that in the opinion of the Working Group is well suited to asynchronous telehealth, which would increase potential access to specialist services and also in many cases be more convenient for the patient, without any reduction in clinical value.</w:t>
      </w:r>
    </w:p>
    <w:p w14:paraId="15FA5EA2" w14:textId="77777777" w:rsidR="006D2440" w:rsidRDefault="004D7CE6" w:rsidP="00B11FC3">
      <w:pPr>
        <w:spacing w:after="120" w:line="240" w:lineRule="auto"/>
        <w:rPr>
          <w:rFonts w:ascii="Calibri" w:eastAsia="Calibri" w:hAnsi="Calibri" w:cs="Calibri"/>
        </w:rPr>
      </w:pPr>
      <w:r>
        <w:rPr>
          <w:rFonts w:ascii="Calibri" w:eastAsia="Calibri" w:hAnsi="Calibri" w:cs="Calibri"/>
        </w:rPr>
        <w:t xml:space="preserve">This treatment modality may be appropriate in </w:t>
      </w:r>
      <w:proofErr w:type="gramStart"/>
      <w:r>
        <w:rPr>
          <w:rFonts w:ascii="Calibri" w:eastAsia="Calibri" w:hAnsi="Calibri" w:cs="Calibri"/>
        </w:rPr>
        <w:t>a number of</w:t>
      </w:r>
      <w:proofErr w:type="gramEnd"/>
      <w:r>
        <w:rPr>
          <w:rFonts w:ascii="Calibri" w:eastAsia="Calibri" w:hAnsi="Calibri" w:cs="Calibri"/>
        </w:rPr>
        <w:t xml:space="preserve"> situations, including rural and remote settings and RACFs, as well as to assist established teams working within different location.</w:t>
      </w:r>
    </w:p>
    <w:p w14:paraId="410D1A2F" w14:textId="77777777" w:rsidR="006D2440" w:rsidRDefault="004D7CE6" w:rsidP="00B11FC3">
      <w:pPr>
        <w:pStyle w:val="Style4"/>
        <w:spacing w:before="0" w:line="240" w:lineRule="auto"/>
      </w:pPr>
      <w:bookmarkStart w:id="108" w:name="_1egqt2p" w:colFirst="0" w:colLast="0"/>
      <w:bookmarkEnd w:id="108"/>
      <w:r>
        <w:t>Rationale for Recommendation 8</w:t>
      </w:r>
    </w:p>
    <w:p w14:paraId="2EB252CB" w14:textId="77777777" w:rsidR="006D2440" w:rsidRDefault="004D7CE6" w:rsidP="00B11FC3">
      <w:pPr>
        <w:spacing w:after="120" w:line="240" w:lineRule="auto"/>
        <w:rPr>
          <w:rFonts w:ascii="Calibri" w:eastAsia="Calibri" w:hAnsi="Calibri" w:cs="Calibri"/>
        </w:rPr>
      </w:pPr>
      <w:r>
        <w:rPr>
          <w:rFonts w:ascii="Calibri" w:eastAsia="Calibri" w:hAnsi="Calibri" w:cs="Calibri"/>
        </w:rPr>
        <w:t>This recommendation focuses on increasing access to best practice wound management services, including value for the patient and the health system.</w:t>
      </w:r>
    </w:p>
    <w:p w14:paraId="0A1F07CC" w14:textId="77777777" w:rsidR="006D2440" w:rsidRDefault="004D7CE6" w:rsidP="00B11FC3">
      <w:pPr>
        <w:spacing w:after="120" w:line="240" w:lineRule="auto"/>
        <w:rPr>
          <w:rFonts w:ascii="Calibri" w:eastAsia="Calibri" w:hAnsi="Calibri" w:cs="Calibri"/>
        </w:rPr>
      </w:pPr>
      <w:r>
        <w:rPr>
          <w:rFonts w:ascii="Calibri" w:eastAsia="Calibri" w:hAnsi="Calibri" w:cs="Calibri"/>
        </w:rPr>
        <w:t>It is based on the following:</w:t>
      </w:r>
    </w:p>
    <w:p w14:paraId="637ACC9D" w14:textId="77777777" w:rsidR="006D2440" w:rsidRDefault="004D7CE6" w:rsidP="00B11FC3">
      <w:pPr>
        <w:numPr>
          <w:ilvl w:val="0"/>
          <w:numId w:val="21"/>
        </w:numPr>
        <w:spacing w:after="120" w:line="240" w:lineRule="auto"/>
        <w:ind w:left="431"/>
        <w:rPr>
          <w:rFonts w:ascii="Calibri" w:eastAsia="Calibri" w:hAnsi="Calibri" w:cs="Calibri"/>
        </w:rPr>
      </w:pPr>
      <w:r>
        <w:rPr>
          <w:rFonts w:ascii="Calibri" w:eastAsia="Calibri" w:hAnsi="Calibri" w:cs="Calibri"/>
        </w:rPr>
        <w:t xml:space="preserve">Telehealth should not be a substitute for face-to-face care, </w:t>
      </w:r>
      <w:proofErr w:type="gramStart"/>
      <w:r>
        <w:rPr>
          <w:rFonts w:ascii="Calibri" w:eastAsia="Calibri" w:hAnsi="Calibri" w:cs="Calibri"/>
        </w:rPr>
        <w:t>however</w:t>
      </w:r>
      <w:proofErr w:type="gramEnd"/>
      <w:r>
        <w:rPr>
          <w:rFonts w:ascii="Calibri" w:eastAsia="Calibri" w:hAnsi="Calibri" w:cs="Calibri"/>
        </w:rPr>
        <w:t xml:space="preserve"> can play an important role in the management of chronic wounds.</w:t>
      </w:r>
    </w:p>
    <w:p w14:paraId="79088304" w14:textId="77777777" w:rsidR="006D2440" w:rsidRDefault="004D7CE6" w:rsidP="00B11FC3">
      <w:pPr>
        <w:numPr>
          <w:ilvl w:val="0"/>
          <w:numId w:val="21"/>
        </w:numPr>
        <w:spacing w:after="120" w:line="240" w:lineRule="auto"/>
        <w:ind w:left="431"/>
        <w:rPr>
          <w:rFonts w:ascii="Calibri" w:eastAsia="Calibri" w:hAnsi="Calibri" w:cs="Calibri"/>
        </w:rPr>
      </w:pPr>
      <w:proofErr w:type="spellStart"/>
      <w:r>
        <w:rPr>
          <w:rFonts w:ascii="Calibri" w:eastAsia="Calibri" w:hAnsi="Calibri" w:cs="Calibri"/>
        </w:rPr>
        <w:lastRenderedPageBreak/>
        <w:t>Utilisation</w:t>
      </w:r>
      <w:proofErr w:type="spellEnd"/>
      <w:r>
        <w:rPr>
          <w:rFonts w:ascii="Calibri" w:eastAsia="Calibri" w:hAnsi="Calibri" w:cs="Calibri"/>
        </w:rPr>
        <w:t xml:space="preserve"> of remote and non-face-to-face services has been proven beneficial in </w:t>
      </w:r>
      <w:proofErr w:type="gramStart"/>
      <w:r>
        <w:rPr>
          <w:rFonts w:ascii="Calibri" w:eastAsia="Calibri" w:hAnsi="Calibri" w:cs="Calibri"/>
        </w:rPr>
        <w:t>a number of</w:t>
      </w:r>
      <w:proofErr w:type="gramEnd"/>
      <w:r>
        <w:rPr>
          <w:rFonts w:ascii="Calibri" w:eastAsia="Calibri" w:hAnsi="Calibri" w:cs="Calibri"/>
        </w:rPr>
        <w:t xml:space="preserve"> clinical situations, including in the provision of remote specialist wound consultations (46) (55) (48) (57) (58). These services have been used for </w:t>
      </w:r>
      <w:proofErr w:type="gramStart"/>
      <w:r>
        <w:rPr>
          <w:rFonts w:ascii="Calibri" w:eastAsia="Calibri" w:hAnsi="Calibri" w:cs="Calibri"/>
        </w:rPr>
        <w:t>a number of</w:t>
      </w:r>
      <w:proofErr w:type="gramEnd"/>
      <w:r>
        <w:rPr>
          <w:rFonts w:ascii="Calibri" w:eastAsia="Calibri" w:hAnsi="Calibri" w:cs="Calibri"/>
        </w:rPr>
        <w:t xml:space="preserve"> years in remote areas in Australia, addressing many of the key challenges to providing health care in Australia. </w:t>
      </w:r>
    </w:p>
    <w:p w14:paraId="56972471" w14:textId="77777777" w:rsidR="006D2440" w:rsidRDefault="004D7CE6" w:rsidP="00B11FC3">
      <w:pPr>
        <w:numPr>
          <w:ilvl w:val="0"/>
          <w:numId w:val="21"/>
        </w:numPr>
        <w:spacing w:after="120" w:line="240" w:lineRule="auto"/>
        <w:ind w:left="431"/>
        <w:rPr>
          <w:rFonts w:ascii="Calibri" w:eastAsia="Calibri" w:hAnsi="Calibri" w:cs="Calibri"/>
        </w:rPr>
      </w:pPr>
      <w:r>
        <w:rPr>
          <w:rFonts w:ascii="Calibri" w:eastAsia="Calibri" w:hAnsi="Calibri" w:cs="Calibri"/>
        </w:rPr>
        <w:t xml:space="preserve">Telehealth is a </w:t>
      </w:r>
      <w:proofErr w:type="spellStart"/>
      <w:r>
        <w:rPr>
          <w:rFonts w:ascii="Calibri" w:eastAsia="Calibri" w:hAnsi="Calibri" w:cs="Calibri"/>
        </w:rPr>
        <w:t>recognised</w:t>
      </w:r>
      <w:proofErr w:type="spellEnd"/>
      <w:r>
        <w:rPr>
          <w:rFonts w:ascii="Calibri" w:eastAsia="Calibri" w:hAnsi="Calibri" w:cs="Calibri"/>
        </w:rPr>
        <w:t xml:space="preserve"> modality of providing equitable access to wound care expertise. Use of telehealth has been observed to reduce </w:t>
      </w:r>
      <w:proofErr w:type="spellStart"/>
      <w:r>
        <w:rPr>
          <w:rFonts w:ascii="Calibri" w:eastAsia="Calibri" w:hAnsi="Calibri" w:cs="Calibri"/>
        </w:rPr>
        <w:t>hospitalisations</w:t>
      </w:r>
      <w:proofErr w:type="spellEnd"/>
      <w:r>
        <w:rPr>
          <w:rFonts w:ascii="Calibri" w:eastAsia="Calibri" w:hAnsi="Calibri" w:cs="Calibri"/>
        </w:rPr>
        <w:t>, improve wound healing, reduce cost of care and assist with facilitating inter-professional practice between GPs, allied health, specialists and the acute sector (60) (61) (62) (63) (55) (65), and should be considered in a number of situations, including RACFs.</w:t>
      </w:r>
    </w:p>
    <w:p w14:paraId="7F5DE3C8" w14:textId="77777777" w:rsidR="006D2440" w:rsidRDefault="004D7CE6" w:rsidP="00B11FC3">
      <w:pPr>
        <w:numPr>
          <w:ilvl w:val="0"/>
          <w:numId w:val="21"/>
        </w:numPr>
        <w:spacing w:after="120" w:line="240" w:lineRule="auto"/>
        <w:ind w:left="431"/>
        <w:rPr>
          <w:rFonts w:ascii="Calibri" w:eastAsia="Calibri" w:hAnsi="Calibri" w:cs="Calibri"/>
        </w:rPr>
      </w:pPr>
      <w:r>
        <w:rPr>
          <w:rFonts w:ascii="Calibri" w:eastAsia="Calibri" w:hAnsi="Calibri" w:cs="Calibri"/>
        </w:rPr>
        <w:t xml:space="preserve">This recommendation is in line with the General Practice and Primary Care Clinical Committee (GPPCCC) draft recommendation supporting flexible access to services, including </w:t>
      </w:r>
      <w:proofErr w:type="spellStart"/>
      <w:r>
        <w:rPr>
          <w:rFonts w:ascii="Calibri" w:eastAsia="Calibri" w:hAnsi="Calibri" w:cs="Calibri"/>
        </w:rPr>
        <w:t>utilisation</w:t>
      </w:r>
      <w:proofErr w:type="spellEnd"/>
      <w:r>
        <w:rPr>
          <w:rFonts w:ascii="Calibri" w:eastAsia="Calibri" w:hAnsi="Calibri" w:cs="Calibri"/>
        </w:rPr>
        <w:t xml:space="preserve"> of asynchronous and non-face-to-face technologies. </w:t>
      </w:r>
    </w:p>
    <w:p w14:paraId="06055DFC" w14:textId="77777777" w:rsidR="006D2440" w:rsidRDefault="004D7CE6" w:rsidP="00B11FC3">
      <w:pPr>
        <w:pStyle w:val="Style4"/>
        <w:spacing w:before="0" w:line="240" w:lineRule="auto"/>
      </w:pPr>
      <w:bookmarkStart w:id="109" w:name="_3ygebqi" w:colFirst="0" w:colLast="0"/>
      <w:bookmarkEnd w:id="109"/>
      <w:r>
        <w:t>Recommendation 14: Access to wound care experts in RACF</w:t>
      </w:r>
    </w:p>
    <w:p w14:paraId="16F33E74" w14:textId="77777777" w:rsidR="006D2440" w:rsidRDefault="004D7CE6" w:rsidP="00B11FC3">
      <w:pPr>
        <w:spacing w:after="120" w:line="240" w:lineRule="auto"/>
        <w:rPr>
          <w:rFonts w:ascii="Calibri" w:eastAsia="Calibri" w:hAnsi="Calibri" w:cs="Calibri"/>
        </w:rPr>
      </w:pPr>
      <w:r>
        <w:rPr>
          <w:rFonts w:ascii="Calibri" w:eastAsia="Calibri" w:hAnsi="Calibri" w:cs="Calibri"/>
        </w:rPr>
        <w:t xml:space="preserve">The Working Group recommends improved access to wound experts, including service teams (on-site or telehealth-enabled, where appropriate), to assist RACF staff to provide evidence-based wound management of chronic wounds for residents. This should </w:t>
      </w:r>
      <w:proofErr w:type="gramStart"/>
      <w:r>
        <w:rPr>
          <w:rFonts w:ascii="Calibri" w:eastAsia="Calibri" w:hAnsi="Calibri" w:cs="Calibri"/>
        </w:rPr>
        <w:t>take into account</w:t>
      </w:r>
      <w:proofErr w:type="gramEnd"/>
      <w:r>
        <w:rPr>
          <w:rFonts w:ascii="Calibri" w:eastAsia="Calibri" w:hAnsi="Calibri" w:cs="Calibri"/>
        </w:rPr>
        <w:t xml:space="preserve"> existing services (variable across States and locations) that currently support RACF staff through provision of expert wound care services.</w:t>
      </w:r>
    </w:p>
    <w:p w14:paraId="0CAF9A92" w14:textId="77777777" w:rsidR="006D2440" w:rsidRDefault="004D7CE6" w:rsidP="00B11FC3">
      <w:pPr>
        <w:spacing w:after="120" w:line="240" w:lineRule="auto"/>
        <w:rPr>
          <w:rFonts w:ascii="Calibri" w:eastAsia="Calibri" w:hAnsi="Calibri" w:cs="Calibri"/>
        </w:rPr>
      </w:pPr>
      <w:r>
        <w:rPr>
          <w:rFonts w:ascii="Calibri" w:eastAsia="Calibri" w:hAnsi="Calibri" w:cs="Calibri"/>
        </w:rPr>
        <w:t xml:space="preserve">The model for such a service may parallel the Government’s existing </w:t>
      </w:r>
      <w:hyperlink r:id="rId24" w:anchor="DBMAS">
        <w:r>
          <w:rPr>
            <w:rFonts w:ascii="Calibri" w:eastAsia="Calibri" w:hAnsi="Calibri" w:cs="Calibri"/>
            <w:color w:val="0563C1"/>
            <w:u w:val="single"/>
          </w:rPr>
          <w:t>Dementia Management and Advisory Services (DBMAS) program</w:t>
        </w:r>
      </w:hyperlink>
      <w:r>
        <w:rPr>
          <w:rFonts w:ascii="Calibri" w:eastAsia="Calibri" w:hAnsi="Calibri" w:cs="Calibri"/>
        </w:rPr>
        <w:t>, which provides assessment, clinical support, short term case management and mentoring/clinical supervision of care providers within RACF.</w:t>
      </w:r>
    </w:p>
    <w:p w14:paraId="47C98FE1" w14:textId="77777777" w:rsidR="006D2440" w:rsidRDefault="004D7CE6" w:rsidP="00B11FC3">
      <w:pPr>
        <w:pStyle w:val="Style4"/>
        <w:spacing w:before="0" w:line="240" w:lineRule="auto"/>
      </w:pPr>
      <w:bookmarkStart w:id="110" w:name="_2dlolyb" w:colFirst="0" w:colLast="0"/>
      <w:bookmarkEnd w:id="110"/>
      <w:r>
        <w:t>Rationale for Recommendation 14</w:t>
      </w:r>
    </w:p>
    <w:p w14:paraId="1AA19776" w14:textId="77777777" w:rsidR="006D2440" w:rsidRDefault="004D7CE6" w:rsidP="00B11FC3">
      <w:pPr>
        <w:spacing w:after="120" w:line="240" w:lineRule="auto"/>
        <w:rPr>
          <w:rFonts w:ascii="Calibri" w:eastAsia="Calibri" w:hAnsi="Calibri" w:cs="Calibri"/>
        </w:rPr>
      </w:pPr>
      <w:r>
        <w:rPr>
          <w:rFonts w:ascii="Calibri" w:eastAsia="Calibri" w:hAnsi="Calibri" w:cs="Calibri"/>
        </w:rPr>
        <w:t>This recommendation focuses on providing universal access to best practice wound management services.</w:t>
      </w:r>
    </w:p>
    <w:p w14:paraId="443C52D9" w14:textId="77777777" w:rsidR="006D2440" w:rsidRDefault="004D7CE6" w:rsidP="00B11FC3">
      <w:pPr>
        <w:spacing w:after="120" w:line="240" w:lineRule="auto"/>
        <w:rPr>
          <w:rFonts w:ascii="Calibri" w:eastAsia="Calibri" w:hAnsi="Calibri" w:cs="Calibri"/>
        </w:rPr>
      </w:pPr>
      <w:r>
        <w:rPr>
          <w:rFonts w:ascii="Calibri" w:eastAsia="Calibri" w:hAnsi="Calibri" w:cs="Calibri"/>
        </w:rPr>
        <w:t>It is based on the following:</w:t>
      </w:r>
    </w:p>
    <w:p w14:paraId="59432586" w14:textId="77777777" w:rsidR="006D2440" w:rsidRDefault="004D7CE6" w:rsidP="00B11FC3">
      <w:pPr>
        <w:numPr>
          <w:ilvl w:val="0"/>
          <w:numId w:val="21"/>
        </w:numPr>
        <w:spacing w:after="120" w:line="240" w:lineRule="auto"/>
        <w:ind w:left="431"/>
        <w:rPr>
          <w:rFonts w:ascii="Calibri" w:eastAsia="Calibri" w:hAnsi="Calibri" w:cs="Calibri"/>
        </w:rPr>
      </w:pPr>
      <w:r>
        <w:rPr>
          <w:rFonts w:ascii="Calibri" w:eastAsia="Calibri" w:hAnsi="Calibri" w:cs="Calibri"/>
        </w:rPr>
        <w:t xml:space="preserve">As the Working Group has recommended (see Rec 7), improvement in a wound must be observed or referral to an appropriate specialist wound care practitioner mandated.  A wound may be classified as non-healing after appropriate assessment (59), as is often the case with malignant wounds or wounds that arise during end stages of life. For instance, malignant wounds (fungating or ulcerating) seldom heal yet require specific treatment to ameliorate symptoms such as pain, bleeding, exudate and </w:t>
      </w:r>
      <w:proofErr w:type="spellStart"/>
      <w:r>
        <w:rPr>
          <w:rFonts w:ascii="Calibri" w:eastAsia="Calibri" w:hAnsi="Calibri" w:cs="Calibri"/>
        </w:rPr>
        <w:t>malodour</w:t>
      </w:r>
      <w:proofErr w:type="spellEnd"/>
      <w:r>
        <w:rPr>
          <w:rFonts w:ascii="Calibri" w:eastAsia="Calibri" w:hAnsi="Calibri" w:cs="Calibri"/>
        </w:rPr>
        <w:t>. These wounds are often challenging to manage due to their location, frequency of dressing changes and amount of dressing products used at any one time to manage the wound (43) (45). As such, ensuring access to wound experts when appropriate is an essential element in any setting in which a wound is being managed. This is particularly the case in RACFs where RACF staff have various levels of skills and experience in wound management (40).</w:t>
      </w:r>
    </w:p>
    <w:p w14:paraId="00036598" w14:textId="77777777" w:rsidR="006D2440" w:rsidRDefault="004D7CE6" w:rsidP="00B11FC3">
      <w:pPr>
        <w:numPr>
          <w:ilvl w:val="0"/>
          <w:numId w:val="21"/>
        </w:numPr>
        <w:spacing w:after="120" w:line="240" w:lineRule="auto"/>
        <w:ind w:left="431"/>
        <w:rPr>
          <w:rFonts w:ascii="Calibri" w:eastAsia="Calibri" w:hAnsi="Calibri" w:cs="Calibri"/>
        </w:rPr>
      </w:pPr>
      <w:r>
        <w:rPr>
          <w:rFonts w:ascii="Calibri" w:eastAsia="Calibri" w:hAnsi="Calibri" w:cs="Calibri"/>
        </w:rPr>
        <w:t xml:space="preserve">Telehealth is a </w:t>
      </w:r>
      <w:proofErr w:type="spellStart"/>
      <w:r>
        <w:rPr>
          <w:rFonts w:ascii="Calibri" w:eastAsia="Calibri" w:hAnsi="Calibri" w:cs="Calibri"/>
        </w:rPr>
        <w:t>recognised</w:t>
      </w:r>
      <w:proofErr w:type="spellEnd"/>
      <w:r>
        <w:rPr>
          <w:rFonts w:ascii="Calibri" w:eastAsia="Calibri" w:hAnsi="Calibri" w:cs="Calibri"/>
        </w:rPr>
        <w:t xml:space="preserve"> modality of providing equitable access to wound care expertise (see Rec 8) (60) (61) (62) (63) (55) (65).</w:t>
      </w:r>
    </w:p>
    <w:p w14:paraId="1D5D1884" w14:textId="77777777" w:rsidR="006D2440" w:rsidRDefault="004D7CE6" w:rsidP="00B11FC3">
      <w:pPr>
        <w:numPr>
          <w:ilvl w:val="0"/>
          <w:numId w:val="21"/>
        </w:numPr>
        <w:spacing w:after="120" w:line="240" w:lineRule="auto"/>
        <w:ind w:left="431"/>
        <w:rPr>
          <w:rFonts w:ascii="Calibri" w:eastAsia="Calibri" w:hAnsi="Calibri" w:cs="Calibri"/>
        </w:rPr>
      </w:pPr>
      <w:r>
        <w:rPr>
          <w:rFonts w:ascii="Calibri" w:eastAsia="Calibri" w:hAnsi="Calibri" w:cs="Calibri"/>
        </w:rPr>
        <w:t>This recommendation should be read in line with Recommendation 22, defining credentialing requirements of specialists in wound management.</w:t>
      </w:r>
    </w:p>
    <w:p w14:paraId="6E218B7E" w14:textId="2B2C58C5" w:rsidR="006D2440" w:rsidRDefault="006D2440" w:rsidP="00B11FC3">
      <w:pPr>
        <w:spacing w:before="180" w:after="60" w:line="312" w:lineRule="auto"/>
        <w:rPr>
          <w:rFonts w:ascii="Calibri" w:eastAsia="Calibri" w:hAnsi="Calibri" w:cs="Calibri"/>
          <w:b/>
          <w:color w:val="01653F"/>
        </w:rPr>
      </w:pPr>
      <w:bookmarkStart w:id="111" w:name="_ajz3jbs5nt6j" w:colFirst="0" w:colLast="0"/>
      <w:bookmarkEnd w:id="111"/>
    </w:p>
    <w:p w14:paraId="207B9B81" w14:textId="15AC9806" w:rsidR="00650621" w:rsidRDefault="00650621">
      <w:pPr>
        <w:rPr>
          <w:rFonts w:ascii="Calibri" w:eastAsia="Calibri" w:hAnsi="Calibri" w:cs="Calibri"/>
        </w:rPr>
      </w:pPr>
      <w:r>
        <w:rPr>
          <w:rFonts w:ascii="Calibri" w:eastAsia="Calibri" w:hAnsi="Calibri" w:cs="Calibri"/>
        </w:rPr>
        <w:br w:type="page"/>
      </w:r>
    </w:p>
    <w:p w14:paraId="6120E66D" w14:textId="614FDF21" w:rsidR="00650621" w:rsidRPr="008E7FF0" w:rsidRDefault="00EE0533" w:rsidP="008E7FF0">
      <w:pPr>
        <w:pStyle w:val="Heading1"/>
        <w:keepLines w:val="0"/>
        <w:widowControl w:val="0"/>
        <w:pBdr>
          <w:bottom w:val="single" w:sz="16" w:space="11" w:color="BFBFBF"/>
        </w:pBdr>
        <w:spacing w:before="720" w:after="720" w:line="312" w:lineRule="auto"/>
        <w:rPr>
          <w:rFonts w:ascii="Calibri" w:eastAsia="Calibri" w:hAnsi="Calibri" w:cs="Calibri"/>
          <w:b/>
          <w:color w:val="01653F"/>
        </w:rPr>
      </w:pPr>
      <w:bookmarkStart w:id="112" w:name="_Toc42764254"/>
      <w:r>
        <w:rPr>
          <w:rFonts w:ascii="Calibri" w:eastAsia="Calibri" w:hAnsi="Calibri" w:cs="Calibri"/>
          <w:b/>
          <w:color w:val="01653F"/>
        </w:rPr>
        <w:lastRenderedPageBreak/>
        <w:t xml:space="preserve">Appendix A: </w:t>
      </w:r>
      <w:r w:rsidR="00650621" w:rsidRPr="008E7FF0">
        <w:rPr>
          <w:rFonts w:ascii="Calibri" w:eastAsia="Calibri" w:hAnsi="Calibri" w:cs="Calibri"/>
          <w:b/>
          <w:color w:val="01653F"/>
        </w:rPr>
        <w:t>Recommendations already endorsed</w:t>
      </w:r>
      <w:bookmarkEnd w:id="112"/>
    </w:p>
    <w:p w14:paraId="2E544FD2" w14:textId="0F798034" w:rsidR="00680D6E" w:rsidRPr="000F735F" w:rsidRDefault="00680D6E" w:rsidP="000F735F">
      <w:pPr>
        <w:spacing w:after="120" w:line="240" w:lineRule="auto"/>
        <w:rPr>
          <w:rFonts w:ascii="Calibri" w:eastAsia="Calibri" w:hAnsi="Calibri" w:cs="Calibri"/>
        </w:rPr>
      </w:pPr>
      <w:r w:rsidRPr="000F735F">
        <w:rPr>
          <w:rFonts w:ascii="Calibri" w:eastAsia="Calibri" w:hAnsi="Calibri" w:cs="Calibri"/>
        </w:rPr>
        <w:t xml:space="preserve">The working group notes that the following </w:t>
      </w:r>
      <w:r w:rsidR="006F26C0" w:rsidRPr="000F735F">
        <w:rPr>
          <w:rFonts w:ascii="Calibri" w:eastAsia="Calibri" w:hAnsi="Calibri" w:cs="Calibri"/>
        </w:rPr>
        <w:t xml:space="preserve">items have already been endorsed by government.  </w:t>
      </w:r>
      <w:r w:rsidR="00C57E75" w:rsidRPr="000F735F">
        <w:rPr>
          <w:rFonts w:ascii="Calibri" w:eastAsia="Calibri" w:hAnsi="Calibri" w:cs="Calibri"/>
        </w:rPr>
        <w:t xml:space="preserve">The working groups suggestion is that evaluation of the outcomes of these items should proceed </w:t>
      </w:r>
      <w:r w:rsidR="008F011D" w:rsidRPr="000F735F">
        <w:rPr>
          <w:rFonts w:ascii="Calibri" w:eastAsia="Calibri" w:hAnsi="Calibri" w:cs="Calibri"/>
        </w:rPr>
        <w:t>and considers that where based on their evaluation and variance from these principles</w:t>
      </w:r>
      <w:r w:rsidR="006D2A1B" w:rsidRPr="000F735F">
        <w:rPr>
          <w:rFonts w:ascii="Calibri" w:eastAsia="Calibri" w:hAnsi="Calibri" w:cs="Calibri"/>
        </w:rPr>
        <w:t xml:space="preserve">, if changes are needed, </w:t>
      </w:r>
      <w:r w:rsidR="008F011D" w:rsidRPr="000F735F">
        <w:rPr>
          <w:rFonts w:ascii="Calibri" w:eastAsia="Calibri" w:hAnsi="Calibri" w:cs="Calibri"/>
        </w:rPr>
        <w:t xml:space="preserve">there should be a uniform approach over time </w:t>
      </w:r>
      <w:r w:rsidR="006D2A1B" w:rsidRPr="000F735F">
        <w:rPr>
          <w:rFonts w:ascii="Calibri" w:eastAsia="Calibri" w:hAnsi="Calibri" w:cs="Calibri"/>
        </w:rPr>
        <w:t xml:space="preserve">to bring them into line with </w:t>
      </w:r>
      <w:r w:rsidR="00A25906" w:rsidRPr="000F735F">
        <w:rPr>
          <w:rFonts w:ascii="Calibri" w:eastAsia="Calibri" w:hAnsi="Calibri" w:cs="Calibri"/>
        </w:rPr>
        <w:t>other telehealth items.</w:t>
      </w:r>
    </w:p>
    <w:p w14:paraId="7FBC90EC" w14:textId="7386E80E" w:rsidR="00650621" w:rsidRDefault="00650621" w:rsidP="008E7FF0">
      <w:pPr>
        <w:pStyle w:val="Style2"/>
      </w:pPr>
      <w:bookmarkStart w:id="113" w:name="_Toc42764255"/>
      <w:r>
        <w:t>Eating Disorders</w:t>
      </w:r>
      <w:bookmarkEnd w:id="113"/>
      <w:r>
        <w:t xml:space="preserve"> </w:t>
      </w:r>
    </w:p>
    <w:p w14:paraId="0010B835" w14:textId="77777777" w:rsidR="00650621" w:rsidRDefault="00650621" w:rsidP="008E7FF0">
      <w:pPr>
        <w:pStyle w:val="Style4"/>
      </w:pPr>
      <w:r>
        <w:t>Telehealth Working Group Consideration</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2D15F956"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1C777025" w14:textId="607B2776" w:rsidR="00650621" w:rsidRDefault="00650621" w:rsidP="00620CF9">
            <w:pPr>
              <w:spacing w:before="120"/>
              <w:ind w:right="142"/>
              <w:rPr>
                <w:rFonts w:ascii="Calibri" w:eastAsia="Calibri" w:hAnsi="Calibri" w:cs="Calibri"/>
                <w:b/>
              </w:rPr>
            </w:pPr>
            <w:r>
              <w:rPr>
                <w:rFonts w:ascii="Calibri" w:eastAsia="Calibri" w:hAnsi="Calibri" w:cs="Calibri"/>
                <w:b/>
              </w:rPr>
              <w:t>Telehealth Recommendation 2</w:t>
            </w:r>
            <w:r w:rsidR="000E2172">
              <w:rPr>
                <w:rFonts w:ascii="Calibri" w:eastAsia="Calibri" w:hAnsi="Calibri" w:cs="Calibri"/>
                <w:b/>
              </w:rPr>
              <w:t>0</w:t>
            </w:r>
            <w:r>
              <w:rPr>
                <w:rFonts w:ascii="Calibri" w:eastAsia="Calibri" w:hAnsi="Calibri" w:cs="Calibri"/>
                <w:b/>
              </w:rPr>
              <w:t xml:space="preserve"> of 21: Eating Disorders Recommendation 1.4</w:t>
            </w:r>
          </w:p>
        </w:tc>
      </w:tr>
      <w:tr w:rsidR="00716DA7" w14:paraId="280C49A7"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3F0B1AB4" w14:textId="4560E116" w:rsidR="00650621" w:rsidRDefault="00650621" w:rsidP="0081362C">
            <w:pPr>
              <w:spacing w:before="120"/>
              <w:rPr>
                <w:rFonts w:ascii="Calibri" w:eastAsia="Calibri" w:hAnsi="Calibri" w:cs="Calibri"/>
              </w:rPr>
            </w:pPr>
            <w:r>
              <w:rPr>
                <w:rFonts w:ascii="Calibri" w:eastAsia="Calibri" w:hAnsi="Calibri" w:cs="Calibri"/>
                <w:b/>
              </w:rPr>
              <w:t xml:space="preserve">Recommendation: </w:t>
            </w:r>
            <w:r w:rsidR="0081362C" w:rsidRPr="0081362C">
              <w:rPr>
                <w:rFonts w:ascii="Calibri" w:eastAsia="Calibri" w:hAnsi="Calibri" w:cs="Calibri"/>
                <w:i/>
              </w:rPr>
              <w:t>Noted and with evaluation that these recommendations be aligned to the principles over</w:t>
            </w:r>
            <w:r w:rsidR="0081362C" w:rsidRPr="0081362C">
              <w:rPr>
                <w:rFonts w:ascii="Calibri" w:eastAsia="Calibri" w:hAnsi="Calibri" w:cs="Calibri"/>
                <w:b/>
              </w:rPr>
              <w:t xml:space="preserve"> </w:t>
            </w:r>
            <w:r w:rsidR="0081362C" w:rsidRPr="0081362C">
              <w:rPr>
                <w:rFonts w:ascii="Calibri" w:eastAsia="Calibri" w:hAnsi="Calibri" w:cs="Calibri"/>
              </w:rPr>
              <w:t>time</w:t>
            </w:r>
          </w:p>
        </w:tc>
      </w:tr>
      <w:tr w:rsidR="00716DA7" w14:paraId="66B5041E"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725279" w14:textId="12E383EF" w:rsidR="00650621" w:rsidRDefault="0081362C" w:rsidP="6EE85499">
            <w:pPr>
              <w:spacing w:before="120"/>
              <w:rPr>
                <w:rFonts w:ascii="Calibri" w:eastAsia="Calibri" w:hAnsi="Calibri" w:cs="Calibri"/>
                <w:b/>
                <w:bCs/>
              </w:rPr>
            </w:pPr>
            <w:r>
              <w:rPr>
                <w:rFonts w:ascii="Calibri" w:eastAsia="Calibri" w:hAnsi="Calibri" w:cs="Calibri"/>
                <w:b/>
                <w:bCs/>
              </w:rPr>
              <w:t>TWG Rationale:</w:t>
            </w:r>
          </w:p>
          <w:p w14:paraId="2C3ACC1B" w14:textId="1F165001" w:rsidR="00650621" w:rsidRPr="002C2776" w:rsidRDefault="00650621" w:rsidP="0081362C">
            <w:pPr>
              <w:spacing w:before="120"/>
              <w:rPr>
                <w:rFonts w:ascii="Calibri" w:eastAsia="Calibri" w:hAnsi="Calibri" w:cs="Calibri"/>
              </w:rPr>
            </w:pPr>
            <w:r>
              <w:rPr>
                <w:rFonts w:ascii="Calibri" w:eastAsia="Calibri" w:hAnsi="Calibri" w:cs="Calibri"/>
              </w:rPr>
              <w:t>The TWG noted that this Recommendation has been implemented, and</w:t>
            </w:r>
            <w:r w:rsidR="00461147">
              <w:rPr>
                <w:rFonts w:ascii="Calibri" w:eastAsia="Calibri" w:hAnsi="Calibri" w:cs="Calibri"/>
              </w:rPr>
              <w:t xml:space="preserve"> as above, suggested that in response to evaluation future changes are guided by these principles</w:t>
            </w:r>
            <w:r>
              <w:rPr>
                <w:rFonts w:ascii="Calibri" w:eastAsia="Calibri" w:hAnsi="Calibri" w:cs="Calibri"/>
              </w:rPr>
              <w:t>.</w:t>
            </w:r>
          </w:p>
        </w:tc>
      </w:tr>
    </w:tbl>
    <w:p w14:paraId="496BEAB5" w14:textId="77777777" w:rsidR="00650621" w:rsidRDefault="00650621" w:rsidP="008E7FF0">
      <w:pPr>
        <w:pStyle w:val="Style4"/>
      </w:pPr>
      <w:r>
        <w:t>Eating Disorders Working Group Recommendations</w:t>
      </w:r>
    </w:p>
    <w:p w14:paraId="4C180C9A" w14:textId="77777777" w:rsidR="00650621" w:rsidRPr="00DF265B" w:rsidRDefault="00650621" w:rsidP="00B11FC3">
      <w:pPr>
        <w:pStyle w:val="Style4"/>
        <w:spacing w:before="0" w:line="240" w:lineRule="auto"/>
      </w:pPr>
      <w:r w:rsidRPr="00DF265B">
        <w:t>Recommendation 1.4</w:t>
      </w:r>
    </w:p>
    <w:p w14:paraId="51A84A88"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The Working Group recommends the services referred to in recommendation 1.2 be allowed to be provided via telehealth (under the same eligibility requirements that exist for other MBS services) in order to increase access to services for patients in rural and remote areas.</w:t>
      </w:r>
    </w:p>
    <w:p w14:paraId="40403466"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b/>
          <w:u w:val="single"/>
        </w:rPr>
        <w:t>Recommendation 1.2:</w:t>
      </w:r>
      <w:r w:rsidRPr="008E7FF0">
        <w:rPr>
          <w:rFonts w:ascii="Calibri" w:eastAsia="Calibri" w:hAnsi="Calibri" w:cs="Calibri"/>
          <w:b/>
        </w:rPr>
        <w:tab/>
      </w:r>
      <w:r w:rsidRPr="008E7FF0">
        <w:rPr>
          <w:rFonts w:ascii="Calibri" w:eastAsia="Calibri" w:hAnsi="Calibri" w:cs="Calibri"/>
        </w:rPr>
        <w:t>The Working Group recommends the introduction of a new suite of items to provide a comprehensive stepped model of care for:</w:t>
      </w:r>
    </w:p>
    <w:p w14:paraId="7A270398"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o</w:t>
      </w:r>
      <w:r w:rsidRPr="008E7FF0">
        <w:rPr>
          <w:rFonts w:ascii="Calibri" w:eastAsia="Calibri" w:hAnsi="Calibri" w:cs="Calibri"/>
        </w:rPr>
        <w:tab/>
        <w:t>all patients with anorexia nervosa; and</w:t>
      </w:r>
    </w:p>
    <w:p w14:paraId="45C1D68E"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o</w:t>
      </w:r>
      <w:r w:rsidRPr="008E7FF0">
        <w:rPr>
          <w:rFonts w:ascii="Calibri" w:eastAsia="Calibri" w:hAnsi="Calibri" w:cs="Calibri"/>
        </w:rPr>
        <w:tab/>
        <w:t xml:space="preserve">patients with bulimia nervosa, binge-eating disorder and other specified feeding or eating disorders who have complex needs, have not responded to treatment at a lower level of intensity and are assessed as ‘high-risk’ of serious medical and psychological complications. </w:t>
      </w:r>
    </w:p>
    <w:p w14:paraId="3850D4A3"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The new items would provide for:</w:t>
      </w:r>
    </w:p>
    <w:p w14:paraId="0FFA3CE5"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o</w:t>
      </w:r>
      <w:r w:rsidRPr="008E7FF0">
        <w:rPr>
          <w:rFonts w:ascii="Calibri" w:eastAsia="Calibri" w:hAnsi="Calibri" w:cs="Calibri"/>
        </w:rPr>
        <w:tab/>
        <w:t xml:space="preserve">the development and review of a treatment and management plan by a medical practitioner (such as a GP).  </w:t>
      </w:r>
    </w:p>
    <w:p w14:paraId="0DFEE234"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o</w:t>
      </w:r>
      <w:r w:rsidRPr="008E7FF0">
        <w:rPr>
          <w:rFonts w:ascii="Calibri" w:eastAsia="Calibri" w:hAnsi="Calibri" w:cs="Calibri"/>
        </w:rPr>
        <w:tab/>
        <w:t xml:space="preserve">This item would trigger eligibility for a comprehensive model of care, consisting of an initial and more intensive course of psychological and dietetic treatment depending of the patient’s needs. </w:t>
      </w:r>
    </w:p>
    <w:p w14:paraId="0638A389"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 xml:space="preserve">Initial course of treatment </w:t>
      </w:r>
    </w:p>
    <w:p w14:paraId="45E66C8D"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o</w:t>
      </w:r>
      <w:r w:rsidRPr="008E7FF0">
        <w:rPr>
          <w:rFonts w:ascii="Calibri" w:eastAsia="Calibri" w:hAnsi="Calibri" w:cs="Calibri"/>
        </w:rPr>
        <w:tab/>
        <w:t xml:space="preserve">Triggered by the development of a treatment and management plan by a medical practitioner (GP): </w:t>
      </w:r>
    </w:p>
    <w:p w14:paraId="33DF3663"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w:t>
      </w:r>
      <w:r w:rsidRPr="008E7FF0">
        <w:rPr>
          <w:rFonts w:ascii="Calibri" w:eastAsia="Calibri" w:hAnsi="Calibri" w:cs="Calibri"/>
        </w:rPr>
        <w:tab/>
        <w:t xml:space="preserve">an initial course of up to 20 psychological sessions; and </w:t>
      </w:r>
    </w:p>
    <w:p w14:paraId="153653A7"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lastRenderedPageBreak/>
        <w:t>•</w:t>
      </w:r>
      <w:r w:rsidRPr="008E7FF0">
        <w:rPr>
          <w:rFonts w:ascii="Calibri" w:eastAsia="Calibri" w:hAnsi="Calibri" w:cs="Calibri"/>
        </w:rPr>
        <w:tab/>
        <w:t>an initial course of up to 10 dietetic sessions.</w:t>
      </w:r>
    </w:p>
    <w:p w14:paraId="6033DF6B"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o</w:t>
      </w:r>
      <w:r w:rsidRPr="008E7FF0">
        <w:rPr>
          <w:rFonts w:ascii="Calibri" w:eastAsia="Calibri" w:hAnsi="Calibri" w:cs="Calibri"/>
        </w:rPr>
        <w:tab/>
        <w:t>The GP will assess the patient throughout the treatment process, but should assess whether the patient should progress beyond 10 psychological sessions and 5 dietetic sessions by conducting a review consultation (with a New Item Number) before or around 9 or 10 sessions completion mark, to approve and trigger another course of 10 psychological sessions and 5 dietetic services (up to 20 psychological sessions and up to 10 dietetic sessions). This review item will involve a full medical and psychological history, a full physical examination and ordering and reviewing relevant investigations.</w:t>
      </w:r>
    </w:p>
    <w:p w14:paraId="410EFD17"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o</w:t>
      </w:r>
      <w:r w:rsidRPr="008E7FF0">
        <w:rPr>
          <w:rFonts w:ascii="Calibri" w:eastAsia="Calibri" w:hAnsi="Calibri" w:cs="Calibri"/>
        </w:rPr>
        <w:tab/>
        <w:t>The mental health professional involved in the patients treatment will be required to formally report back to the practitioner before or around the 9 to 10 services completion mark to certify the patient’s diagnosis and confirm that the patient requires a further course (an additional 10 psychological sessions) of treatment.</w:t>
      </w:r>
    </w:p>
    <w:p w14:paraId="77102070"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 xml:space="preserve">More intensive treatment </w:t>
      </w:r>
    </w:p>
    <w:p w14:paraId="40B954A9"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 xml:space="preserve">If the patient has not responded to treatment at a lower intensity, upon formal review and assessment of the patient by a psychiatrist or </w:t>
      </w:r>
      <w:proofErr w:type="spellStart"/>
      <w:r w:rsidRPr="008E7FF0">
        <w:rPr>
          <w:rFonts w:ascii="Calibri" w:eastAsia="Calibri" w:hAnsi="Calibri" w:cs="Calibri"/>
        </w:rPr>
        <w:t>paediatrician</w:t>
      </w:r>
      <w:proofErr w:type="spellEnd"/>
      <w:r w:rsidRPr="008E7FF0">
        <w:rPr>
          <w:rFonts w:ascii="Calibri" w:eastAsia="Calibri" w:hAnsi="Calibri" w:cs="Calibri"/>
        </w:rPr>
        <w:t>, the patient would be eligible for:</w:t>
      </w:r>
    </w:p>
    <w:p w14:paraId="20F1A77F"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o</w:t>
      </w:r>
      <w:r w:rsidRPr="008E7FF0">
        <w:rPr>
          <w:rFonts w:ascii="Calibri" w:eastAsia="Calibri" w:hAnsi="Calibri" w:cs="Calibri"/>
        </w:rPr>
        <w:tab/>
        <w:t>an additional course of up to 20 psychological sessions (40 sessions in total per year</w:t>
      </w:r>
      <w:proofErr w:type="gramStart"/>
      <w:r w:rsidRPr="008E7FF0">
        <w:rPr>
          <w:rFonts w:ascii="Calibri" w:eastAsia="Calibri" w:hAnsi="Calibri" w:cs="Calibri"/>
        </w:rPr>
        <w:t>) ;</w:t>
      </w:r>
      <w:proofErr w:type="gramEnd"/>
      <w:r w:rsidRPr="008E7FF0">
        <w:rPr>
          <w:rFonts w:ascii="Calibri" w:eastAsia="Calibri" w:hAnsi="Calibri" w:cs="Calibri"/>
        </w:rPr>
        <w:t xml:space="preserve"> and </w:t>
      </w:r>
    </w:p>
    <w:p w14:paraId="71B36D47"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o</w:t>
      </w:r>
      <w:r w:rsidRPr="008E7FF0">
        <w:rPr>
          <w:rFonts w:ascii="Calibri" w:eastAsia="Calibri" w:hAnsi="Calibri" w:cs="Calibri"/>
        </w:rPr>
        <w:tab/>
        <w:t>an additional course of up to 10 dietetic sessions (20 sessions in total per year).</w:t>
      </w:r>
    </w:p>
    <w:p w14:paraId="0B743B33"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GP reviews</w:t>
      </w:r>
    </w:p>
    <w:p w14:paraId="050FD77E"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It is expected that as the central care provider, the GP will review the patient throughout the treatment process, performing the necessary medical assessments, including ordering and reviewing the required tests, and assessing the patient’s response to treatment.</w:t>
      </w:r>
    </w:p>
    <w:p w14:paraId="4BCAA695"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Reports back to the GP from the mental health professional and dietitian</w:t>
      </w:r>
    </w:p>
    <w:p w14:paraId="3865899B" w14:textId="77777777" w:rsidR="00650621" w:rsidRPr="008E7FF0" w:rsidRDefault="00650621" w:rsidP="00B11FC3">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rPr>
      </w:pPr>
      <w:r w:rsidRPr="008E7FF0">
        <w:rPr>
          <w:rFonts w:ascii="Calibri" w:eastAsia="Calibri" w:hAnsi="Calibri" w:cs="Calibri"/>
        </w:rPr>
        <w:t>It will be a requirement that the mental health professional and dietitian delivering care to the patient provide written reports back to the managing GP after each set of services (that is, after each set of 10 psychological services and 5 dietetic services).</w:t>
      </w:r>
    </w:p>
    <w:p w14:paraId="5703CDF2" w14:textId="77777777" w:rsidR="00EE0533" w:rsidRDefault="00EE0533" w:rsidP="00650621">
      <w:pPr>
        <w:spacing w:after="160" w:line="259" w:lineRule="auto"/>
      </w:pPr>
    </w:p>
    <w:p w14:paraId="6582EF7D" w14:textId="5CACE937" w:rsidR="000959AE" w:rsidRPr="008E7FF0" w:rsidRDefault="000959AE" w:rsidP="008E7FF0">
      <w:pPr>
        <w:pStyle w:val="Style2"/>
      </w:pPr>
      <w:bookmarkStart w:id="114" w:name="_Toc42764256"/>
      <w:proofErr w:type="spellStart"/>
      <w:r w:rsidRPr="008E7FF0">
        <w:t>Gynaecology</w:t>
      </w:r>
      <w:bookmarkEnd w:id="114"/>
      <w:proofErr w:type="spellEnd"/>
    </w:p>
    <w:p w14:paraId="6B2A7609" w14:textId="77777777" w:rsidR="000959AE" w:rsidRPr="00DF265B" w:rsidRDefault="000959AE" w:rsidP="000959AE">
      <w:pPr>
        <w:pStyle w:val="Style4"/>
        <w:rPr>
          <w:color w:val="4F6228" w:themeColor="accent3" w:themeShade="80"/>
        </w:rPr>
      </w:pPr>
      <w:r w:rsidRPr="00DF265B">
        <w:rPr>
          <w:color w:val="4F6228" w:themeColor="accent3" w:themeShade="80"/>
        </w:rPr>
        <w:t>Telehealth Working Group Consideration</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16DA7" w14:paraId="1373C329"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56FF1920" w14:textId="0B730CB7" w:rsidR="000959AE" w:rsidRDefault="000959AE" w:rsidP="000959AE">
            <w:pPr>
              <w:spacing w:before="120"/>
              <w:ind w:right="142"/>
              <w:rPr>
                <w:rFonts w:ascii="Calibri" w:eastAsia="Calibri" w:hAnsi="Calibri" w:cs="Calibri"/>
              </w:rPr>
            </w:pPr>
            <w:r>
              <w:rPr>
                <w:rFonts w:ascii="Calibri" w:eastAsia="Calibri" w:hAnsi="Calibri" w:cs="Calibri"/>
                <w:b/>
              </w:rPr>
              <w:t xml:space="preserve">Telehealth Recommendation </w:t>
            </w:r>
            <w:r w:rsidR="000E2172">
              <w:rPr>
                <w:rFonts w:ascii="Calibri" w:eastAsia="Calibri" w:hAnsi="Calibri" w:cs="Calibri"/>
                <w:b/>
              </w:rPr>
              <w:t>21</w:t>
            </w:r>
            <w:r>
              <w:rPr>
                <w:rFonts w:ascii="Calibri" w:eastAsia="Calibri" w:hAnsi="Calibri" w:cs="Calibri"/>
                <w:b/>
              </w:rPr>
              <w:t xml:space="preserve"> of 21: </w:t>
            </w:r>
            <w:proofErr w:type="spellStart"/>
            <w:r>
              <w:rPr>
                <w:rFonts w:ascii="Calibri" w:eastAsia="Calibri" w:hAnsi="Calibri" w:cs="Calibri"/>
              </w:rPr>
              <w:t>Gynaecology</w:t>
            </w:r>
            <w:proofErr w:type="spellEnd"/>
            <w:r>
              <w:rPr>
                <w:rFonts w:ascii="Calibri" w:eastAsia="Calibri" w:hAnsi="Calibri" w:cs="Calibri"/>
              </w:rPr>
              <w:t xml:space="preserve"> Clinical Committee Recommendation 10 - Delete item 13210 (attendance on a patient by video conference)</w:t>
            </w:r>
          </w:p>
        </w:tc>
      </w:tr>
      <w:tr w:rsidR="00716DA7" w14:paraId="760CCA9F"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14:paraId="5B12A9E6" w14:textId="77C01BA5" w:rsidR="000959AE" w:rsidRDefault="000959AE" w:rsidP="0081362C">
            <w:pPr>
              <w:spacing w:before="120"/>
              <w:rPr>
                <w:rFonts w:ascii="Calibri" w:eastAsia="Calibri" w:hAnsi="Calibri" w:cs="Calibri"/>
              </w:rPr>
            </w:pPr>
            <w:r>
              <w:rPr>
                <w:rFonts w:ascii="Calibri" w:eastAsia="Calibri" w:hAnsi="Calibri" w:cs="Calibri"/>
                <w:b/>
              </w:rPr>
              <w:t>TWG Recommendation:</w:t>
            </w:r>
            <w:r w:rsidR="00191B04">
              <w:rPr>
                <w:rFonts w:ascii="Calibri" w:eastAsia="Calibri" w:hAnsi="Calibri" w:cs="Calibri"/>
                <w:b/>
              </w:rPr>
              <w:t xml:space="preserve"> </w:t>
            </w:r>
            <w:r w:rsidR="0081362C" w:rsidRPr="004C4F5B">
              <w:rPr>
                <w:rFonts w:ascii="Calibri" w:hAnsi="Calibri"/>
              </w:rPr>
              <w:t xml:space="preserve">Not Supported. </w:t>
            </w:r>
            <w:r w:rsidR="0081362C" w:rsidRPr="0081362C">
              <w:rPr>
                <w:rFonts w:ascii="Calibri" w:eastAsia="Calibri" w:hAnsi="Calibri" w:cs="Calibri"/>
              </w:rPr>
              <w:t>Should als</w:t>
            </w:r>
            <w:r w:rsidR="0081362C">
              <w:rPr>
                <w:rFonts w:ascii="Calibri" w:eastAsia="Calibri" w:hAnsi="Calibri" w:cs="Calibri"/>
              </w:rPr>
              <w:t>o be aligned with the principles</w:t>
            </w:r>
            <w:r w:rsidR="003805AC" w:rsidRPr="0081362C">
              <w:rPr>
                <w:rFonts w:ascii="Calibri" w:eastAsia="Calibri" w:hAnsi="Calibri" w:cs="Calibri"/>
              </w:rPr>
              <w:t>.</w:t>
            </w:r>
            <w:r>
              <w:rPr>
                <w:rFonts w:ascii="Calibri" w:eastAsia="Calibri" w:hAnsi="Calibri" w:cs="Calibri"/>
                <w:b/>
              </w:rPr>
              <w:t xml:space="preserve"> </w:t>
            </w:r>
          </w:p>
        </w:tc>
      </w:tr>
      <w:tr w:rsidR="00716DA7" w14:paraId="7F4CB000" w14:textId="77777777" w:rsidTr="6EE85499">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5D86BD3" w14:textId="7E8BA520" w:rsidR="0092654B" w:rsidRDefault="000959AE" w:rsidP="000959AE">
            <w:pPr>
              <w:spacing w:before="120"/>
              <w:rPr>
                <w:rFonts w:ascii="Calibri" w:eastAsia="Calibri" w:hAnsi="Calibri" w:cs="Calibri"/>
              </w:rPr>
            </w:pPr>
            <w:r>
              <w:rPr>
                <w:rFonts w:ascii="Calibri" w:eastAsia="Calibri" w:hAnsi="Calibri" w:cs="Calibri"/>
              </w:rPr>
              <w:t>This recommendation has already been submitted to Government</w:t>
            </w:r>
            <w:r w:rsidR="00B82EBA">
              <w:rPr>
                <w:rFonts w:ascii="Calibri" w:eastAsia="Calibri" w:hAnsi="Calibri" w:cs="Calibri"/>
              </w:rPr>
              <w:t xml:space="preserve"> and this </w:t>
            </w:r>
            <w:r w:rsidRPr="6EE85499">
              <w:rPr>
                <w:rFonts w:ascii="Calibri" w:eastAsia="Calibri" w:hAnsi="Calibri" w:cs="Calibri"/>
              </w:rPr>
              <w:t xml:space="preserve">item </w:t>
            </w:r>
            <w:r w:rsidR="00B82EBA">
              <w:rPr>
                <w:rFonts w:ascii="Calibri" w:eastAsia="Calibri" w:hAnsi="Calibri" w:cs="Calibri"/>
              </w:rPr>
              <w:t>has</w:t>
            </w:r>
            <w:r w:rsidRPr="6EE85499">
              <w:rPr>
                <w:rFonts w:ascii="Calibri" w:eastAsia="Calibri" w:hAnsi="Calibri" w:cs="Calibri"/>
              </w:rPr>
              <w:t xml:space="preserve"> not been claimed in 5 years</w:t>
            </w:r>
            <w:r w:rsidR="00B82EBA">
              <w:rPr>
                <w:rFonts w:ascii="Calibri" w:eastAsia="Calibri" w:hAnsi="Calibri" w:cs="Calibri"/>
              </w:rPr>
              <w:t xml:space="preserve"> but given the recent </w:t>
            </w:r>
            <w:r w:rsidR="00BB5441">
              <w:rPr>
                <w:rFonts w:ascii="Calibri" w:eastAsia="Calibri" w:hAnsi="Calibri" w:cs="Calibri"/>
              </w:rPr>
              <w:t xml:space="preserve">exposure of this craft group to telehealth </w:t>
            </w:r>
            <w:r w:rsidR="0017757C">
              <w:rPr>
                <w:rFonts w:ascii="Calibri" w:eastAsia="Calibri" w:hAnsi="Calibri" w:cs="Calibri"/>
              </w:rPr>
              <w:t xml:space="preserve">the TWG </w:t>
            </w:r>
            <w:r w:rsidR="005F03F9">
              <w:rPr>
                <w:rFonts w:ascii="Calibri" w:eastAsia="Calibri" w:hAnsi="Calibri" w:cs="Calibri"/>
              </w:rPr>
              <w:t>recommends that telehealth rebates</w:t>
            </w:r>
            <w:r w:rsidR="00AA3252">
              <w:rPr>
                <w:rFonts w:ascii="Calibri" w:eastAsia="Calibri" w:hAnsi="Calibri" w:cs="Calibri"/>
              </w:rPr>
              <w:t xml:space="preserve"> be available in accordance with </w:t>
            </w:r>
            <w:r w:rsidR="0092654B">
              <w:rPr>
                <w:rFonts w:ascii="Calibri" w:eastAsia="Calibri" w:hAnsi="Calibri" w:cs="Calibri"/>
              </w:rPr>
              <w:t xml:space="preserve">all of the principles but in particular principles </w:t>
            </w:r>
            <w:r w:rsidR="00E02F8C">
              <w:rPr>
                <w:rFonts w:ascii="Calibri" w:eastAsia="Calibri" w:hAnsi="Calibri" w:cs="Calibri"/>
              </w:rPr>
              <w:t>1,</w:t>
            </w:r>
            <w:r w:rsidR="00C706D4">
              <w:rPr>
                <w:rFonts w:ascii="Calibri" w:eastAsia="Calibri" w:hAnsi="Calibri" w:cs="Calibri"/>
              </w:rPr>
              <w:t xml:space="preserve"> </w:t>
            </w:r>
            <w:r w:rsidR="00E02F8C">
              <w:rPr>
                <w:rFonts w:ascii="Calibri" w:eastAsia="Calibri" w:hAnsi="Calibri" w:cs="Calibri"/>
              </w:rPr>
              <w:t>2</w:t>
            </w:r>
            <w:r w:rsidR="00C706D4">
              <w:rPr>
                <w:rFonts w:ascii="Calibri" w:eastAsia="Calibri" w:hAnsi="Calibri" w:cs="Calibri"/>
              </w:rPr>
              <w:t xml:space="preserve"> </w:t>
            </w:r>
            <w:r w:rsidR="00E02F8C">
              <w:rPr>
                <w:rFonts w:ascii="Calibri" w:eastAsia="Calibri" w:hAnsi="Calibri" w:cs="Calibri"/>
              </w:rPr>
              <w:t>,</w:t>
            </w:r>
            <w:r w:rsidR="00C706D4">
              <w:rPr>
                <w:rFonts w:ascii="Calibri" w:eastAsia="Calibri" w:hAnsi="Calibri" w:cs="Calibri"/>
              </w:rPr>
              <w:t xml:space="preserve"> </w:t>
            </w:r>
            <w:r w:rsidR="00E02F8C">
              <w:rPr>
                <w:rFonts w:ascii="Calibri" w:eastAsia="Calibri" w:hAnsi="Calibri" w:cs="Calibri"/>
              </w:rPr>
              <w:t>3,</w:t>
            </w:r>
            <w:r w:rsidR="00C706D4">
              <w:rPr>
                <w:rFonts w:ascii="Calibri" w:eastAsia="Calibri" w:hAnsi="Calibri" w:cs="Calibri"/>
              </w:rPr>
              <w:t xml:space="preserve"> </w:t>
            </w:r>
            <w:r w:rsidR="00E02F8C">
              <w:rPr>
                <w:rFonts w:ascii="Calibri" w:eastAsia="Calibri" w:hAnsi="Calibri" w:cs="Calibri"/>
              </w:rPr>
              <w:t>4</w:t>
            </w:r>
            <w:r w:rsidR="0092654B">
              <w:rPr>
                <w:rFonts w:ascii="Calibri" w:eastAsia="Calibri" w:hAnsi="Calibri" w:cs="Calibri"/>
              </w:rPr>
              <w:t>.</w:t>
            </w:r>
          </w:p>
          <w:p w14:paraId="01EDC820" w14:textId="77777777" w:rsidR="002C2776" w:rsidRDefault="002C2776" w:rsidP="002C2776">
            <w:pPr>
              <w:spacing w:after="120" w:line="240" w:lineRule="auto"/>
              <w:rPr>
                <w:rFonts w:asciiTheme="majorHAnsi" w:eastAsia="Calibri" w:hAnsiTheme="majorHAnsi" w:cstheme="majorHAnsi"/>
                <w:i/>
                <w:iCs/>
              </w:rPr>
            </w:pPr>
            <w:r w:rsidRPr="002C2776">
              <w:rPr>
                <w:rFonts w:asciiTheme="majorHAnsi" w:eastAsia="Calibri" w:hAnsiTheme="majorHAnsi" w:cstheme="majorHAnsi"/>
              </w:rPr>
              <w:t xml:space="preserve">Principle 1 </w:t>
            </w:r>
            <w:r w:rsidRPr="002C2776">
              <w:rPr>
                <w:rFonts w:asciiTheme="majorHAnsi" w:eastAsia="Calibri" w:hAnsiTheme="majorHAnsi" w:cstheme="majorHAnsi"/>
                <w:i/>
                <w:iCs/>
              </w:rPr>
              <w:t>Should be patient-focused, and based on patient need, rather than geographical location</w:t>
            </w:r>
          </w:p>
          <w:p w14:paraId="1A232036" w14:textId="77777777" w:rsidR="002C2776" w:rsidRPr="002C2776" w:rsidRDefault="002C2776" w:rsidP="002C2776">
            <w:pPr>
              <w:spacing w:after="120" w:line="240" w:lineRule="auto"/>
              <w:rPr>
                <w:rFonts w:asciiTheme="majorHAnsi" w:eastAsia="Calibri" w:hAnsiTheme="majorHAnsi" w:cstheme="majorHAnsi"/>
                <w:i/>
                <w:iCs/>
              </w:rPr>
            </w:pPr>
            <w:r>
              <w:rPr>
                <w:rFonts w:asciiTheme="majorHAnsi" w:eastAsia="Calibri" w:hAnsiTheme="majorHAnsi" w:cstheme="majorHAnsi"/>
              </w:rPr>
              <w:t>Principle 2</w:t>
            </w:r>
            <w:r w:rsidRPr="002C2776">
              <w:rPr>
                <w:rFonts w:asciiTheme="majorHAnsi" w:eastAsia="Calibri" w:hAnsiTheme="majorHAnsi" w:cstheme="majorHAnsi"/>
              </w:rPr>
              <w:t xml:space="preserve"> </w:t>
            </w:r>
            <w:r w:rsidRPr="002C2776">
              <w:rPr>
                <w:rFonts w:asciiTheme="majorHAnsi" w:eastAsia="Calibri" w:hAnsiTheme="majorHAnsi" w:cstheme="majorHAnsi"/>
                <w:i/>
                <w:iCs/>
              </w:rPr>
              <w:t>Must support and facilitate services that are clinically safe and efficacious for patients.</w:t>
            </w:r>
          </w:p>
          <w:p w14:paraId="50976E04" w14:textId="77777777" w:rsidR="002C2776" w:rsidRPr="002C2776" w:rsidRDefault="002C2776" w:rsidP="002C2776">
            <w:pPr>
              <w:spacing w:after="120" w:line="240" w:lineRule="auto"/>
              <w:rPr>
                <w:rFonts w:asciiTheme="majorHAnsi" w:eastAsia="Calibri" w:hAnsiTheme="majorHAnsi" w:cstheme="majorHAnsi"/>
              </w:rPr>
            </w:pPr>
            <w:r w:rsidRPr="002C2776">
              <w:rPr>
                <w:rFonts w:asciiTheme="majorHAnsi" w:eastAsia="Calibri" w:hAnsiTheme="majorHAnsi" w:cstheme="majorHAnsi"/>
              </w:rPr>
              <w:t xml:space="preserve">Principle 3 </w:t>
            </w:r>
            <w:r w:rsidRPr="002C2776">
              <w:rPr>
                <w:rFonts w:asciiTheme="majorHAnsi" w:eastAsia="Calibri" w:hAnsiTheme="majorHAnsi" w:cstheme="majorHAnsi"/>
                <w:i/>
                <w:iCs/>
              </w:rPr>
              <w:t>Should be provided in the context of continuity of care between patient and practitioner.</w:t>
            </w:r>
          </w:p>
          <w:p w14:paraId="159E91D1" w14:textId="2D1D7C0A" w:rsidR="000959AE" w:rsidRPr="002C2776" w:rsidRDefault="002C2776" w:rsidP="002C2776">
            <w:pPr>
              <w:spacing w:after="120" w:line="240" w:lineRule="auto"/>
              <w:rPr>
                <w:rFonts w:asciiTheme="majorHAnsi" w:eastAsia="Calibri" w:hAnsiTheme="majorHAnsi" w:cstheme="majorHAnsi"/>
              </w:rPr>
            </w:pPr>
            <w:r w:rsidRPr="002C2776">
              <w:rPr>
                <w:rFonts w:asciiTheme="majorHAnsi" w:eastAsia="Calibri" w:hAnsiTheme="majorHAnsi" w:cstheme="majorHAnsi"/>
              </w:rPr>
              <w:t>Principle 4</w:t>
            </w:r>
            <w:r>
              <w:rPr>
                <w:rFonts w:asciiTheme="majorHAnsi" w:eastAsia="Calibri" w:hAnsiTheme="majorHAnsi" w:cstheme="majorHAnsi"/>
              </w:rPr>
              <w:t xml:space="preserve"> </w:t>
            </w:r>
            <w:r w:rsidRPr="002C2776">
              <w:rPr>
                <w:rFonts w:asciiTheme="majorHAnsi" w:eastAsia="Calibri" w:hAnsiTheme="majorHAnsi" w:cstheme="majorHAnsi"/>
                <w:i/>
              </w:rPr>
              <w:t>Must not create unintended consequences or perverse incentives that undermine the role of face-to-face care</w:t>
            </w:r>
            <w:r w:rsidRPr="002C2776">
              <w:rPr>
                <w:rFonts w:asciiTheme="majorHAnsi" w:eastAsia="Calibri" w:hAnsiTheme="majorHAnsi" w:cstheme="majorHAnsi"/>
                <w:i/>
                <w:iCs/>
              </w:rPr>
              <w:t>.</w:t>
            </w:r>
          </w:p>
        </w:tc>
      </w:tr>
    </w:tbl>
    <w:p w14:paraId="3C08EF3B" w14:textId="77777777" w:rsidR="000959AE" w:rsidRPr="00DF265B" w:rsidRDefault="000959AE" w:rsidP="000959AE">
      <w:pPr>
        <w:pStyle w:val="Style4"/>
        <w:rPr>
          <w:color w:val="4F6228" w:themeColor="accent3" w:themeShade="80"/>
        </w:rPr>
      </w:pPr>
      <w:proofErr w:type="spellStart"/>
      <w:r w:rsidRPr="00DF265B">
        <w:rPr>
          <w:color w:val="4F6228" w:themeColor="accent3" w:themeShade="80"/>
        </w:rPr>
        <w:lastRenderedPageBreak/>
        <w:t>Gynaecology</w:t>
      </w:r>
      <w:proofErr w:type="spellEnd"/>
      <w:r w:rsidRPr="00DF265B">
        <w:rPr>
          <w:color w:val="4F6228" w:themeColor="accent3" w:themeShade="80"/>
        </w:rPr>
        <w:t xml:space="preserve"> Clinical Committee</w:t>
      </w:r>
    </w:p>
    <w:p w14:paraId="3DCE6E65" w14:textId="77777777" w:rsidR="000959AE" w:rsidRPr="00DF265B" w:rsidRDefault="000959AE" w:rsidP="000959AE">
      <w:pPr>
        <w:pStyle w:val="Style3"/>
      </w:pPr>
      <w:r w:rsidRPr="00DF265B">
        <w:t>Professional attendance (items 13209 and 13210)</w:t>
      </w:r>
    </w:p>
    <w:p w14:paraId="336DE8DE" w14:textId="77777777" w:rsidR="000959AE" w:rsidRDefault="000959AE" w:rsidP="000959AE">
      <w:pPr>
        <w:spacing w:before="20" w:after="20" w:line="240" w:lineRule="auto"/>
        <w:rPr>
          <w:rFonts w:ascii="Calibri" w:eastAsia="Calibri" w:hAnsi="Calibri" w:cs="Calibri"/>
          <w:b/>
          <w:sz w:val="18"/>
          <w:szCs w:val="18"/>
        </w:rPr>
      </w:pPr>
      <w:r>
        <w:rPr>
          <w:rFonts w:ascii="Calibri" w:eastAsia="Calibri" w:hAnsi="Calibri" w:cs="Calibri"/>
          <w:b/>
          <w:sz w:val="18"/>
          <w:szCs w:val="18"/>
        </w:rPr>
        <w:t>Table 9: Item introduction table for items 13209 and 13210</w:t>
      </w:r>
    </w:p>
    <w:tbl>
      <w:tblPr>
        <w:tblW w:w="959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00" w:firstRow="0" w:lastRow="0" w:firstColumn="0" w:lastColumn="0" w:noHBand="0" w:noVBand="1"/>
      </w:tblPr>
      <w:tblGrid>
        <w:gridCol w:w="715"/>
        <w:gridCol w:w="3514"/>
        <w:gridCol w:w="1471"/>
        <w:gridCol w:w="1044"/>
        <w:gridCol w:w="1086"/>
        <w:gridCol w:w="1767"/>
      </w:tblGrid>
      <w:tr w:rsidR="000959AE" w14:paraId="13EC1768" w14:textId="77777777" w:rsidTr="000959AE">
        <w:tc>
          <w:tcPr>
            <w:tcW w:w="715" w:type="dxa"/>
            <w:shd w:val="clear" w:color="auto" w:fill="F2F2F2"/>
            <w:vAlign w:val="bottom"/>
          </w:tcPr>
          <w:p w14:paraId="1A8B4DC4" w14:textId="77777777" w:rsidR="000959AE" w:rsidRDefault="000959AE" w:rsidP="000959AE">
            <w:pPr>
              <w:spacing w:before="20" w:after="20"/>
              <w:rPr>
                <w:b/>
                <w:sz w:val="18"/>
                <w:szCs w:val="18"/>
              </w:rPr>
            </w:pPr>
            <w:r>
              <w:rPr>
                <w:b/>
                <w:sz w:val="18"/>
                <w:szCs w:val="18"/>
              </w:rPr>
              <w:t>Item</w:t>
            </w:r>
          </w:p>
        </w:tc>
        <w:tc>
          <w:tcPr>
            <w:tcW w:w="3514" w:type="dxa"/>
            <w:shd w:val="clear" w:color="auto" w:fill="F2F2F2"/>
            <w:vAlign w:val="bottom"/>
          </w:tcPr>
          <w:p w14:paraId="6D3305C2" w14:textId="77777777" w:rsidR="000959AE" w:rsidRDefault="000959AE" w:rsidP="000959AE">
            <w:pPr>
              <w:spacing w:before="20" w:after="20"/>
              <w:rPr>
                <w:b/>
                <w:sz w:val="18"/>
                <w:szCs w:val="18"/>
              </w:rPr>
            </w:pPr>
            <w:r>
              <w:rPr>
                <w:b/>
                <w:sz w:val="18"/>
                <w:szCs w:val="18"/>
              </w:rPr>
              <w:t>Descriptor</w:t>
            </w:r>
          </w:p>
        </w:tc>
        <w:tc>
          <w:tcPr>
            <w:tcW w:w="1471" w:type="dxa"/>
            <w:shd w:val="clear" w:color="auto" w:fill="F2F2F2"/>
            <w:vAlign w:val="bottom"/>
          </w:tcPr>
          <w:p w14:paraId="5970CE19" w14:textId="77777777" w:rsidR="000959AE" w:rsidRDefault="000959AE" w:rsidP="000959AE">
            <w:pPr>
              <w:spacing w:before="20" w:after="20"/>
              <w:rPr>
                <w:b/>
                <w:sz w:val="18"/>
                <w:szCs w:val="18"/>
              </w:rPr>
            </w:pPr>
            <w:r>
              <w:rPr>
                <w:b/>
                <w:sz w:val="18"/>
                <w:szCs w:val="18"/>
              </w:rPr>
              <w:t>Schedule</w:t>
            </w:r>
          </w:p>
          <w:p w14:paraId="579F8134" w14:textId="77777777" w:rsidR="000959AE" w:rsidRDefault="000959AE" w:rsidP="000959AE">
            <w:pPr>
              <w:spacing w:before="20" w:after="20"/>
              <w:rPr>
                <w:b/>
                <w:sz w:val="18"/>
                <w:szCs w:val="18"/>
              </w:rPr>
            </w:pPr>
            <w:r>
              <w:rPr>
                <w:b/>
                <w:sz w:val="18"/>
                <w:szCs w:val="18"/>
              </w:rPr>
              <w:t>fee</w:t>
            </w:r>
          </w:p>
        </w:tc>
        <w:tc>
          <w:tcPr>
            <w:tcW w:w="1044" w:type="dxa"/>
            <w:shd w:val="clear" w:color="auto" w:fill="F2F2F2"/>
            <w:vAlign w:val="bottom"/>
          </w:tcPr>
          <w:p w14:paraId="1D2C85DA" w14:textId="77777777" w:rsidR="000959AE" w:rsidRDefault="000959AE" w:rsidP="000959AE">
            <w:pPr>
              <w:spacing w:before="20" w:after="20"/>
              <w:rPr>
                <w:b/>
                <w:sz w:val="18"/>
                <w:szCs w:val="18"/>
              </w:rPr>
            </w:pPr>
            <w:r>
              <w:rPr>
                <w:b/>
                <w:sz w:val="18"/>
                <w:szCs w:val="18"/>
              </w:rPr>
              <w:t>Volume of services FY2015/16</w:t>
            </w:r>
          </w:p>
        </w:tc>
        <w:tc>
          <w:tcPr>
            <w:tcW w:w="1086" w:type="dxa"/>
            <w:shd w:val="clear" w:color="auto" w:fill="F2F2F2"/>
            <w:vAlign w:val="bottom"/>
          </w:tcPr>
          <w:p w14:paraId="5017CD7E" w14:textId="77777777" w:rsidR="000959AE" w:rsidRDefault="000959AE" w:rsidP="000959AE">
            <w:pPr>
              <w:spacing w:before="20" w:after="20"/>
              <w:rPr>
                <w:b/>
                <w:sz w:val="18"/>
                <w:szCs w:val="18"/>
              </w:rPr>
            </w:pPr>
            <w:r>
              <w:rPr>
                <w:b/>
                <w:sz w:val="18"/>
                <w:szCs w:val="18"/>
              </w:rPr>
              <w:t xml:space="preserve">Services 5-year-average annual growth </w:t>
            </w:r>
          </w:p>
        </w:tc>
        <w:tc>
          <w:tcPr>
            <w:tcW w:w="1767" w:type="dxa"/>
            <w:shd w:val="clear" w:color="auto" w:fill="F2F2F2"/>
            <w:vAlign w:val="bottom"/>
          </w:tcPr>
          <w:p w14:paraId="3C3337AF" w14:textId="77777777" w:rsidR="000959AE" w:rsidRDefault="000959AE" w:rsidP="000959AE">
            <w:pPr>
              <w:spacing w:before="20" w:after="20"/>
              <w:rPr>
                <w:b/>
                <w:sz w:val="18"/>
                <w:szCs w:val="18"/>
              </w:rPr>
            </w:pPr>
            <w:r>
              <w:rPr>
                <w:b/>
                <w:sz w:val="18"/>
                <w:szCs w:val="18"/>
              </w:rPr>
              <w:t>Total benefits FY2015/16</w:t>
            </w:r>
          </w:p>
        </w:tc>
      </w:tr>
      <w:tr w:rsidR="000959AE" w14:paraId="331EE09E" w14:textId="77777777" w:rsidTr="000959AE">
        <w:tc>
          <w:tcPr>
            <w:tcW w:w="715" w:type="dxa"/>
          </w:tcPr>
          <w:p w14:paraId="634ABAA9" w14:textId="77777777" w:rsidR="000959AE" w:rsidRDefault="000959AE" w:rsidP="000959AE">
            <w:pPr>
              <w:spacing w:before="20" w:after="20"/>
              <w:rPr>
                <w:sz w:val="18"/>
                <w:szCs w:val="18"/>
              </w:rPr>
            </w:pPr>
            <w:r>
              <w:rPr>
                <w:sz w:val="18"/>
                <w:szCs w:val="18"/>
              </w:rPr>
              <w:t>13209</w:t>
            </w:r>
          </w:p>
        </w:tc>
        <w:tc>
          <w:tcPr>
            <w:tcW w:w="3514" w:type="dxa"/>
          </w:tcPr>
          <w:p w14:paraId="44E7C2FB" w14:textId="77777777" w:rsidR="000959AE" w:rsidRDefault="000959AE" w:rsidP="000959AE">
            <w:pPr>
              <w:spacing w:before="20" w:after="20"/>
              <w:rPr>
                <w:sz w:val="18"/>
                <w:szCs w:val="18"/>
              </w:rPr>
            </w:pPr>
            <w:r>
              <w:rPr>
                <w:sz w:val="18"/>
                <w:szCs w:val="18"/>
              </w:rPr>
              <w:t>Planning and management of a referred patient by a specialist for the purpose of treatment by assisted reproductive technologies or for artificial insemination payable once only during 1 treatment cycle</w:t>
            </w:r>
          </w:p>
        </w:tc>
        <w:tc>
          <w:tcPr>
            <w:tcW w:w="1471" w:type="dxa"/>
          </w:tcPr>
          <w:p w14:paraId="0A2FEC02" w14:textId="77777777" w:rsidR="000959AE" w:rsidRDefault="000959AE" w:rsidP="000959AE">
            <w:pPr>
              <w:spacing w:before="20" w:after="20"/>
              <w:rPr>
                <w:sz w:val="18"/>
                <w:szCs w:val="18"/>
              </w:rPr>
            </w:pPr>
            <w:r>
              <w:rPr>
                <w:sz w:val="18"/>
                <w:szCs w:val="18"/>
              </w:rPr>
              <w:t xml:space="preserve"> $84.70 </w:t>
            </w:r>
          </w:p>
        </w:tc>
        <w:tc>
          <w:tcPr>
            <w:tcW w:w="1044" w:type="dxa"/>
          </w:tcPr>
          <w:p w14:paraId="6B7DAD84" w14:textId="77777777" w:rsidR="000959AE" w:rsidRDefault="000959AE" w:rsidP="000959AE">
            <w:pPr>
              <w:spacing w:before="20" w:after="20"/>
              <w:rPr>
                <w:sz w:val="18"/>
                <w:szCs w:val="18"/>
              </w:rPr>
            </w:pPr>
            <w:r>
              <w:rPr>
                <w:sz w:val="18"/>
                <w:szCs w:val="18"/>
              </w:rPr>
              <w:t xml:space="preserve"> 78,387 </w:t>
            </w:r>
          </w:p>
        </w:tc>
        <w:tc>
          <w:tcPr>
            <w:tcW w:w="1086" w:type="dxa"/>
          </w:tcPr>
          <w:p w14:paraId="4F7681E9" w14:textId="77777777" w:rsidR="000959AE" w:rsidRDefault="000959AE" w:rsidP="000959AE">
            <w:pPr>
              <w:spacing w:before="20" w:after="20"/>
              <w:rPr>
                <w:sz w:val="18"/>
                <w:szCs w:val="18"/>
              </w:rPr>
            </w:pPr>
            <w:r>
              <w:rPr>
                <w:sz w:val="18"/>
                <w:szCs w:val="18"/>
              </w:rPr>
              <w:t>3.7%</w:t>
            </w:r>
          </w:p>
        </w:tc>
        <w:tc>
          <w:tcPr>
            <w:tcW w:w="1767" w:type="dxa"/>
          </w:tcPr>
          <w:p w14:paraId="1062A349" w14:textId="77777777" w:rsidR="000959AE" w:rsidRDefault="000959AE" w:rsidP="000959AE">
            <w:pPr>
              <w:spacing w:before="20" w:after="20"/>
              <w:rPr>
                <w:sz w:val="18"/>
                <w:szCs w:val="18"/>
              </w:rPr>
            </w:pPr>
            <w:r>
              <w:rPr>
                <w:sz w:val="18"/>
                <w:szCs w:val="18"/>
              </w:rPr>
              <w:t xml:space="preserve">$6,154,271 </w:t>
            </w:r>
          </w:p>
        </w:tc>
      </w:tr>
      <w:tr w:rsidR="000959AE" w14:paraId="68768E80" w14:textId="77777777" w:rsidTr="000959AE">
        <w:tc>
          <w:tcPr>
            <w:tcW w:w="715" w:type="dxa"/>
          </w:tcPr>
          <w:p w14:paraId="429BD09C" w14:textId="77777777" w:rsidR="000959AE" w:rsidRDefault="000959AE" w:rsidP="000959AE">
            <w:pPr>
              <w:spacing w:before="20" w:after="20"/>
              <w:rPr>
                <w:sz w:val="18"/>
                <w:szCs w:val="18"/>
              </w:rPr>
            </w:pPr>
            <w:r>
              <w:rPr>
                <w:sz w:val="18"/>
                <w:szCs w:val="18"/>
              </w:rPr>
              <w:t>13210</w:t>
            </w:r>
          </w:p>
        </w:tc>
        <w:tc>
          <w:tcPr>
            <w:tcW w:w="3514" w:type="dxa"/>
          </w:tcPr>
          <w:p w14:paraId="6E9EC7E3" w14:textId="77777777" w:rsidR="000959AE" w:rsidRDefault="000959AE" w:rsidP="000959AE">
            <w:pPr>
              <w:spacing w:before="20" w:after="20"/>
              <w:rPr>
                <w:sz w:val="18"/>
                <w:szCs w:val="18"/>
              </w:rPr>
            </w:pPr>
            <w:r>
              <w:rPr>
                <w:sz w:val="18"/>
                <w:szCs w:val="18"/>
              </w:rPr>
              <w:t xml:space="preserve">Professional attendance on a patient by a specialist </w:t>
            </w:r>
            <w:proofErr w:type="spellStart"/>
            <w:r>
              <w:rPr>
                <w:sz w:val="18"/>
                <w:szCs w:val="18"/>
              </w:rPr>
              <w:t>practising</w:t>
            </w:r>
            <w:proofErr w:type="spellEnd"/>
            <w:r>
              <w:rPr>
                <w:sz w:val="18"/>
                <w:szCs w:val="18"/>
              </w:rPr>
              <w:t xml:space="preserve"> in his or her specialty if: (a) the attendance is by video conference; and (b) item 13209 applies to the attendance; and (c) the patient is not an admitted patient; and (d) the patient: (</w:t>
            </w:r>
            <w:proofErr w:type="spellStart"/>
            <w:r>
              <w:rPr>
                <w:sz w:val="18"/>
                <w:szCs w:val="18"/>
              </w:rPr>
              <w:t>i</w:t>
            </w:r>
            <w:proofErr w:type="spellEnd"/>
            <w:r>
              <w:rPr>
                <w:sz w:val="18"/>
                <w:szCs w:val="18"/>
              </w:rPr>
              <w:t>) is located both: (a) within a telehealth eligible area; and (b) at the time of the attendance—at least 15 kms by road from the specialist; or (ii) is a care recipient in a residential care service; or (iii) is a patient of: (a) an Aboriginal Medical Service; (b) or an Aboriginal Community Controlled Health service for which a direction made under subsection 19 (2) of the act applies</w:t>
            </w:r>
          </w:p>
        </w:tc>
        <w:tc>
          <w:tcPr>
            <w:tcW w:w="1471" w:type="dxa"/>
          </w:tcPr>
          <w:p w14:paraId="5C6739C9" w14:textId="77777777" w:rsidR="000959AE" w:rsidRDefault="000959AE" w:rsidP="000959AE">
            <w:pPr>
              <w:spacing w:before="20" w:after="20"/>
              <w:rPr>
                <w:sz w:val="18"/>
                <w:szCs w:val="18"/>
              </w:rPr>
            </w:pPr>
            <w:r>
              <w:rPr>
                <w:sz w:val="18"/>
                <w:szCs w:val="18"/>
              </w:rPr>
              <w:t xml:space="preserve"> $42.35 </w:t>
            </w:r>
          </w:p>
        </w:tc>
        <w:tc>
          <w:tcPr>
            <w:tcW w:w="1044" w:type="dxa"/>
          </w:tcPr>
          <w:p w14:paraId="7F20CAA1" w14:textId="77777777" w:rsidR="000959AE" w:rsidRDefault="000959AE" w:rsidP="000959AE">
            <w:pPr>
              <w:spacing w:before="20" w:after="20"/>
              <w:rPr>
                <w:sz w:val="18"/>
                <w:szCs w:val="18"/>
              </w:rPr>
            </w:pPr>
            <w:r>
              <w:rPr>
                <w:sz w:val="18"/>
                <w:szCs w:val="18"/>
              </w:rPr>
              <w:t xml:space="preserve"> -   </w:t>
            </w:r>
          </w:p>
        </w:tc>
        <w:tc>
          <w:tcPr>
            <w:tcW w:w="1086" w:type="dxa"/>
          </w:tcPr>
          <w:p w14:paraId="280A70EF" w14:textId="77777777" w:rsidR="000959AE" w:rsidRDefault="000959AE" w:rsidP="000959AE">
            <w:pPr>
              <w:spacing w:before="20" w:after="20"/>
              <w:rPr>
                <w:sz w:val="18"/>
                <w:szCs w:val="18"/>
              </w:rPr>
            </w:pPr>
            <w:r>
              <w:rPr>
                <w:sz w:val="18"/>
                <w:szCs w:val="18"/>
              </w:rPr>
              <w:t>0.0%</w:t>
            </w:r>
          </w:p>
        </w:tc>
        <w:tc>
          <w:tcPr>
            <w:tcW w:w="1767" w:type="dxa"/>
          </w:tcPr>
          <w:p w14:paraId="339B50C6" w14:textId="77777777" w:rsidR="000959AE" w:rsidRDefault="000959AE" w:rsidP="000959AE">
            <w:pPr>
              <w:spacing w:before="20" w:after="20"/>
              <w:rPr>
                <w:sz w:val="18"/>
                <w:szCs w:val="18"/>
              </w:rPr>
            </w:pPr>
            <w:r>
              <w:rPr>
                <w:sz w:val="18"/>
                <w:szCs w:val="18"/>
              </w:rPr>
              <w:t xml:space="preserve"> $-   </w:t>
            </w:r>
          </w:p>
        </w:tc>
      </w:tr>
    </w:tbl>
    <w:p w14:paraId="2745A4C9" w14:textId="77777777" w:rsidR="000959AE" w:rsidRDefault="000959AE" w:rsidP="00B11FC3">
      <w:pPr>
        <w:keepNext/>
        <w:spacing w:after="120" w:line="240" w:lineRule="auto"/>
        <w:rPr>
          <w:rFonts w:ascii="Calibri" w:eastAsia="Calibri" w:hAnsi="Calibri" w:cs="Calibri"/>
          <w:b/>
          <w:sz w:val="24"/>
          <w:szCs w:val="24"/>
        </w:rPr>
      </w:pPr>
      <w:r>
        <w:rPr>
          <w:rFonts w:ascii="Calibri" w:eastAsia="Calibri" w:hAnsi="Calibri" w:cs="Calibri"/>
          <w:b/>
          <w:sz w:val="24"/>
          <w:szCs w:val="24"/>
        </w:rPr>
        <w:t>Recommendation 10</w:t>
      </w:r>
    </w:p>
    <w:p w14:paraId="35CF7628" w14:textId="77777777" w:rsidR="000959AE" w:rsidRDefault="000959AE" w:rsidP="00B11FC3">
      <w:pPr>
        <w:numPr>
          <w:ilvl w:val="0"/>
          <w:numId w:val="5"/>
        </w:numPr>
        <w:spacing w:after="120" w:line="240" w:lineRule="auto"/>
        <w:ind w:right="142"/>
        <w:rPr>
          <w:i/>
        </w:rPr>
      </w:pPr>
      <w:r>
        <w:rPr>
          <w:rFonts w:ascii="Calibri" w:eastAsia="Calibri" w:hAnsi="Calibri" w:cs="Calibri"/>
          <w:sz w:val="24"/>
          <w:szCs w:val="24"/>
        </w:rPr>
        <w:t>Item 13209: No change.</w:t>
      </w:r>
    </w:p>
    <w:p w14:paraId="72F4ACC7" w14:textId="77777777" w:rsidR="000959AE" w:rsidRDefault="000959AE" w:rsidP="00B11FC3">
      <w:pPr>
        <w:numPr>
          <w:ilvl w:val="0"/>
          <w:numId w:val="5"/>
        </w:numPr>
        <w:spacing w:after="120" w:line="240" w:lineRule="auto"/>
        <w:ind w:right="142"/>
        <w:rPr>
          <w:i/>
        </w:rPr>
      </w:pPr>
      <w:r>
        <w:rPr>
          <w:rFonts w:ascii="Calibri" w:eastAsia="Calibri" w:hAnsi="Calibri" w:cs="Calibri"/>
          <w:sz w:val="24"/>
          <w:szCs w:val="24"/>
        </w:rPr>
        <w:t>Item 13210: Delete item.</w:t>
      </w:r>
    </w:p>
    <w:p w14:paraId="2F953CBD" w14:textId="77777777" w:rsidR="000959AE" w:rsidRDefault="000959AE" w:rsidP="00B11FC3">
      <w:pPr>
        <w:keepNext/>
        <w:spacing w:after="120" w:line="240" w:lineRule="auto"/>
        <w:rPr>
          <w:rFonts w:ascii="Calibri" w:eastAsia="Calibri" w:hAnsi="Calibri" w:cs="Calibri"/>
          <w:b/>
          <w:sz w:val="24"/>
          <w:szCs w:val="24"/>
        </w:rPr>
      </w:pPr>
      <w:r>
        <w:rPr>
          <w:rFonts w:ascii="Calibri" w:eastAsia="Calibri" w:hAnsi="Calibri" w:cs="Calibri"/>
          <w:b/>
          <w:sz w:val="24"/>
          <w:szCs w:val="24"/>
        </w:rPr>
        <w:t>Rationale</w:t>
      </w:r>
    </w:p>
    <w:p w14:paraId="0B47EE9D" w14:textId="77777777" w:rsidR="000959AE" w:rsidRDefault="000959AE" w:rsidP="00B11FC3">
      <w:pPr>
        <w:spacing w:after="120" w:line="240" w:lineRule="auto"/>
        <w:ind w:left="360" w:right="142"/>
        <w:rPr>
          <w:rFonts w:ascii="Calibri" w:eastAsia="Calibri" w:hAnsi="Calibri" w:cs="Calibri"/>
          <w:sz w:val="24"/>
          <w:szCs w:val="24"/>
        </w:rPr>
      </w:pPr>
      <w:r>
        <w:rPr>
          <w:rFonts w:ascii="Calibri" w:eastAsia="Calibri" w:hAnsi="Calibri" w:cs="Calibri"/>
          <w:sz w:val="24"/>
          <w:szCs w:val="24"/>
        </w:rPr>
        <w:t xml:space="preserve">This recommendation focuses on </w:t>
      </w:r>
      <w:proofErr w:type="spellStart"/>
      <w:r>
        <w:rPr>
          <w:rFonts w:ascii="Calibri" w:eastAsia="Calibri" w:hAnsi="Calibri" w:cs="Calibri"/>
          <w:sz w:val="24"/>
          <w:szCs w:val="24"/>
        </w:rPr>
        <w:t>modernising</w:t>
      </w:r>
      <w:proofErr w:type="spellEnd"/>
      <w:r>
        <w:rPr>
          <w:rFonts w:ascii="Calibri" w:eastAsia="Calibri" w:hAnsi="Calibri" w:cs="Calibri"/>
          <w:sz w:val="24"/>
          <w:szCs w:val="24"/>
        </w:rPr>
        <w:t xml:space="preserve"> the MBS. It is based on the following.</w:t>
      </w:r>
    </w:p>
    <w:p w14:paraId="6199A93E" w14:textId="77777777" w:rsidR="000959AE" w:rsidRDefault="000959AE" w:rsidP="00B11FC3">
      <w:pPr>
        <w:numPr>
          <w:ilvl w:val="0"/>
          <w:numId w:val="5"/>
        </w:numPr>
        <w:spacing w:after="120" w:line="240" w:lineRule="auto"/>
        <w:ind w:right="142"/>
        <w:rPr>
          <w:i/>
        </w:rPr>
      </w:pPr>
      <w:r>
        <w:rPr>
          <w:rFonts w:ascii="Calibri" w:eastAsia="Calibri" w:hAnsi="Calibri" w:cs="Calibri"/>
          <w:sz w:val="24"/>
          <w:szCs w:val="24"/>
        </w:rPr>
        <w:t>Item 13209:</w:t>
      </w:r>
    </w:p>
    <w:p w14:paraId="5EFE8FCE" w14:textId="77777777" w:rsidR="000959AE" w:rsidRDefault="000959AE" w:rsidP="00B11FC3">
      <w:pPr>
        <w:numPr>
          <w:ilvl w:val="1"/>
          <w:numId w:val="5"/>
        </w:numPr>
        <w:spacing w:after="120" w:line="240" w:lineRule="auto"/>
        <w:ind w:right="142" w:hanging="284"/>
        <w:rPr>
          <w:rFonts w:ascii="Calibri" w:eastAsia="Calibri" w:hAnsi="Calibri" w:cs="Calibri"/>
          <w:i/>
        </w:rPr>
      </w:pPr>
      <w:r>
        <w:rPr>
          <w:rFonts w:ascii="Calibri" w:eastAsia="Calibri" w:hAnsi="Calibri" w:cs="Calibri"/>
          <w:sz w:val="24"/>
          <w:szCs w:val="24"/>
        </w:rPr>
        <w:t>This item remains appropriate for contemporary care.</w:t>
      </w:r>
    </w:p>
    <w:p w14:paraId="66DFBB55" w14:textId="77777777" w:rsidR="000959AE" w:rsidRDefault="000959AE" w:rsidP="00B11FC3">
      <w:pPr>
        <w:numPr>
          <w:ilvl w:val="0"/>
          <w:numId w:val="5"/>
        </w:numPr>
        <w:spacing w:after="120" w:line="240" w:lineRule="auto"/>
        <w:ind w:right="142"/>
        <w:rPr>
          <w:i/>
        </w:rPr>
      </w:pPr>
      <w:r>
        <w:rPr>
          <w:rFonts w:ascii="Calibri" w:eastAsia="Calibri" w:hAnsi="Calibri" w:cs="Calibri"/>
          <w:sz w:val="24"/>
          <w:szCs w:val="24"/>
        </w:rPr>
        <w:t>Item 13210:</w:t>
      </w:r>
    </w:p>
    <w:p w14:paraId="3022A27E" w14:textId="77777777" w:rsidR="000959AE" w:rsidRDefault="000959AE" w:rsidP="00B11FC3">
      <w:pPr>
        <w:numPr>
          <w:ilvl w:val="1"/>
          <w:numId w:val="5"/>
        </w:numPr>
        <w:spacing w:after="120" w:line="240" w:lineRule="auto"/>
        <w:ind w:right="142" w:hanging="284"/>
        <w:rPr>
          <w:rFonts w:ascii="Calibri" w:eastAsia="Calibri" w:hAnsi="Calibri" w:cs="Calibri"/>
        </w:rPr>
      </w:pPr>
      <w:r>
        <w:rPr>
          <w:rFonts w:ascii="Calibri" w:eastAsia="Calibri" w:hAnsi="Calibri" w:cs="Calibri"/>
          <w:sz w:val="24"/>
          <w:szCs w:val="24"/>
        </w:rPr>
        <w:t>MBS data shows that item 13210 was not claimed at all in FY2015–16 or within the past five years. The Committee appreciates the intention to extend access to the patients detailed in the descriptor, but it notes that this has not yet resulted in any use of the item.</w:t>
      </w:r>
    </w:p>
    <w:p w14:paraId="1950D495" w14:textId="539F21CC" w:rsidR="006D2440" w:rsidRDefault="006D2440" w:rsidP="00A5163A">
      <w:pPr>
        <w:spacing w:after="160" w:line="259" w:lineRule="auto"/>
      </w:pPr>
    </w:p>
    <w:sectPr w:rsidR="006D2440" w:rsidSect="005B32E1">
      <w:pgSz w:w="12240" w:h="15840"/>
      <w:pgMar w:top="426" w:right="1133" w:bottom="851" w:left="1134" w:header="737" w:footer="567"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4AFCE" w14:textId="77777777" w:rsidR="00D15367" w:rsidRDefault="00D15367">
      <w:pPr>
        <w:spacing w:line="240" w:lineRule="auto"/>
      </w:pPr>
      <w:r>
        <w:separator/>
      </w:r>
    </w:p>
  </w:endnote>
  <w:endnote w:type="continuationSeparator" w:id="0">
    <w:p w14:paraId="483B3767" w14:textId="77777777" w:rsidR="00D15367" w:rsidRDefault="00D15367">
      <w:pPr>
        <w:spacing w:line="240" w:lineRule="auto"/>
      </w:pPr>
      <w:r>
        <w:continuationSeparator/>
      </w:r>
    </w:p>
  </w:endnote>
  <w:endnote w:type="continuationNotice" w:id="1">
    <w:p w14:paraId="1E6C083A" w14:textId="77777777" w:rsidR="00D15367" w:rsidRDefault="00D1536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Bold">
    <w:altName w:val="Times New Roman"/>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4063" w14:textId="77777777" w:rsidR="00D15367" w:rsidRPr="00602688" w:rsidRDefault="00D15367" w:rsidP="00386893">
    <w:pPr>
      <w:pStyle w:val="Footer"/>
    </w:pPr>
    <w:r>
      <w:t>Post Consultation R</w:t>
    </w:r>
    <w:r w:rsidRPr="00655CD2">
      <w:t xml:space="preserve">eport from the </w:t>
    </w:r>
    <w:r w:rsidRPr="00FF5003">
      <w:t>Optometry Services</w:t>
    </w:r>
    <w:r>
      <w:t xml:space="preserve"> </w:t>
    </w:r>
    <w:r w:rsidRPr="00655CD2">
      <w:t xml:space="preserve">Clinical </w:t>
    </w:r>
    <w:r w:rsidRPr="00684AA4">
      <w:t>Committee</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05FBA" w14:textId="453BA3FA" w:rsidR="00D15367" w:rsidRPr="00341E21" w:rsidRDefault="00D15367">
    <w:pPr>
      <w:ind w:left="9360"/>
      <w:rPr>
        <w:rFonts w:asciiTheme="majorHAnsi" w:hAnsiTheme="majorHAnsi" w:cstheme="majorHAnsi"/>
        <w:sz w:val="24"/>
        <w:szCs w:val="24"/>
      </w:rPr>
    </w:pPr>
    <w:r w:rsidRPr="00341E21">
      <w:rPr>
        <w:rFonts w:asciiTheme="majorHAnsi" w:hAnsiTheme="majorHAnsi" w:cstheme="majorHAnsi"/>
        <w:sz w:val="24"/>
        <w:szCs w:val="24"/>
      </w:rPr>
      <w:fldChar w:fldCharType="begin"/>
    </w:r>
    <w:r w:rsidRPr="00341E21">
      <w:rPr>
        <w:rFonts w:asciiTheme="majorHAnsi" w:hAnsiTheme="majorHAnsi" w:cstheme="majorHAnsi"/>
        <w:sz w:val="24"/>
        <w:szCs w:val="24"/>
      </w:rPr>
      <w:instrText>PAGE</w:instrText>
    </w:r>
    <w:r w:rsidRPr="00341E21">
      <w:rPr>
        <w:rFonts w:asciiTheme="majorHAnsi" w:hAnsiTheme="majorHAnsi" w:cstheme="majorHAnsi"/>
        <w:sz w:val="24"/>
        <w:szCs w:val="24"/>
      </w:rPr>
      <w:fldChar w:fldCharType="separate"/>
    </w:r>
    <w:r w:rsidR="00AC6B09">
      <w:rPr>
        <w:rFonts w:asciiTheme="majorHAnsi" w:hAnsiTheme="majorHAnsi" w:cstheme="majorHAnsi"/>
        <w:noProof/>
        <w:sz w:val="24"/>
        <w:szCs w:val="24"/>
      </w:rPr>
      <w:t>3</w:t>
    </w:r>
    <w:r w:rsidRPr="00341E21">
      <w:rPr>
        <w:rFonts w:asciiTheme="majorHAnsi" w:hAnsiTheme="majorHAnsi" w:cstheme="majorHAnsi"/>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20151" w14:textId="77777777" w:rsidR="00D15367" w:rsidRDefault="00D15367">
      <w:pPr>
        <w:spacing w:line="240" w:lineRule="auto"/>
      </w:pPr>
      <w:r>
        <w:separator/>
      </w:r>
    </w:p>
  </w:footnote>
  <w:footnote w:type="continuationSeparator" w:id="0">
    <w:p w14:paraId="019B47A2" w14:textId="77777777" w:rsidR="00D15367" w:rsidRDefault="00D15367">
      <w:pPr>
        <w:spacing w:line="240" w:lineRule="auto"/>
      </w:pPr>
      <w:r>
        <w:continuationSeparator/>
      </w:r>
    </w:p>
  </w:footnote>
  <w:footnote w:type="continuationNotice" w:id="1">
    <w:p w14:paraId="52F18516" w14:textId="77777777" w:rsidR="00D15367" w:rsidRDefault="00D15367">
      <w:pPr>
        <w:spacing w:line="240" w:lineRule="auto"/>
      </w:pPr>
    </w:p>
  </w:footnote>
  <w:footnote w:id="2">
    <w:p w14:paraId="036E68A4" w14:textId="77777777" w:rsidR="00D15367" w:rsidRPr="00ED6171" w:rsidRDefault="00D15367" w:rsidP="0075745A">
      <w:pPr>
        <w:spacing w:line="240" w:lineRule="auto"/>
        <w:rPr>
          <w:rFonts w:asciiTheme="majorHAnsi" w:eastAsia="Calibri" w:hAnsiTheme="majorHAnsi" w:cs="Calibri"/>
          <w:sz w:val="16"/>
          <w:szCs w:val="16"/>
        </w:rPr>
      </w:pPr>
      <w:r w:rsidRPr="00ED6171">
        <w:rPr>
          <w:rFonts w:asciiTheme="majorHAnsi" w:hAnsiTheme="majorHAnsi"/>
          <w:sz w:val="16"/>
          <w:szCs w:val="16"/>
          <w:vertAlign w:val="superscript"/>
        </w:rPr>
        <w:footnoteRef/>
      </w:r>
      <w:r w:rsidRPr="00ED6171">
        <w:rPr>
          <w:rFonts w:asciiTheme="majorHAnsi" w:eastAsia="Calibri" w:hAnsiTheme="majorHAnsi" w:cs="Calibri"/>
          <w:sz w:val="16"/>
          <w:szCs w:val="16"/>
        </w:rPr>
        <w:t xml:space="preserve"> </w:t>
      </w:r>
      <w:hyperlink r:id="rId1">
        <w:r w:rsidRPr="00ED6171">
          <w:rPr>
            <w:rFonts w:asciiTheme="majorHAnsi" w:eastAsia="Calibri" w:hAnsiTheme="majorHAnsi" w:cs="Calibri"/>
            <w:color w:val="1155CC"/>
            <w:sz w:val="16"/>
            <w:szCs w:val="16"/>
            <w:u w:val="single"/>
          </w:rPr>
          <w:t>https://www1.health.gov.au/internet/main/publishing.nsf/Content/e-health-telehealth</w:t>
        </w:r>
      </w:hyperlink>
    </w:p>
  </w:footnote>
  <w:footnote w:id="3">
    <w:p w14:paraId="3DB10025" w14:textId="77777777" w:rsidR="00D15367" w:rsidRPr="00ED6171" w:rsidRDefault="00D15367" w:rsidP="0075745A">
      <w:pPr>
        <w:spacing w:line="240" w:lineRule="auto"/>
        <w:rPr>
          <w:rFonts w:asciiTheme="majorHAnsi" w:eastAsia="Calibri" w:hAnsiTheme="majorHAnsi" w:cs="Calibri"/>
          <w:sz w:val="16"/>
          <w:szCs w:val="16"/>
        </w:rPr>
      </w:pPr>
      <w:r w:rsidRPr="00ED6171">
        <w:rPr>
          <w:rFonts w:asciiTheme="majorHAnsi" w:hAnsiTheme="majorHAnsi"/>
          <w:sz w:val="16"/>
          <w:szCs w:val="16"/>
          <w:vertAlign w:val="superscript"/>
        </w:rPr>
        <w:footnoteRef/>
      </w:r>
      <w:r w:rsidRPr="00ED6171">
        <w:rPr>
          <w:rFonts w:asciiTheme="majorHAnsi" w:eastAsia="Calibri" w:hAnsiTheme="majorHAnsi" w:cs="Calibri"/>
          <w:sz w:val="16"/>
          <w:szCs w:val="16"/>
        </w:rPr>
        <w:t xml:space="preserve"> Policy Recommendations to Guide the Use of Telemedicine in Primary Care Settings: An American College of Physicians Position Paper. https://annals.org/aim/fullarticle/2434625/policy-recommendations-guide-use-telemedicine-primary-care-settings-american-college</w:t>
      </w:r>
    </w:p>
  </w:footnote>
  <w:footnote w:id="4">
    <w:p w14:paraId="4A5F577E" w14:textId="77777777" w:rsidR="00D15367" w:rsidRPr="00ED6171" w:rsidRDefault="00D15367" w:rsidP="0075745A">
      <w:pPr>
        <w:spacing w:line="240" w:lineRule="auto"/>
        <w:rPr>
          <w:rFonts w:asciiTheme="majorHAnsi" w:eastAsia="Calibri" w:hAnsiTheme="majorHAnsi" w:cs="Calibri"/>
          <w:sz w:val="16"/>
          <w:szCs w:val="16"/>
        </w:rPr>
      </w:pPr>
      <w:r w:rsidRPr="00ED6171">
        <w:rPr>
          <w:rFonts w:asciiTheme="majorHAnsi" w:hAnsiTheme="majorHAnsi"/>
          <w:sz w:val="16"/>
          <w:szCs w:val="16"/>
          <w:vertAlign w:val="superscript"/>
        </w:rPr>
        <w:footnoteRef/>
      </w:r>
      <w:r w:rsidRPr="00ED6171">
        <w:rPr>
          <w:rFonts w:asciiTheme="majorHAnsi" w:eastAsia="Calibri" w:hAnsiTheme="majorHAnsi" w:cs="Calibri"/>
          <w:sz w:val="16"/>
          <w:szCs w:val="16"/>
        </w:rPr>
        <w:t xml:space="preserve"> Centre of Research Excellence in Telehealth, Final Report, The University of Queensland https://cretelehealth.centre.uq.edu.au/files/675/CentreResearchExcellenceTelehealth_FinalReport_DIGITAL.pdf</w:t>
      </w:r>
    </w:p>
  </w:footnote>
  <w:footnote w:id="5">
    <w:p w14:paraId="7F0E9B42" w14:textId="495C4C9D" w:rsidR="00D15367" w:rsidRPr="000B5F80" w:rsidRDefault="00D15367">
      <w:pPr>
        <w:pStyle w:val="FootnoteText"/>
        <w:rPr>
          <w:rStyle w:val="Hyperlink"/>
          <w:rFonts w:asciiTheme="majorHAnsi" w:hAnsiTheme="majorHAnsi" w:cstheme="majorHAnsi"/>
          <w:sz w:val="16"/>
          <w:szCs w:val="16"/>
        </w:rPr>
      </w:pPr>
      <w:r>
        <w:rPr>
          <w:rStyle w:val="FootnoteReference"/>
        </w:rPr>
        <w:footnoteRef/>
      </w:r>
      <w:r>
        <w:t xml:space="preserve"> </w:t>
      </w:r>
      <w:hyperlink r:id="rId2" w:history="1">
        <w:r w:rsidRPr="00226113">
          <w:rPr>
            <w:rStyle w:val="Hyperlink"/>
            <w:rFonts w:asciiTheme="majorHAnsi" w:hAnsiTheme="majorHAnsi" w:cstheme="majorHAnsi"/>
            <w:sz w:val="16"/>
            <w:szCs w:val="16"/>
          </w:rPr>
          <w:t>World Health Organization definition of accessibility</w:t>
        </w:r>
      </w:hyperlink>
    </w:p>
  </w:footnote>
  <w:footnote w:id="6">
    <w:p w14:paraId="07D14000" w14:textId="059D7A11" w:rsidR="00D15367" w:rsidRPr="00147D0F" w:rsidRDefault="00D15367">
      <w:pPr>
        <w:pStyle w:val="FootnoteText"/>
        <w:rPr>
          <w:lang w:val="en-AU"/>
        </w:rPr>
      </w:pPr>
      <w:r>
        <w:rPr>
          <w:rStyle w:val="FootnoteReference"/>
        </w:rPr>
        <w:footnoteRef/>
      </w:r>
      <w:r>
        <w:t xml:space="preserve"> </w:t>
      </w:r>
      <w:hyperlink r:id="rId3" w:history="1">
        <w:r w:rsidRPr="008427E3">
          <w:rPr>
            <w:rStyle w:val="Hyperlink"/>
            <w:rFonts w:asciiTheme="majorHAnsi" w:hAnsiTheme="majorHAnsi" w:cstheme="majorHAnsi"/>
            <w:sz w:val="16"/>
            <w:szCs w:val="16"/>
          </w:rPr>
          <w:t xml:space="preserve">Anonymous Proceedings of the Appropriateness in Health Care </w:t>
        </w:r>
        <w:r w:rsidRPr="008427E3">
          <w:rPr>
            <w:rStyle w:val="Hyperlink"/>
            <w:rFonts w:asciiTheme="majorHAnsi" w:hAnsiTheme="majorHAnsi" w:cstheme="majorHAnsi"/>
            <w:sz w:val="16"/>
            <w:szCs w:val="16"/>
          </w:rPr>
          <w:t>Services . 23–25 March 2000; Koblenz, Germany. Copenhagen: World Health Organization; 2000</w:t>
        </w:r>
      </w:hyperlink>
      <w:r w:rsidRPr="00147D0F">
        <w:rPr>
          <w:rStyle w:val="element-citation"/>
          <w:rFonts w:asciiTheme="majorHAnsi" w:hAnsiTheme="majorHAnsi" w:cstheme="majorHAnsi"/>
          <w:sz w:val="16"/>
          <w:szCs w:val="16"/>
        </w:rPr>
        <w:t>.</w:t>
      </w:r>
    </w:p>
  </w:footnote>
  <w:footnote w:id="7">
    <w:p w14:paraId="2AA876DD" w14:textId="77777777" w:rsidR="00D15367" w:rsidRPr="00B12E49" w:rsidRDefault="00D15367" w:rsidP="00147D0F">
      <w:pPr>
        <w:pStyle w:val="FootnoteText"/>
        <w:rPr>
          <w:lang w:val="en-AU"/>
        </w:rPr>
      </w:pPr>
      <w:r>
        <w:rPr>
          <w:rStyle w:val="FootnoteReference"/>
        </w:rPr>
        <w:footnoteRef/>
      </w:r>
      <w:r>
        <w:t xml:space="preserve"> </w:t>
      </w:r>
      <w:r w:rsidRPr="00FE0850">
        <w:rPr>
          <w:rFonts w:asciiTheme="majorHAnsi" w:hAnsiTheme="majorHAnsi" w:cstheme="majorHAnsi"/>
          <w:sz w:val="16"/>
          <w:szCs w:val="16"/>
        </w:rPr>
        <w:t>Adapted from</w:t>
      </w:r>
      <w:r>
        <w:t xml:space="preserve"> </w:t>
      </w:r>
      <w:hyperlink r:id="rId4" w:history="1">
        <w:r w:rsidRPr="00B12E49">
          <w:rPr>
            <w:rStyle w:val="Hyperlink"/>
            <w:rFonts w:asciiTheme="majorHAnsi" w:hAnsiTheme="majorHAnsi" w:cstheme="majorHAnsi"/>
            <w:sz w:val="16"/>
            <w:szCs w:val="16"/>
          </w:rPr>
          <w:t>https://www.racgp.org.au/running-a-practice/technology/clinical-technology/telehealth/telehealth-video-consultations-guide/introduction</w:t>
        </w:r>
      </w:hyperlink>
    </w:p>
  </w:footnote>
  <w:footnote w:id="8">
    <w:p w14:paraId="3023969C" w14:textId="77777777" w:rsidR="00D15367" w:rsidRPr="00B627C5" w:rsidRDefault="00D15367" w:rsidP="002E11A4">
      <w:pPr>
        <w:pStyle w:val="FootnoteText"/>
        <w:rPr>
          <w:lang w:val="en-AU"/>
        </w:rPr>
      </w:pPr>
      <w:r>
        <w:rPr>
          <w:rStyle w:val="FootnoteReference"/>
        </w:rPr>
        <w:footnoteRef/>
      </w:r>
      <w:r>
        <w:t xml:space="preserve"> </w:t>
      </w:r>
      <w:hyperlink r:id="rId5" w:history="1">
        <w:r w:rsidRPr="00B627C5">
          <w:rPr>
            <w:rStyle w:val="Hyperlink"/>
            <w:rFonts w:asciiTheme="majorHAnsi" w:hAnsiTheme="majorHAnsi" w:cstheme="majorHAnsi"/>
            <w:sz w:val="16"/>
            <w:szCs w:val="16"/>
          </w:rPr>
          <w:t>In search of professional consensus in defining and reducing low-value care | The Medical Journal of Australia</w:t>
        </w:r>
      </w:hyperlink>
    </w:p>
  </w:footnote>
  <w:footnote w:id="9">
    <w:p w14:paraId="0AFE3DDF" w14:textId="77777777" w:rsidR="00D15367" w:rsidRPr="00B4516B" w:rsidRDefault="00D15367" w:rsidP="00F81D11">
      <w:pPr>
        <w:pStyle w:val="FootnoteText"/>
        <w:rPr>
          <w:rFonts w:asciiTheme="majorHAnsi" w:hAnsiTheme="majorHAnsi" w:cstheme="majorHAnsi"/>
          <w:sz w:val="16"/>
          <w:szCs w:val="16"/>
        </w:rPr>
      </w:pPr>
      <w:r>
        <w:rPr>
          <w:rStyle w:val="FootnoteReference"/>
        </w:rPr>
        <w:footnoteRef/>
      </w:r>
      <w:r>
        <w:t xml:space="preserve"> </w:t>
      </w:r>
      <w:r w:rsidRPr="00B4516B">
        <w:rPr>
          <w:rFonts w:asciiTheme="majorHAnsi" w:hAnsiTheme="majorHAnsi" w:cstheme="majorHAnsi"/>
          <w:sz w:val="16"/>
          <w:szCs w:val="16"/>
        </w:rPr>
        <w:t xml:space="preserve">The first three aims were </w:t>
      </w:r>
      <w:r w:rsidRPr="00B4516B">
        <w:rPr>
          <w:rFonts w:asciiTheme="majorHAnsi" w:hAnsiTheme="majorHAnsi" w:cstheme="majorHAnsi"/>
          <w:sz w:val="16"/>
          <w:szCs w:val="16"/>
        </w:rPr>
        <w:t>popularised by the Institute for Healthcare Improvement, beginning with the work of Berwick, Nolan and Whittington (2008). Bodenheimer and Sinsky (2014) proposed the fourth aim, emphasising that the attainment</w:t>
      </w:r>
    </w:p>
    <w:p w14:paraId="09675A84" w14:textId="56983FFE" w:rsidR="00D15367" w:rsidRPr="00B4516B" w:rsidRDefault="00D15367" w:rsidP="00F81D11">
      <w:pPr>
        <w:pStyle w:val="FootnoteText"/>
        <w:rPr>
          <w:rFonts w:asciiTheme="majorHAnsi" w:hAnsiTheme="majorHAnsi" w:cstheme="majorHAnsi"/>
          <w:sz w:val="16"/>
          <w:szCs w:val="16"/>
        </w:rPr>
      </w:pPr>
      <w:r w:rsidRPr="00B4516B">
        <w:rPr>
          <w:rFonts w:asciiTheme="majorHAnsi" w:hAnsiTheme="majorHAnsi" w:cstheme="majorHAnsi"/>
          <w:sz w:val="16"/>
          <w:szCs w:val="16"/>
        </w:rPr>
        <w:t>of the other aims relies on positive engagement and improved experiences for service providers and clinicians.</w:t>
      </w:r>
    </w:p>
  </w:footnote>
  <w:footnote w:id="10">
    <w:p w14:paraId="1712538B" w14:textId="135B491E" w:rsidR="00D15367" w:rsidRPr="00ED6171" w:rsidRDefault="00D15367" w:rsidP="008851E1">
      <w:pPr>
        <w:pStyle w:val="FootnoteText"/>
        <w:rPr>
          <w:lang w:val="en-AU"/>
        </w:rPr>
      </w:pPr>
      <w:r>
        <w:rPr>
          <w:rStyle w:val="FootnoteReference"/>
        </w:rPr>
        <w:footnoteRef/>
      </w:r>
      <w:r>
        <w:t xml:space="preserve"> </w:t>
      </w:r>
      <w:hyperlink r:id="rId6" w:history="1">
        <w:r w:rsidRPr="00A5163A">
          <w:rPr>
            <w:rStyle w:val="Hyperlink"/>
            <w:rFonts w:asciiTheme="majorHAnsi" w:hAnsiTheme="majorHAnsi" w:cstheme="majorHAnsi"/>
            <w:sz w:val="16"/>
            <w:szCs w:val="16"/>
          </w:rPr>
          <w:t>A National Telehealth Strategy for Australia – For Discussion Michael Gill</w:t>
        </w:r>
      </w:hyperlink>
      <w:r w:rsidRPr="00A5163A">
        <w:rPr>
          <w:rFonts w:asciiTheme="majorHAnsi" w:hAnsiTheme="majorHAnsi" w:cstheme="majorHAnsi"/>
          <w:sz w:val="16"/>
          <w:szCs w:val="16"/>
        </w:rPr>
        <w:t xml:space="preserve"> </w:t>
      </w:r>
    </w:p>
  </w:footnote>
  <w:footnote w:id="11">
    <w:p w14:paraId="4E728726" w14:textId="77777777" w:rsidR="00D15367" w:rsidRPr="0081278E" w:rsidRDefault="00D15367" w:rsidP="00147901">
      <w:pPr>
        <w:pStyle w:val="Default"/>
        <w:rPr>
          <w:rFonts w:asciiTheme="majorHAnsi" w:eastAsia="Arial" w:hAnsiTheme="majorHAnsi" w:cstheme="majorHAnsi"/>
          <w:sz w:val="16"/>
          <w:szCs w:val="16"/>
        </w:rPr>
      </w:pPr>
      <w:r>
        <w:rPr>
          <w:vertAlign w:val="superscript"/>
        </w:rPr>
        <w:footnoteRef/>
      </w:r>
      <w:r>
        <w:rPr>
          <w:sz w:val="20"/>
          <w:szCs w:val="20"/>
        </w:rPr>
        <w:t xml:space="preserve"> </w:t>
      </w:r>
      <w:hyperlink r:id="rId7" w:history="1">
        <w:r w:rsidRPr="0081278E">
          <w:rPr>
            <w:rStyle w:val="Hyperlink"/>
            <w:rFonts w:asciiTheme="majorHAnsi" w:hAnsiTheme="majorHAnsi" w:cstheme="majorHAnsi"/>
            <w:b/>
            <w:bCs/>
            <w:sz w:val="16"/>
            <w:szCs w:val="16"/>
          </w:rPr>
          <w:t>PRIVACY CHECKLIST FOR TELEHEALTH SERVICES</w:t>
        </w:r>
      </w:hyperlink>
      <w:r w:rsidRPr="0081278E">
        <w:rPr>
          <w:rFonts w:asciiTheme="majorHAnsi" w:eastAsia="Arial" w:hAnsiTheme="majorHAnsi" w:cstheme="majorHAnsi"/>
          <w:sz w:val="16"/>
          <w:szCs w:val="16"/>
        </w:rPr>
        <w:t xml:space="preserve"> – www.mbsonline.gov.au</w:t>
      </w:r>
    </w:p>
    <w:p w14:paraId="1AB79BBE" w14:textId="77777777" w:rsidR="00D15367" w:rsidRDefault="00D15367" w:rsidP="00147901">
      <w:pPr>
        <w:spacing w:line="240" w:lineRule="auto"/>
        <w:rPr>
          <w:sz w:val="20"/>
          <w:szCs w:val="20"/>
        </w:rPr>
      </w:pPr>
    </w:p>
  </w:footnote>
  <w:footnote w:id="12">
    <w:p w14:paraId="4F6F4F91" w14:textId="7EEA03F1" w:rsidR="00D15367" w:rsidRPr="00B4516B" w:rsidRDefault="00D15367">
      <w:pPr>
        <w:pStyle w:val="FootnoteText"/>
        <w:rPr>
          <w:lang w:val="en-AU"/>
        </w:rPr>
      </w:pPr>
      <w:r>
        <w:rPr>
          <w:rStyle w:val="FootnoteReference"/>
        </w:rPr>
        <w:footnoteRef/>
      </w:r>
      <w:r>
        <w:t xml:space="preserve"> BMJ Open 2018 Jun 28;8(6</w:t>
      </w:r>
      <w:r>
        <w:t>):e021161</w:t>
      </w:r>
    </w:p>
  </w:footnote>
  <w:footnote w:id="13">
    <w:p w14:paraId="2E32D7E6" w14:textId="19D00579" w:rsidR="00D15367" w:rsidRPr="000F7E9B" w:rsidRDefault="00D15367">
      <w:pPr>
        <w:pStyle w:val="FootnoteText"/>
        <w:rPr>
          <w:rFonts w:asciiTheme="majorHAnsi" w:hAnsiTheme="majorHAnsi"/>
          <w:sz w:val="16"/>
          <w:szCs w:val="16"/>
          <w:lang w:val="en-AU"/>
        </w:rPr>
      </w:pPr>
      <w:r>
        <w:rPr>
          <w:rStyle w:val="FootnoteReference"/>
        </w:rPr>
        <w:footnoteRef/>
      </w:r>
      <w:r>
        <w:t xml:space="preserve"> </w:t>
      </w:r>
      <w:hyperlink r:id="rId8" w:history="1">
        <w:r w:rsidRPr="000F7E9B">
          <w:rPr>
            <w:rStyle w:val="Hyperlink"/>
            <w:rFonts w:asciiTheme="majorHAnsi" w:hAnsiTheme="majorHAnsi"/>
            <w:sz w:val="16"/>
            <w:szCs w:val="16"/>
            <w:lang w:val="en-AU"/>
          </w:rPr>
          <w:t>https://www.safetyandquality.gov.au/standards/national-safety-and-quality-digital-mental-health-standards</w:t>
        </w:r>
      </w:hyperlink>
    </w:p>
  </w:footnote>
  <w:footnote w:id="14">
    <w:p w14:paraId="686DB7FB" w14:textId="60C3FEBC" w:rsidR="00D15367" w:rsidRPr="00147901" w:rsidRDefault="00D15367">
      <w:pPr>
        <w:pStyle w:val="FootnoteText"/>
        <w:rPr>
          <w:lang w:val="en-AU"/>
        </w:rPr>
      </w:pPr>
      <w:r w:rsidRPr="000F7E9B">
        <w:rPr>
          <w:rStyle w:val="FootnoteReference"/>
        </w:rPr>
        <w:footnoteRef/>
      </w:r>
      <w:r w:rsidRPr="000F7E9B">
        <w:rPr>
          <w:rStyle w:val="FootnoteReference"/>
        </w:rPr>
        <w:t xml:space="preserve"> </w:t>
      </w:r>
      <w:hyperlink r:id="rId9" w:history="1">
        <w:r w:rsidRPr="000F7E9B">
          <w:rPr>
            <w:rStyle w:val="Hyperlink"/>
            <w:rFonts w:asciiTheme="majorHAnsi" w:hAnsiTheme="majorHAnsi"/>
            <w:sz w:val="16"/>
            <w:szCs w:val="16"/>
          </w:rPr>
          <w:t>https://australian.physio/sites/default/files/APATelehealthGuidelinesCOVID190420FA.pdf</w:t>
        </w:r>
      </w:hyperlink>
    </w:p>
  </w:footnote>
  <w:footnote w:id="15">
    <w:p w14:paraId="3AF30F6E" w14:textId="77777777" w:rsidR="00D15367" w:rsidRDefault="00D15367" w:rsidP="009B5A41">
      <w:pPr>
        <w:spacing w:before="180" w:after="60" w:line="312" w:lineRule="auto"/>
        <w:rPr>
          <w:rFonts w:ascii="Calibri" w:eastAsia="Calibri" w:hAnsi="Calibri" w:cs="Calibri"/>
        </w:rPr>
      </w:pPr>
      <w:r>
        <w:rPr>
          <w:vertAlign w:val="superscript"/>
        </w:rPr>
        <w:footnoteRef/>
      </w:r>
      <w:r>
        <w:rPr>
          <w:rFonts w:ascii="Calibri" w:eastAsia="Calibri" w:hAnsi="Calibri" w:cs="Calibri"/>
        </w:rPr>
        <w:t xml:space="preserve">  </w:t>
      </w:r>
      <w:r>
        <w:rPr>
          <w:rFonts w:ascii="Calibri" w:eastAsia="Calibri" w:hAnsi="Calibri" w:cs="Calibri"/>
        </w:rPr>
        <w:tab/>
        <w:t>Currie et al., 2018</w:t>
      </w:r>
    </w:p>
  </w:footnote>
  <w:footnote w:id="16">
    <w:p w14:paraId="65166652" w14:textId="77777777" w:rsidR="00D15367" w:rsidRDefault="00D15367">
      <w:pPr>
        <w:spacing w:before="140" w:after="40" w:line="312"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See item-level data for all telehealth attendances in Appendix - A.3.</w:t>
      </w:r>
    </w:p>
  </w:footnote>
  <w:footnote w:id="17">
    <w:p w14:paraId="276045DD" w14:textId="77777777" w:rsidR="00D15367" w:rsidRDefault="00D15367">
      <w:pPr>
        <w:spacing w:before="140" w:after="40" w:line="312"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One item each for specialists, consultant physicians, occupational medicine, pain medicine, palliative care, neurosurgery, addiction medicine and sexual health medicine.</w:t>
      </w:r>
    </w:p>
  </w:footnote>
  <w:footnote w:id="18">
    <w:p w14:paraId="3364E7B5" w14:textId="77777777" w:rsidR="00D15367" w:rsidRDefault="00D15367">
      <w:pPr>
        <w:spacing w:before="140" w:after="40" w:line="312"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Item numbers listed here indicate a structure for the DHS to follow when assigning item numbers. </w:t>
      </w:r>
    </w:p>
  </w:footnote>
  <w:footnote w:id="19">
    <w:p w14:paraId="4119DBFA" w14:textId="77777777" w:rsidR="00D15367" w:rsidRDefault="00D15367">
      <w:pPr>
        <w:spacing w:before="140" w:after="40" w:line="312"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MBS data 2011/12 to 2016/17</w:t>
      </w:r>
    </w:p>
  </w:footnote>
  <w:footnote w:id="20">
    <w:p w14:paraId="1818DBC4" w14:textId="77777777" w:rsidR="00D15367" w:rsidRDefault="00D15367">
      <w:pPr>
        <w:spacing w:before="140" w:after="40" w:line="312"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Wade et al. (2014) conducted a qualitative study of 36 Australian telehealth services and concluded that physician acceptance of telehealth was the main driver of low uptake.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C7D23" w14:textId="77777777" w:rsidR="00D15367" w:rsidRDefault="00D15367">
    <w:pP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A198C" w14:textId="77777777" w:rsidR="00D15367" w:rsidRDefault="00EA585B">
    <w:sdt>
      <w:sdtPr>
        <w:id w:val="1951279063"/>
        <w:docPartObj>
          <w:docPartGallery w:val="Watermarks"/>
          <w:docPartUnique/>
        </w:docPartObj>
      </w:sdtPr>
      <w:sdtEndPr/>
      <w:sdtContent>
        <w:r>
          <w:rPr>
            <w:noProof/>
          </w:rPr>
          <w:pict w14:anchorId="2EE66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15367">
      <w:rPr>
        <w:noProof/>
        <w:lang w:val="en-AU"/>
      </w:rPr>
      <w:drawing>
        <wp:anchor distT="0" distB="0" distL="114300" distR="114300" simplePos="0" relativeHeight="251656704" behindDoc="0" locked="0" layoutInCell="1" allowOverlap="1" wp14:anchorId="4B2A950F" wp14:editId="79D549E0">
          <wp:simplePos x="0" y="0"/>
          <wp:positionH relativeFrom="page">
            <wp:align>left</wp:align>
          </wp:positionH>
          <wp:positionV relativeFrom="paragraph">
            <wp:posOffset>-360540</wp:posOffset>
          </wp:positionV>
          <wp:extent cx="7619117" cy="736979"/>
          <wp:effectExtent l="0" t="0" r="1270" b="635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rsidR="00D15367">
      <w:ptab w:relativeTo="margin" w:alignment="right" w:leader="none"/>
    </w:r>
    <w:r w:rsidR="00D15367">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F32B1" w14:textId="77777777" w:rsidR="00D15367" w:rsidRDefault="00D15367" w:rsidP="00386893">
    <w:pPr>
      <w:tabs>
        <w:tab w:val="left" w:pos="6180"/>
      </w:tabs>
      <w:spacing w:line="240" w:lineRule="auto"/>
    </w:pPr>
    <w:r w:rsidRPr="002D1FF9">
      <w:rPr>
        <w:noProof/>
        <w:lang w:val="en-AU"/>
      </w:rPr>
      <w:drawing>
        <wp:anchor distT="0" distB="0" distL="114300" distR="114300" simplePos="0" relativeHeight="251657728" behindDoc="1" locked="0" layoutInCell="1" allowOverlap="1" wp14:anchorId="4C0AB972" wp14:editId="4A6D671D">
          <wp:simplePos x="0" y="0"/>
          <wp:positionH relativeFrom="page">
            <wp:align>left</wp:align>
          </wp:positionH>
          <wp:positionV relativeFrom="paragraph">
            <wp:posOffset>-457200</wp:posOffset>
          </wp:positionV>
          <wp:extent cx="7591425" cy="10737775"/>
          <wp:effectExtent l="0" t="0" r="0" b="698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1425" cy="107377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FBE35" w14:textId="77777777" w:rsidR="00D15367" w:rsidRDefault="00D153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3650"/>
    <w:multiLevelType w:val="multilevel"/>
    <w:tmpl w:val="2FBCBC36"/>
    <w:lvl w:ilvl="0">
      <w:start w:val="1"/>
      <w:numFmt w:val="decimal"/>
      <w:lvlText w:val="%1."/>
      <w:lvlJc w:val="left"/>
      <w:pPr>
        <w:ind w:left="720" w:hanging="360"/>
      </w:pPr>
      <w:rPr>
        <w:rFonts w:asciiTheme="majorHAnsi" w:hAnsiTheme="majorHAnsi"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C60854"/>
    <w:multiLevelType w:val="hybridMultilevel"/>
    <w:tmpl w:val="E14CB692"/>
    <w:lvl w:ilvl="0" w:tplc="0C090003">
      <w:start w:val="1"/>
      <w:numFmt w:val="bullet"/>
      <w:pStyle w:val="Bullet3"/>
      <w:lvlText w:val="o"/>
      <w:lvlJc w:val="left"/>
      <w:pPr>
        <w:ind w:left="1080" w:hanging="360"/>
      </w:pPr>
      <w:rPr>
        <w:rFonts w:ascii="Courier New" w:hAnsi="Courier New" w:cs="Courier New" w:hint="default"/>
      </w:rPr>
    </w:lvl>
    <w:lvl w:ilvl="1" w:tplc="7A22CE5E">
      <w:start w:val="1"/>
      <w:numFmt w:val="bullet"/>
      <w:pStyle w:val="02dash"/>
      <w:lvlText w:val="o"/>
      <w:lvlJc w:val="left"/>
      <w:pPr>
        <w:ind w:left="1800" w:hanging="331"/>
      </w:pPr>
      <w:rPr>
        <w:rFonts w:ascii="Courier New" w:hAnsi="Courier New" w:cs="Times New Roman" w:hint="default"/>
      </w:rPr>
    </w:lvl>
    <w:lvl w:ilvl="2" w:tplc="0C090005">
      <w:start w:val="1"/>
      <w:numFmt w:val="bullet"/>
      <w:pStyle w:val="DNU8"/>
      <w:lvlText w:val=""/>
      <w:lvlJc w:val="left"/>
      <w:pPr>
        <w:ind w:left="2520" w:hanging="360"/>
      </w:pPr>
      <w:rPr>
        <w:rFonts w:ascii="Wingdings" w:hAnsi="Wingdings" w:hint="default"/>
      </w:rPr>
    </w:lvl>
    <w:lvl w:ilvl="3" w:tplc="0C090001">
      <w:start w:val="1"/>
      <w:numFmt w:val="bullet"/>
      <w:pStyle w:val="DNU10"/>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 w15:restartNumberingAfterBreak="0">
    <w:nsid w:val="037302F7"/>
    <w:multiLevelType w:val="multilevel"/>
    <w:tmpl w:val="C9F8B7E6"/>
    <w:lvl w:ilvl="0">
      <w:start w:val="1"/>
      <w:numFmt w:val="lowerRoman"/>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3E934EA"/>
    <w:multiLevelType w:val="multilevel"/>
    <w:tmpl w:val="5E1A91E6"/>
    <w:lvl w:ilvl="0">
      <w:start w:val="1"/>
      <w:numFmt w:val="bullet"/>
      <w:lvlText w:val="●"/>
      <w:lvlJc w:val="left"/>
      <w:pPr>
        <w:ind w:left="573" w:hanging="431"/>
      </w:pPr>
      <w:rPr>
        <w:rFonts w:ascii="Noto Sans Symbols" w:eastAsia="Noto Sans Symbols" w:hAnsi="Noto Sans Symbols" w:cs="Noto Sans Symbols"/>
        <w:b w:val="0"/>
        <w:i w:val="0"/>
        <w:smallCaps w:val="0"/>
        <w:strike w:val="0"/>
        <w:color w:val="01653F"/>
        <w:u w:val="none"/>
        <w:vertAlign w:val="baseline"/>
      </w:rPr>
    </w:lvl>
    <w:lvl w:ilvl="1">
      <w:start w:va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496BA5"/>
    <w:multiLevelType w:val="multilevel"/>
    <w:tmpl w:val="D2A48E3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135E81"/>
    <w:multiLevelType w:val="multilevel"/>
    <w:tmpl w:val="93FEE2A8"/>
    <w:lvl w:ilvl="0">
      <w:start w:val="1"/>
      <w:numFmt w:val="lowerRoman"/>
      <w:lvlText w:val="(%1)"/>
      <w:lvlJc w:val="left"/>
      <w:pPr>
        <w:ind w:left="1080" w:hanging="360"/>
      </w:pPr>
      <w:rPr>
        <w:b w:val="0"/>
      </w:rPr>
    </w:lvl>
    <w:lvl w:ilvl="1">
      <w:start w:val="1"/>
      <w:numFmt w:val="bullet"/>
      <w:lvlText w:val="-"/>
      <w:lvlJc w:val="left"/>
      <w:pPr>
        <w:ind w:left="1156" w:hanging="360"/>
      </w:pPr>
      <w:rPr>
        <w:rFonts w:ascii="Calibri" w:eastAsia="Calibri" w:hAnsi="Calibri" w:cs="Calibri"/>
      </w:rPr>
    </w:lvl>
    <w:lvl w:ilvl="2">
      <w:start w:val="1"/>
      <w:numFmt w:val="lowerLetter"/>
      <w:lvlText w:val="%3)"/>
      <w:lvlJc w:val="left"/>
      <w:pPr>
        <w:ind w:left="1876" w:hanging="360"/>
      </w:pPr>
    </w:lvl>
    <w:lvl w:ilvl="3">
      <w:start w:val="1"/>
      <w:numFmt w:val="lowerRoman"/>
      <w:lvlText w:val="%4."/>
      <w:lvlJc w:val="right"/>
      <w:pPr>
        <w:ind w:left="2596" w:hanging="360"/>
      </w:p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6" w15:restartNumberingAfterBreak="0">
    <w:nsid w:val="0C0B2B24"/>
    <w:multiLevelType w:val="multilevel"/>
    <w:tmpl w:val="854C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A415E1"/>
    <w:multiLevelType w:val="multilevel"/>
    <w:tmpl w:val="1D6037E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D176AE0"/>
    <w:multiLevelType w:val="multilevel"/>
    <w:tmpl w:val="BB0C3C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75048D"/>
    <w:multiLevelType w:val="hybridMultilevel"/>
    <w:tmpl w:val="1036662C"/>
    <w:lvl w:ilvl="0" w:tplc="3CA0273A">
      <w:start w:val="1"/>
      <w:numFmt w:val="bullet"/>
      <w:lvlText w:val=""/>
      <w:lvlJc w:val="left"/>
      <w:pPr>
        <w:ind w:left="360" w:hanging="360"/>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11AC3A13"/>
    <w:multiLevelType w:val="multilevel"/>
    <w:tmpl w:val="723E3898"/>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2BA129D"/>
    <w:multiLevelType w:val="multilevel"/>
    <w:tmpl w:val="6526E9E2"/>
    <w:lvl w:ilvl="0">
      <w:start w:val="1"/>
      <w:numFmt w:val="lowerRoman"/>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15C14AF1"/>
    <w:multiLevelType w:val="multilevel"/>
    <w:tmpl w:val="ABCE9F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CD5D49"/>
    <w:multiLevelType w:val="multilevel"/>
    <w:tmpl w:val="F7423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Roman"/>
      <w:lvlText w:val="%4."/>
      <w:lvlJc w:val="righ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AB539D7"/>
    <w:multiLevelType w:val="multilevel"/>
    <w:tmpl w:val="400EDD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153A12"/>
    <w:multiLevelType w:val="multilevel"/>
    <w:tmpl w:val="29FAA1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E043270"/>
    <w:multiLevelType w:val="hybridMultilevel"/>
    <w:tmpl w:val="5ED44B44"/>
    <w:lvl w:ilvl="0" w:tplc="36EC42B4">
      <w:start w:val="1"/>
      <w:numFmt w:val="bullet"/>
      <w:lvlText w:val=""/>
      <w:lvlJc w:val="left"/>
      <w:pPr>
        <w:ind w:left="360" w:hanging="360"/>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1EE72B07"/>
    <w:multiLevelType w:val="multilevel"/>
    <w:tmpl w:val="E8B88668"/>
    <w:lvl w:ilvl="0">
      <w:start w:val="1"/>
      <w:numFmt w:val="decimal"/>
      <w:lvlText w:val="%1."/>
      <w:lvlJc w:val="left"/>
      <w:pPr>
        <w:ind w:left="357" w:hanging="357"/>
      </w:pPr>
      <w:rPr>
        <w:rFonts w:ascii="Calibri" w:eastAsia="Calibri" w:hAnsi="Calibri" w:cs="Calibri"/>
        <w:b w:val="0"/>
        <w:i w:val="0"/>
        <w:smallCaps w:val="0"/>
        <w:strike w:val="0"/>
        <w:color w:val="01653F"/>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F232E15"/>
    <w:multiLevelType w:val="multilevel"/>
    <w:tmpl w:val="070EEC3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FC346AD"/>
    <w:multiLevelType w:val="multilevel"/>
    <w:tmpl w:val="34A29A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11E31DC"/>
    <w:multiLevelType w:val="multilevel"/>
    <w:tmpl w:val="29945A80"/>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1" w15:restartNumberingAfterBreak="0">
    <w:nsid w:val="212F3998"/>
    <w:multiLevelType w:val="multilevel"/>
    <w:tmpl w:val="75B62A3A"/>
    <w:lvl w:ilvl="0">
      <w:start w:val="1"/>
      <w:numFmt w:val="lowerRoman"/>
      <w:lvlText w:val="(%1)"/>
      <w:lvlJc w:val="left"/>
      <w:pPr>
        <w:ind w:left="1430" w:hanging="360"/>
      </w:pPr>
      <w:rPr>
        <w:b w:val="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2" w15:restartNumberingAfterBreak="0">
    <w:nsid w:val="21754093"/>
    <w:multiLevelType w:val="multilevel"/>
    <w:tmpl w:val="ED2C6B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17D7AEC"/>
    <w:multiLevelType w:val="multilevel"/>
    <w:tmpl w:val="073E35E6"/>
    <w:lvl w:ilvl="0">
      <w:start w:val="1"/>
      <w:numFmt w:val="bullet"/>
      <w:lvlText w:val="o"/>
      <w:lvlJc w:val="left"/>
      <w:pPr>
        <w:ind w:left="107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1835A3A"/>
    <w:multiLevelType w:val="multilevel"/>
    <w:tmpl w:val="53CAC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2D45161"/>
    <w:multiLevelType w:val="multilevel"/>
    <w:tmpl w:val="87B6DB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8C95317"/>
    <w:multiLevelType w:val="multilevel"/>
    <w:tmpl w:val="C85CE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BEB1A3B"/>
    <w:multiLevelType w:val="hybridMultilevel"/>
    <w:tmpl w:val="D61A3CF8"/>
    <w:lvl w:ilvl="0" w:tplc="49E42D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4B5125"/>
    <w:multiLevelType w:val="multilevel"/>
    <w:tmpl w:val="821601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DD32780"/>
    <w:multiLevelType w:val="hybridMultilevel"/>
    <w:tmpl w:val="1CB0056C"/>
    <w:lvl w:ilvl="0" w:tplc="36EC42B4">
      <w:start w:val="1"/>
      <w:numFmt w:val="bullet"/>
      <w:lvlText w:val=""/>
      <w:lvlJc w:val="left"/>
      <w:pPr>
        <w:ind w:left="360" w:hanging="360"/>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32216405"/>
    <w:multiLevelType w:val="multilevel"/>
    <w:tmpl w:val="D42E6A8C"/>
    <w:lvl w:ilvl="0">
      <w:start w:val="1"/>
      <w:numFmt w:val="bullet"/>
      <w:lvlText w:val="●"/>
      <w:lvlJc w:val="left"/>
      <w:pPr>
        <w:ind w:left="357" w:hanging="357"/>
      </w:pPr>
      <w:rPr>
        <w:rFonts w:ascii="Noto Sans Symbols" w:eastAsia="Noto Sans Symbols" w:hAnsi="Noto Sans Symbols" w:cs="Noto Sans Symbols"/>
        <w:b w:val="0"/>
        <w:i w:val="0"/>
        <w:smallCaps w:val="0"/>
        <w:strike w:val="0"/>
        <w:color w:val="01653F"/>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28853DD"/>
    <w:multiLevelType w:val="hybridMultilevel"/>
    <w:tmpl w:val="8B28F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6C02BB4"/>
    <w:multiLevelType w:val="multilevel"/>
    <w:tmpl w:val="9E686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76A18A8"/>
    <w:multiLevelType w:val="multilevel"/>
    <w:tmpl w:val="52342BF2"/>
    <w:lvl w:ilvl="0">
      <w:start w:val="1"/>
      <w:numFmt w:val="bullet"/>
      <w:lvlText w:val="-"/>
      <w:lvlJc w:val="left"/>
      <w:pPr>
        <w:ind w:left="927" w:hanging="360"/>
      </w:pPr>
      <w:rPr>
        <w:rFonts w:ascii="Calibri" w:eastAsia="Calibri" w:hAnsi="Calibri" w:cs="Calibri"/>
      </w:rPr>
    </w:lvl>
    <w:lvl w:ilvl="1">
      <w:start w:val="1"/>
      <w:numFmt w:val="bullet"/>
      <w:lvlText w:val="o"/>
      <w:lvlJc w:val="left"/>
      <w:pPr>
        <w:ind w:left="1003" w:hanging="360"/>
      </w:pPr>
      <w:rPr>
        <w:rFonts w:ascii="Courier New" w:eastAsia="Courier New" w:hAnsi="Courier New" w:cs="Courier New"/>
      </w:rPr>
    </w:lvl>
    <w:lvl w:ilvl="2">
      <w:start w:val="1"/>
      <w:numFmt w:val="lowerLetter"/>
      <w:lvlText w:val="%3)"/>
      <w:lvlJc w:val="left"/>
      <w:pPr>
        <w:ind w:left="1723" w:hanging="360"/>
      </w:pPr>
    </w:lvl>
    <w:lvl w:ilvl="3">
      <w:start w:val="1"/>
      <w:numFmt w:val="bullet"/>
      <w:lvlText w:val="●"/>
      <w:lvlJc w:val="left"/>
      <w:pPr>
        <w:ind w:left="2443" w:hanging="360"/>
      </w:pPr>
      <w:rPr>
        <w:rFonts w:ascii="Noto Sans Symbols" w:eastAsia="Noto Sans Symbols" w:hAnsi="Noto Sans Symbols" w:cs="Noto Sans Symbols"/>
      </w:rPr>
    </w:lvl>
    <w:lvl w:ilvl="4">
      <w:start w:val="1"/>
      <w:numFmt w:val="bullet"/>
      <w:lvlText w:val="o"/>
      <w:lvlJc w:val="left"/>
      <w:pPr>
        <w:ind w:left="3163" w:hanging="360"/>
      </w:pPr>
      <w:rPr>
        <w:rFonts w:ascii="Courier New" w:eastAsia="Courier New" w:hAnsi="Courier New" w:cs="Courier New"/>
      </w:rPr>
    </w:lvl>
    <w:lvl w:ilvl="5">
      <w:start w:val="1"/>
      <w:numFmt w:val="bullet"/>
      <w:lvlText w:val="▪"/>
      <w:lvlJc w:val="left"/>
      <w:pPr>
        <w:ind w:left="3883" w:hanging="360"/>
      </w:pPr>
      <w:rPr>
        <w:rFonts w:ascii="Noto Sans Symbols" w:eastAsia="Noto Sans Symbols" w:hAnsi="Noto Sans Symbols" w:cs="Noto Sans Symbols"/>
      </w:rPr>
    </w:lvl>
    <w:lvl w:ilvl="6">
      <w:start w:val="1"/>
      <w:numFmt w:val="bullet"/>
      <w:lvlText w:val="●"/>
      <w:lvlJc w:val="left"/>
      <w:pPr>
        <w:ind w:left="4603" w:hanging="360"/>
      </w:pPr>
      <w:rPr>
        <w:rFonts w:ascii="Noto Sans Symbols" w:eastAsia="Noto Sans Symbols" w:hAnsi="Noto Sans Symbols" w:cs="Noto Sans Symbols"/>
      </w:rPr>
    </w:lvl>
    <w:lvl w:ilvl="7">
      <w:start w:val="1"/>
      <w:numFmt w:val="bullet"/>
      <w:lvlText w:val="o"/>
      <w:lvlJc w:val="left"/>
      <w:pPr>
        <w:ind w:left="5323" w:hanging="360"/>
      </w:pPr>
      <w:rPr>
        <w:rFonts w:ascii="Courier New" w:eastAsia="Courier New" w:hAnsi="Courier New" w:cs="Courier New"/>
      </w:rPr>
    </w:lvl>
    <w:lvl w:ilvl="8">
      <w:start w:val="1"/>
      <w:numFmt w:val="bullet"/>
      <w:lvlText w:val="▪"/>
      <w:lvlJc w:val="left"/>
      <w:pPr>
        <w:ind w:left="6043" w:hanging="360"/>
      </w:pPr>
      <w:rPr>
        <w:rFonts w:ascii="Noto Sans Symbols" w:eastAsia="Noto Sans Symbols" w:hAnsi="Noto Sans Symbols" w:cs="Noto Sans Symbols"/>
      </w:rPr>
    </w:lvl>
  </w:abstractNum>
  <w:abstractNum w:abstractNumId="34" w15:restartNumberingAfterBreak="0">
    <w:nsid w:val="3B476357"/>
    <w:multiLevelType w:val="multilevel"/>
    <w:tmpl w:val="8CDE8182"/>
    <w:lvl w:ilvl="0">
      <w:start w:val="1"/>
      <w:numFmt w:val="bullet"/>
      <w:lvlText w:val="Δ"/>
      <w:lvlJc w:val="left"/>
      <w:pPr>
        <w:ind w:left="360" w:hanging="360"/>
      </w:pPr>
      <w:rPr>
        <w:rFonts w:ascii="Calibri" w:eastAsia="Calibri" w:hAnsi="Calibri" w:cs="Calibri"/>
        <w:color w:val="B66113"/>
        <w:sz w:val="24"/>
        <w:szCs w:val="24"/>
      </w:rPr>
    </w:lvl>
    <w:lvl w:ilvl="1">
      <w:start w:val="1"/>
      <w:numFmt w:val="bullet"/>
      <w:lvlText w:val="–"/>
      <w:lvlJc w:val="left"/>
      <w:pPr>
        <w:ind w:left="644" w:hanging="283"/>
      </w:pPr>
      <w:rPr>
        <w:rFonts w:ascii="Arial" w:eastAsia="Arial" w:hAnsi="Arial" w:cs="Arial"/>
        <w:color w:val="000000"/>
        <w:sz w:val="24"/>
        <w:szCs w:val="24"/>
      </w:rPr>
    </w:lvl>
    <w:lvl w:ilvl="2">
      <w:start w:val="1"/>
      <w:numFmt w:val="bullet"/>
      <w:lvlText w:val="□"/>
      <w:lvlJc w:val="left"/>
      <w:pPr>
        <w:ind w:left="913" w:hanging="283"/>
      </w:pPr>
      <w:rPr>
        <w:rFonts w:ascii="Times New Roman" w:eastAsia="Times New Roman" w:hAnsi="Times New Roman" w:cs="Times New Roman"/>
        <w:color w:val="000000"/>
        <w:sz w:val="20"/>
        <w:szCs w:val="20"/>
      </w:rPr>
    </w:lvl>
    <w:lvl w:ilvl="3">
      <w:start w:val="1"/>
      <w:numFmt w:val="bullet"/>
      <w:lvlText w:val="-"/>
      <w:lvlJc w:val="left"/>
      <w:pPr>
        <w:ind w:left="1274" w:hanging="284"/>
      </w:pPr>
      <w:rPr>
        <w:rFonts w:ascii="Times New Roman" w:eastAsia="Times New Roman" w:hAnsi="Times New Roman" w:cs="Times New Roman"/>
        <w:color w:val="002960"/>
        <w:sz w:val="24"/>
        <w:szCs w:val="24"/>
      </w:rPr>
    </w:lvl>
    <w:lvl w:ilvl="4">
      <w:start w:val="1"/>
      <w:numFmt w:val="lowerLetter"/>
      <w:lvlText w:val="(%5)"/>
      <w:lvlJc w:val="left"/>
      <w:pPr>
        <w:ind w:left="2340" w:hanging="360"/>
      </w:pPr>
    </w:lvl>
    <w:lvl w:ilvl="5">
      <w:start w:val="1"/>
      <w:numFmt w:val="lowerRoman"/>
      <w:lvlText w:val="(%6)"/>
      <w:lvlJc w:val="left"/>
      <w:pPr>
        <w:ind w:left="4397" w:hanging="360"/>
      </w:pPr>
    </w:lvl>
    <w:lvl w:ilvl="6">
      <w:start w:val="1"/>
      <w:numFmt w:val="decimal"/>
      <w:lvlText w:val="%7."/>
      <w:lvlJc w:val="left"/>
      <w:pPr>
        <w:ind w:left="4757" w:hanging="360"/>
      </w:pPr>
    </w:lvl>
    <w:lvl w:ilvl="7">
      <w:start w:val="1"/>
      <w:numFmt w:val="lowerLetter"/>
      <w:lvlText w:val="%8."/>
      <w:lvlJc w:val="left"/>
      <w:pPr>
        <w:ind w:left="5117" w:hanging="360"/>
      </w:pPr>
    </w:lvl>
    <w:lvl w:ilvl="8">
      <w:start w:val="1"/>
      <w:numFmt w:val="lowerRoman"/>
      <w:lvlText w:val="%9."/>
      <w:lvlJc w:val="left"/>
      <w:pPr>
        <w:ind w:left="5477" w:hanging="360"/>
      </w:pPr>
    </w:lvl>
  </w:abstractNum>
  <w:abstractNum w:abstractNumId="35" w15:restartNumberingAfterBreak="0">
    <w:nsid w:val="3E1153DD"/>
    <w:multiLevelType w:val="hybridMultilevel"/>
    <w:tmpl w:val="350EB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0861304"/>
    <w:multiLevelType w:val="multilevel"/>
    <w:tmpl w:val="839EC53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F93868"/>
    <w:multiLevelType w:val="hybridMultilevel"/>
    <w:tmpl w:val="68BA2A5E"/>
    <w:lvl w:ilvl="0" w:tplc="8D86FADE">
      <w:start w:val="1"/>
      <w:numFmt w:val="bullet"/>
      <w:lvlText w:val=""/>
      <w:lvlJc w:val="left"/>
      <w:pPr>
        <w:ind w:left="1358" w:hanging="360"/>
      </w:pPr>
      <w:rPr>
        <w:rFonts w:ascii="Symbol" w:hAnsi="Symbol" w:hint="default"/>
        <w:color w:val="01653F"/>
      </w:rPr>
    </w:lvl>
    <w:lvl w:ilvl="1" w:tplc="0C090003">
      <w:start w:val="1"/>
      <w:numFmt w:val="bullet"/>
      <w:lvlText w:val="o"/>
      <w:lvlJc w:val="left"/>
      <w:pPr>
        <w:ind w:left="2078" w:hanging="360"/>
      </w:pPr>
      <w:rPr>
        <w:rFonts w:ascii="Courier New" w:hAnsi="Courier New" w:cs="Courier New" w:hint="default"/>
      </w:rPr>
    </w:lvl>
    <w:lvl w:ilvl="2" w:tplc="0C090005">
      <w:start w:val="1"/>
      <w:numFmt w:val="bullet"/>
      <w:lvlText w:val=""/>
      <w:lvlJc w:val="left"/>
      <w:pPr>
        <w:ind w:left="2798" w:hanging="360"/>
      </w:pPr>
      <w:rPr>
        <w:rFonts w:ascii="Wingdings" w:hAnsi="Wingdings" w:hint="default"/>
      </w:rPr>
    </w:lvl>
    <w:lvl w:ilvl="3" w:tplc="0C090001">
      <w:start w:val="1"/>
      <w:numFmt w:val="bullet"/>
      <w:lvlText w:val=""/>
      <w:lvlJc w:val="left"/>
      <w:pPr>
        <w:ind w:left="3518" w:hanging="360"/>
      </w:pPr>
      <w:rPr>
        <w:rFonts w:ascii="Symbol" w:hAnsi="Symbol" w:hint="default"/>
      </w:rPr>
    </w:lvl>
    <w:lvl w:ilvl="4" w:tplc="0C090003">
      <w:start w:val="1"/>
      <w:numFmt w:val="bullet"/>
      <w:lvlText w:val="o"/>
      <w:lvlJc w:val="left"/>
      <w:pPr>
        <w:ind w:left="4238" w:hanging="360"/>
      </w:pPr>
      <w:rPr>
        <w:rFonts w:ascii="Courier New" w:hAnsi="Courier New" w:cs="Courier New" w:hint="default"/>
      </w:rPr>
    </w:lvl>
    <w:lvl w:ilvl="5" w:tplc="0C090005">
      <w:start w:val="1"/>
      <w:numFmt w:val="bullet"/>
      <w:lvlText w:val=""/>
      <w:lvlJc w:val="left"/>
      <w:pPr>
        <w:ind w:left="4958" w:hanging="360"/>
      </w:pPr>
      <w:rPr>
        <w:rFonts w:ascii="Wingdings" w:hAnsi="Wingdings" w:hint="default"/>
      </w:rPr>
    </w:lvl>
    <w:lvl w:ilvl="6" w:tplc="0C090001">
      <w:start w:val="1"/>
      <w:numFmt w:val="bullet"/>
      <w:lvlText w:val=""/>
      <w:lvlJc w:val="left"/>
      <w:pPr>
        <w:ind w:left="5678" w:hanging="360"/>
      </w:pPr>
      <w:rPr>
        <w:rFonts w:ascii="Symbol" w:hAnsi="Symbol" w:hint="default"/>
      </w:rPr>
    </w:lvl>
    <w:lvl w:ilvl="7" w:tplc="0C090003">
      <w:start w:val="1"/>
      <w:numFmt w:val="bullet"/>
      <w:lvlText w:val="o"/>
      <w:lvlJc w:val="left"/>
      <w:pPr>
        <w:ind w:left="6398" w:hanging="360"/>
      </w:pPr>
      <w:rPr>
        <w:rFonts w:ascii="Courier New" w:hAnsi="Courier New" w:cs="Courier New" w:hint="default"/>
      </w:rPr>
    </w:lvl>
    <w:lvl w:ilvl="8" w:tplc="0C090005">
      <w:start w:val="1"/>
      <w:numFmt w:val="bullet"/>
      <w:lvlText w:val=""/>
      <w:lvlJc w:val="left"/>
      <w:pPr>
        <w:ind w:left="7118" w:hanging="360"/>
      </w:pPr>
      <w:rPr>
        <w:rFonts w:ascii="Wingdings" w:hAnsi="Wingdings" w:hint="default"/>
      </w:rPr>
    </w:lvl>
  </w:abstractNum>
  <w:abstractNum w:abstractNumId="38" w15:restartNumberingAfterBreak="0">
    <w:nsid w:val="44012723"/>
    <w:multiLevelType w:val="multilevel"/>
    <w:tmpl w:val="2E3297CE"/>
    <w:lvl w:ilvl="0">
      <w:start w:val="1"/>
      <w:numFmt w:val="decimal"/>
      <w:lvlText w:val="%1."/>
      <w:lvlJc w:val="left"/>
      <w:pPr>
        <w:ind w:left="431" w:hanging="431"/>
      </w:pPr>
      <w:rPr>
        <w:b w:val="0"/>
        <w:i w:val="0"/>
        <w:smallCaps w:val="0"/>
        <w:strike w:val="0"/>
        <w:color w:val="01653F"/>
        <w:sz w:val="22"/>
        <w:szCs w:val="22"/>
        <w:u w:val="none"/>
        <w:vertAlign w:val="baseline"/>
      </w:rPr>
    </w:lvl>
    <w:lvl w:ilvl="1">
      <w:start w:val="1"/>
      <w:numFmt w:val="bullet"/>
      <w:lvlText w:val="●"/>
      <w:lvlJc w:val="left"/>
      <w:pPr>
        <w:ind w:left="1800" w:hanging="72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Calibri" w:eastAsia="Calibri" w:hAnsi="Calibri" w:cs="Calibri"/>
        <w:b/>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5B024F2"/>
    <w:multiLevelType w:val="hybridMultilevel"/>
    <w:tmpl w:val="7DCA40E6"/>
    <w:lvl w:ilvl="0" w:tplc="46C424A6">
      <w:start w:val="1"/>
      <w:numFmt w:val="bullet"/>
      <w:pStyle w:val="Bullet-green"/>
      <w:lvlText w:val=""/>
      <w:lvlJc w:val="left"/>
      <w:pPr>
        <w:ind w:left="360" w:hanging="360"/>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461C67B3"/>
    <w:multiLevelType w:val="multilevel"/>
    <w:tmpl w:val="02B63F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66859A9"/>
    <w:multiLevelType w:val="multilevel"/>
    <w:tmpl w:val="F8185F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DF03ACE"/>
    <w:multiLevelType w:val="multilevel"/>
    <w:tmpl w:val="4B0A530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bullet"/>
      <w:lvlText w:val=""/>
      <w:lvlJc w:val="left"/>
      <w:pPr>
        <w:ind w:left="5040" w:hanging="360"/>
      </w:pPr>
      <w:rPr>
        <w:rFonts w:ascii="Symbol" w:hAnsi="Symbol"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EE91599"/>
    <w:multiLevelType w:val="multilevel"/>
    <w:tmpl w:val="8F1A4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Roman"/>
      <w:lvlText w:val="%4."/>
      <w:lvlJc w:val="righ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27E71CF"/>
    <w:multiLevelType w:val="hybridMultilevel"/>
    <w:tmpl w:val="527E2108"/>
    <w:lvl w:ilvl="0" w:tplc="89D41556">
      <w:start w:val="1"/>
      <w:numFmt w:val="bullet"/>
      <w:pStyle w:val="01squarebullet"/>
      <w:lvlText w:val=""/>
      <w:lvlJc w:val="left"/>
      <w:pPr>
        <w:ind w:left="360" w:hanging="360"/>
      </w:pPr>
      <w:rPr>
        <w:rFonts w:ascii="Symbol" w:hAnsi="Symbol" w:hint="default"/>
        <w:color w:val="01653F"/>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5" w15:restartNumberingAfterBreak="0">
    <w:nsid w:val="530C4676"/>
    <w:multiLevelType w:val="multilevel"/>
    <w:tmpl w:val="CDEC5C2E"/>
    <w:lvl w:ilvl="0">
      <w:start w:val="1"/>
      <w:numFmt w:val="decimal"/>
      <w:lvlText w:val="%1."/>
      <w:lvlJc w:val="left"/>
      <w:pPr>
        <w:ind w:left="720" w:hanging="360"/>
      </w:pPr>
      <w:rPr>
        <w:rFonts w:asciiTheme="majorHAnsi" w:hAnsiTheme="majorHAnsi" w:hint="default"/>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66D6B03"/>
    <w:multiLevelType w:val="hybridMultilevel"/>
    <w:tmpl w:val="2F6CA9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72A408D"/>
    <w:multiLevelType w:val="hybridMultilevel"/>
    <w:tmpl w:val="0138FD54"/>
    <w:lvl w:ilvl="0" w:tplc="CC485AA8">
      <w:start w:val="1"/>
      <w:numFmt w:val="upp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A263D24"/>
    <w:multiLevelType w:val="multilevel"/>
    <w:tmpl w:val="B9100E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C4A4B11"/>
    <w:multiLevelType w:val="multilevel"/>
    <w:tmpl w:val="114E59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5CC53866"/>
    <w:multiLevelType w:val="multilevel"/>
    <w:tmpl w:val="FF2E30BE"/>
    <w:lvl w:ilvl="0">
      <w:start w:val="1"/>
      <w:numFmt w:val="decimal"/>
      <w:lvlText w:val="%1."/>
      <w:lvlJc w:val="left"/>
      <w:pPr>
        <w:ind w:left="432" w:hanging="432"/>
      </w:pPr>
    </w:lvl>
    <w:lvl w:ilvl="1">
      <w:start w:val="1"/>
      <w:numFmt w:val="decimal"/>
      <w:pStyle w:val="Style3"/>
      <w:lvlText w:val="%1.%2"/>
      <w:lvlJc w:val="left"/>
      <w:pPr>
        <w:ind w:left="-417" w:hanging="576"/>
      </w:pPr>
      <w:rPr>
        <w:b/>
        <w:i w:val="0"/>
        <w:smallCaps w:val="0"/>
        <w:strike w:val="0"/>
        <w:color w:val="auto"/>
        <w:u w:val="none"/>
        <w:vertAlign w:val="baseline"/>
      </w:rPr>
    </w:lvl>
    <w:lvl w:ilvl="2">
      <w:start w:val="1"/>
      <w:numFmt w:val="decimal"/>
      <w:lvlText w:val="%1.%2.%3"/>
      <w:lvlJc w:val="left"/>
      <w:pPr>
        <w:ind w:left="720" w:hanging="720"/>
      </w:pPr>
    </w:lvl>
    <w:lvl w:ilvl="3">
      <w:start w:val="1"/>
      <w:numFmt w:val="decimal"/>
      <w:lvlText w:val="%1.%2.%3.%4"/>
      <w:lvlJc w:val="left"/>
      <w:pPr>
        <w:ind w:left="-129" w:hanging="864"/>
      </w:pPr>
    </w:lvl>
    <w:lvl w:ilvl="4">
      <w:start w:val="1"/>
      <w:numFmt w:val="decimal"/>
      <w:lvlText w:val="%1.%2.%3.%4.%5"/>
      <w:lvlJc w:val="left"/>
      <w:pPr>
        <w:ind w:left="15" w:hanging="1008"/>
      </w:pPr>
    </w:lvl>
    <w:lvl w:ilvl="5">
      <w:start w:val="1"/>
      <w:numFmt w:val="decimal"/>
      <w:lvlText w:val="%1.%2.%3.%4.%5.%6"/>
      <w:lvlJc w:val="left"/>
      <w:pPr>
        <w:ind w:left="159" w:hanging="1152"/>
      </w:pPr>
    </w:lvl>
    <w:lvl w:ilvl="6">
      <w:start w:val="1"/>
      <w:numFmt w:val="decimal"/>
      <w:lvlText w:val="%1.%2.%3.%4.%5.%6.%7"/>
      <w:lvlJc w:val="left"/>
      <w:pPr>
        <w:ind w:left="303" w:hanging="1296"/>
      </w:pPr>
    </w:lvl>
    <w:lvl w:ilvl="7">
      <w:start w:val="1"/>
      <w:numFmt w:val="decimal"/>
      <w:lvlText w:val="%1.%2.%3.%4.%5.%6.%7.%8"/>
      <w:lvlJc w:val="left"/>
      <w:pPr>
        <w:ind w:left="447" w:hanging="1440"/>
      </w:pPr>
    </w:lvl>
    <w:lvl w:ilvl="8">
      <w:start w:val="1"/>
      <w:numFmt w:val="decimal"/>
      <w:lvlText w:val="%1.%2.%3.%4.%5.%6.%7.%8.%9"/>
      <w:lvlJc w:val="left"/>
      <w:pPr>
        <w:ind w:left="591" w:hanging="1584"/>
      </w:pPr>
    </w:lvl>
  </w:abstractNum>
  <w:abstractNum w:abstractNumId="51" w15:restartNumberingAfterBreak="0">
    <w:nsid w:val="5D0B4631"/>
    <w:multiLevelType w:val="hybridMultilevel"/>
    <w:tmpl w:val="2EC6D24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EF35DAB"/>
    <w:multiLevelType w:val="hybridMultilevel"/>
    <w:tmpl w:val="A3A8D150"/>
    <w:lvl w:ilvl="0" w:tplc="1842E4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F0E73FB"/>
    <w:multiLevelType w:val="hybridMultilevel"/>
    <w:tmpl w:val="1390C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0211D5A"/>
    <w:multiLevelType w:val="hybridMultilevel"/>
    <w:tmpl w:val="D87CD056"/>
    <w:lvl w:ilvl="0" w:tplc="FA4CC074">
      <w:start w:val="1"/>
      <w:numFmt w:val="bullet"/>
      <w:pStyle w:val="01Trianglebullets"/>
      <w:lvlText w:val=""/>
      <w:lvlJc w:val="left"/>
      <w:pPr>
        <w:ind w:left="1003" w:hanging="360"/>
      </w:pPr>
      <w:rPr>
        <w:rFonts w:ascii="Wingdings" w:hAnsi="Wingdings" w:hint="default"/>
      </w:rPr>
    </w:lvl>
    <w:lvl w:ilvl="1" w:tplc="0C090003">
      <w:start w:val="1"/>
      <w:numFmt w:val="bullet"/>
      <w:lvlText w:val="o"/>
      <w:lvlJc w:val="left"/>
      <w:pPr>
        <w:ind w:left="1723" w:hanging="360"/>
      </w:pPr>
      <w:rPr>
        <w:rFonts w:ascii="Courier New" w:hAnsi="Courier New" w:cs="Courier New" w:hint="default"/>
      </w:rPr>
    </w:lvl>
    <w:lvl w:ilvl="2" w:tplc="0C090005">
      <w:start w:val="1"/>
      <w:numFmt w:val="bullet"/>
      <w:lvlText w:val=""/>
      <w:lvlJc w:val="left"/>
      <w:pPr>
        <w:ind w:left="2443" w:hanging="360"/>
      </w:pPr>
      <w:rPr>
        <w:rFonts w:ascii="Wingdings" w:hAnsi="Wingdings" w:hint="default"/>
      </w:rPr>
    </w:lvl>
    <w:lvl w:ilvl="3" w:tplc="0C090001">
      <w:start w:val="1"/>
      <w:numFmt w:val="bullet"/>
      <w:lvlText w:val=""/>
      <w:lvlJc w:val="left"/>
      <w:pPr>
        <w:ind w:left="3163" w:hanging="360"/>
      </w:pPr>
      <w:rPr>
        <w:rFonts w:ascii="Symbol" w:hAnsi="Symbol" w:hint="default"/>
      </w:rPr>
    </w:lvl>
    <w:lvl w:ilvl="4" w:tplc="0C090003">
      <w:start w:val="1"/>
      <w:numFmt w:val="bullet"/>
      <w:lvlText w:val="o"/>
      <w:lvlJc w:val="left"/>
      <w:pPr>
        <w:ind w:left="3883" w:hanging="360"/>
      </w:pPr>
      <w:rPr>
        <w:rFonts w:ascii="Courier New" w:hAnsi="Courier New" w:cs="Courier New" w:hint="default"/>
      </w:rPr>
    </w:lvl>
    <w:lvl w:ilvl="5" w:tplc="0C090005">
      <w:start w:val="1"/>
      <w:numFmt w:val="bullet"/>
      <w:lvlText w:val=""/>
      <w:lvlJc w:val="left"/>
      <w:pPr>
        <w:ind w:left="4603" w:hanging="360"/>
      </w:pPr>
      <w:rPr>
        <w:rFonts w:ascii="Wingdings" w:hAnsi="Wingdings" w:hint="default"/>
      </w:rPr>
    </w:lvl>
    <w:lvl w:ilvl="6" w:tplc="0C090001">
      <w:start w:val="1"/>
      <w:numFmt w:val="bullet"/>
      <w:lvlText w:val=""/>
      <w:lvlJc w:val="left"/>
      <w:pPr>
        <w:ind w:left="5323" w:hanging="360"/>
      </w:pPr>
      <w:rPr>
        <w:rFonts w:ascii="Symbol" w:hAnsi="Symbol" w:hint="default"/>
      </w:rPr>
    </w:lvl>
    <w:lvl w:ilvl="7" w:tplc="0C090003">
      <w:start w:val="1"/>
      <w:numFmt w:val="bullet"/>
      <w:lvlText w:val="o"/>
      <w:lvlJc w:val="left"/>
      <w:pPr>
        <w:ind w:left="6043" w:hanging="360"/>
      </w:pPr>
      <w:rPr>
        <w:rFonts w:ascii="Courier New" w:hAnsi="Courier New" w:cs="Courier New" w:hint="default"/>
      </w:rPr>
    </w:lvl>
    <w:lvl w:ilvl="8" w:tplc="0C090005">
      <w:start w:val="1"/>
      <w:numFmt w:val="bullet"/>
      <w:lvlText w:val=""/>
      <w:lvlJc w:val="left"/>
      <w:pPr>
        <w:ind w:left="6763" w:hanging="360"/>
      </w:pPr>
      <w:rPr>
        <w:rFonts w:ascii="Wingdings" w:hAnsi="Wingdings" w:hint="default"/>
      </w:rPr>
    </w:lvl>
  </w:abstractNum>
  <w:abstractNum w:abstractNumId="55" w15:restartNumberingAfterBreak="0">
    <w:nsid w:val="618A352A"/>
    <w:multiLevelType w:val="multilevel"/>
    <w:tmpl w:val="CDEC5C2E"/>
    <w:lvl w:ilvl="0">
      <w:start w:val="1"/>
      <w:numFmt w:val="decimal"/>
      <w:lvlText w:val="%1."/>
      <w:lvlJc w:val="left"/>
      <w:pPr>
        <w:ind w:left="720" w:hanging="360"/>
      </w:pPr>
      <w:rPr>
        <w:rFonts w:asciiTheme="majorHAnsi" w:hAnsiTheme="majorHAnsi" w:hint="default"/>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20533A6"/>
    <w:multiLevelType w:val="multilevel"/>
    <w:tmpl w:val="43A0D400"/>
    <w:lvl w:ilvl="0">
      <w:start w:val="1"/>
      <w:numFmt w:val="decimal"/>
      <w:lvlText w:val="%1."/>
      <w:lvlJc w:val="left"/>
      <w:pPr>
        <w:ind w:left="431" w:hanging="431"/>
      </w:pPr>
      <w:rPr>
        <w:b w:val="0"/>
        <w:i w:val="0"/>
        <w:smallCaps w:val="0"/>
        <w:strike w:val="0"/>
        <w:color w:val="01653F"/>
        <w:sz w:val="22"/>
        <w:szCs w:val="22"/>
        <w:u w:val="none"/>
        <w:vertAlign w:val="baseline"/>
      </w:rPr>
    </w:lvl>
    <w:lvl w:ilvl="1">
      <w:start w:val="1"/>
      <w:numFmt w:val="bullet"/>
      <w:lvlText w:val="●"/>
      <w:lvlJc w:val="left"/>
      <w:pPr>
        <w:ind w:left="1800" w:hanging="72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Calibri" w:eastAsia="Calibri" w:hAnsi="Calibri" w:cs="Calibri"/>
        <w:b/>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2645C18"/>
    <w:multiLevelType w:val="multilevel"/>
    <w:tmpl w:val="976CA9F8"/>
    <w:lvl w:ilvl="0">
      <w:start w:val="1"/>
      <w:numFmt w:val="lowerLetter"/>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58" w15:restartNumberingAfterBreak="0">
    <w:nsid w:val="62F04D83"/>
    <w:multiLevelType w:val="multilevel"/>
    <w:tmpl w:val="C972C88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4F00D97"/>
    <w:multiLevelType w:val="multilevel"/>
    <w:tmpl w:val="1478B7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5D31E0F"/>
    <w:multiLevelType w:val="multilevel"/>
    <w:tmpl w:val="BC30F658"/>
    <w:lvl w:ilvl="0">
      <w:start w:val="1"/>
      <w:numFmt w:val="bullet"/>
      <w:lvlText w:val="o"/>
      <w:lvlJc w:val="left"/>
      <w:pPr>
        <w:ind w:left="1077" w:hanging="360"/>
      </w:pPr>
      <w:rPr>
        <w:rFonts w:ascii="Courier New" w:eastAsia="Courier New" w:hAnsi="Courier New" w:cs="Courier New"/>
        <w:color w:val="000000"/>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61" w15:restartNumberingAfterBreak="0">
    <w:nsid w:val="661F6F6A"/>
    <w:multiLevelType w:val="multilevel"/>
    <w:tmpl w:val="070EEC3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66C27967"/>
    <w:multiLevelType w:val="hybridMultilevel"/>
    <w:tmpl w:val="90D6E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9CB675D"/>
    <w:multiLevelType w:val="multilevel"/>
    <w:tmpl w:val="2D882E2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4" w15:restartNumberingAfterBreak="0">
    <w:nsid w:val="69D01445"/>
    <w:multiLevelType w:val="multilevel"/>
    <w:tmpl w:val="8C785D90"/>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5" w15:restartNumberingAfterBreak="0">
    <w:nsid w:val="6F247F4F"/>
    <w:multiLevelType w:val="multilevel"/>
    <w:tmpl w:val="114E59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70930768"/>
    <w:multiLevelType w:val="multilevel"/>
    <w:tmpl w:val="A0EAD7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73721D49"/>
    <w:multiLevelType w:val="hybridMultilevel"/>
    <w:tmpl w:val="8466D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39A352B"/>
    <w:multiLevelType w:val="hybridMultilevel"/>
    <w:tmpl w:val="347CD05A"/>
    <w:lvl w:ilvl="0" w:tplc="49942CC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4EA0E94"/>
    <w:multiLevelType w:val="multilevel"/>
    <w:tmpl w:val="0B5AF9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8BD2EF0"/>
    <w:multiLevelType w:val="hybridMultilevel"/>
    <w:tmpl w:val="F56025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946401E"/>
    <w:multiLevelType w:val="multilevel"/>
    <w:tmpl w:val="F95AB5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9E465D9"/>
    <w:multiLevelType w:val="multilevel"/>
    <w:tmpl w:val="FE86E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F077C3D"/>
    <w:multiLevelType w:val="multilevel"/>
    <w:tmpl w:val="FD206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FD97981"/>
    <w:multiLevelType w:val="hybridMultilevel"/>
    <w:tmpl w:val="5D3A0C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72"/>
  </w:num>
  <w:num w:numId="3">
    <w:abstractNumId w:val="22"/>
  </w:num>
  <w:num w:numId="4">
    <w:abstractNumId w:val="43"/>
  </w:num>
  <w:num w:numId="5">
    <w:abstractNumId w:val="34"/>
  </w:num>
  <w:num w:numId="6">
    <w:abstractNumId w:val="59"/>
  </w:num>
  <w:num w:numId="7">
    <w:abstractNumId w:val="28"/>
  </w:num>
  <w:num w:numId="8">
    <w:abstractNumId w:val="73"/>
  </w:num>
  <w:num w:numId="9">
    <w:abstractNumId w:val="20"/>
  </w:num>
  <w:num w:numId="10">
    <w:abstractNumId w:val="19"/>
  </w:num>
  <w:num w:numId="11">
    <w:abstractNumId w:val="8"/>
  </w:num>
  <w:num w:numId="12">
    <w:abstractNumId w:val="50"/>
  </w:num>
  <w:num w:numId="13">
    <w:abstractNumId w:val="61"/>
  </w:num>
  <w:num w:numId="14">
    <w:abstractNumId w:val="41"/>
  </w:num>
  <w:num w:numId="15">
    <w:abstractNumId w:val="71"/>
  </w:num>
  <w:num w:numId="16">
    <w:abstractNumId w:val="17"/>
  </w:num>
  <w:num w:numId="17">
    <w:abstractNumId w:val="69"/>
  </w:num>
  <w:num w:numId="18">
    <w:abstractNumId w:val="10"/>
  </w:num>
  <w:num w:numId="19">
    <w:abstractNumId w:val="60"/>
  </w:num>
  <w:num w:numId="20">
    <w:abstractNumId w:val="26"/>
  </w:num>
  <w:num w:numId="21">
    <w:abstractNumId w:val="3"/>
  </w:num>
  <w:num w:numId="22">
    <w:abstractNumId w:val="57"/>
  </w:num>
  <w:num w:numId="23">
    <w:abstractNumId w:val="24"/>
  </w:num>
  <w:num w:numId="24">
    <w:abstractNumId w:val="5"/>
  </w:num>
  <w:num w:numId="25">
    <w:abstractNumId w:val="4"/>
  </w:num>
  <w:num w:numId="26">
    <w:abstractNumId w:val="11"/>
  </w:num>
  <w:num w:numId="27">
    <w:abstractNumId w:val="21"/>
  </w:num>
  <w:num w:numId="28">
    <w:abstractNumId w:val="33"/>
  </w:num>
  <w:num w:numId="29">
    <w:abstractNumId w:val="15"/>
  </w:num>
  <w:num w:numId="30">
    <w:abstractNumId w:val="12"/>
  </w:num>
  <w:num w:numId="31">
    <w:abstractNumId w:val="13"/>
  </w:num>
  <w:num w:numId="32">
    <w:abstractNumId w:val="63"/>
  </w:num>
  <w:num w:numId="33">
    <w:abstractNumId w:val="30"/>
  </w:num>
  <w:num w:numId="34">
    <w:abstractNumId w:val="2"/>
  </w:num>
  <w:num w:numId="35">
    <w:abstractNumId w:val="38"/>
  </w:num>
  <w:num w:numId="36">
    <w:abstractNumId w:val="25"/>
  </w:num>
  <w:num w:numId="37">
    <w:abstractNumId w:val="36"/>
  </w:num>
  <w:num w:numId="38">
    <w:abstractNumId w:val="48"/>
  </w:num>
  <w:num w:numId="39">
    <w:abstractNumId w:val="56"/>
  </w:num>
  <w:num w:numId="40">
    <w:abstractNumId w:val="40"/>
  </w:num>
  <w:num w:numId="41">
    <w:abstractNumId w:val="64"/>
  </w:num>
  <w:num w:numId="42">
    <w:abstractNumId w:val="49"/>
  </w:num>
  <w:num w:numId="43">
    <w:abstractNumId w:val="23"/>
  </w:num>
  <w:num w:numId="44">
    <w:abstractNumId w:val="7"/>
  </w:num>
  <w:num w:numId="45">
    <w:abstractNumId w:val="58"/>
  </w:num>
  <w:num w:numId="46">
    <w:abstractNumId w:val="52"/>
  </w:num>
  <w:num w:numId="47">
    <w:abstractNumId w:val="55"/>
  </w:num>
  <w:num w:numId="48">
    <w:abstractNumId w:val="0"/>
  </w:num>
  <w:num w:numId="49">
    <w:abstractNumId w:val="39"/>
  </w:num>
  <w:num w:numId="50">
    <w:abstractNumId w:val="1"/>
  </w:num>
  <w:num w:numId="51">
    <w:abstractNumId w:val="54"/>
  </w:num>
  <w:num w:numId="52">
    <w:abstractNumId w:val="44"/>
  </w:num>
  <w:num w:numId="53">
    <w:abstractNumId w:val="16"/>
  </w:num>
  <w:num w:numId="54">
    <w:abstractNumId w:val="37"/>
  </w:num>
  <w:num w:numId="55">
    <w:abstractNumId w:val="29"/>
  </w:num>
  <w:num w:numId="56">
    <w:abstractNumId w:val="9"/>
  </w:num>
  <w:num w:numId="57">
    <w:abstractNumId w:val="39"/>
  </w:num>
  <w:num w:numId="58">
    <w:abstractNumId w:val="66"/>
  </w:num>
  <w:num w:numId="59">
    <w:abstractNumId w:val="39"/>
  </w:num>
  <w:num w:numId="60">
    <w:abstractNumId w:val="1"/>
  </w:num>
  <w:num w:numId="61">
    <w:abstractNumId w:val="68"/>
  </w:num>
  <w:num w:numId="62">
    <w:abstractNumId w:val="6"/>
  </w:num>
  <w:num w:numId="63">
    <w:abstractNumId w:val="32"/>
  </w:num>
  <w:num w:numId="64">
    <w:abstractNumId w:val="45"/>
  </w:num>
  <w:num w:numId="65">
    <w:abstractNumId w:val="47"/>
  </w:num>
  <w:num w:numId="66">
    <w:abstractNumId w:val="74"/>
  </w:num>
  <w:num w:numId="67">
    <w:abstractNumId w:val="46"/>
  </w:num>
  <w:num w:numId="68">
    <w:abstractNumId w:val="35"/>
  </w:num>
  <w:num w:numId="69">
    <w:abstractNumId w:val="70"/>
  </w:num>
  <w:num w:numId="70">
    <w:abstractNumId w:val="18"/>
  </w:num>
  <w:num w:numId="71">
    <w:abstractNumId w:val="42"/>
  </w:num>
  <w:num w:numId="72">
    <w:abstractNumId w:val="51"/>
  </w:num>
  <w:num w:numId="73">
    <w:abstractNumId w:val="53"/>
  </w:num>
  <w:num w:numId="74">
    <w:abstractNumId w:val="67"/>
  </w:num>
  <w:num w:numId="75">
    <w:abstractNumId w:val="31"/>
  </w:num>
  <w:num w:numId="76">
    <w:abstractNumId w:val="62"/>
  </w:num>
  <w:num w:numId="77">
    <w:abstractNumId w:val="65"/>
  </w:num>
  <w:num w:numId="78">
    <w:abstractNumId w:val="2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440"/>
    <w:rsid w:val="00000E01"/>
    <w:rsid w:val="00003AE5"/>
    <w:rsid w:val="00004598"/>
    <w:rsid w:val="00005AE6"/>
    <w:rsid w:val="000078EC"/>
    <w:rsid w:val="00011410"/>
    <w:rsid w:val="000152B3"/>
    <w:rsid w:val="0001601C"/>
    <w:rsid w:val="000172D5"/>
    <w:rsid w:val="00022E6F"/>
    <w:rsid w:val="0002737A"/>
    <w:rsid w:val="00027712"/>
    <w:rsid w:val="00027DE5"/>
    <w:rsid w:val="000319D9"/>
    <w:rsid w:val="000325E6"/>
    <w:rsid w:val="00032AB8"/>
    <w:rsid w:val="0003627D"/>
    <w:rsid w:val="00040A86"/>
    <w:rsid w:val="000419C8"/>
    <w:rsid w:val="000423E3"/>
    <w:rsid w:val="00045F57"/>
    <w:rsid w:val="00045FDC"/>
    <w:rsid w:val="00046695"/>
    <w:rsid w:val="0005274F"/>
    <w:rsid w:val="00056F6C"/>
    <w:rsid w:val="00062B61"/>
    <w:rsid w:val="00064C91"/>
    <w:rsid w:val="00065C8D"/>
    <w:rsid w:val="00066CE6"/>
    <w:rsid w:val="00067639"/>
    <w:rsid w:val="00076676"/>
    <w:rsid w:val="000776F7"/>
    <w:rsid w:val="00082CD6"/>
    <w:rsid w:val="00085C41"/>
    <w:rsid w:val="0008665F"/>
    <w:rsid w:val="00087283"/>
    <w:rsid w:val="0009079F"/>
    <w:rsid w:val="00092FA2"/>
    <w:rsid w:val="00094B2B"/>
    <w:rsid w:val="0009578A"/>
    <w:rsid w:val="000959AE"/>
    <w:rsid w:val="00096B6E"/>
    <w:rsid w:val="00096EAE"/>
    <w:rsid w:val="000A4BB1"/>
    <w:rsid w:val="000B010E"/>
    <w:rsid w:val="000B4843"/>
    <w:rsid w:val="000B4E39"/>
    <w:rsid w:val="000B5F80"/>
    <w:rsid w:val="000B638B"/>
    <w:rsid w:val="000B663A"/>
    <w:rsid w:val="000B6813"/>
    <w:rsid w:val="000C06A1"/>
    <w:rsid w:val="000C18AA"/>
    <w:rsid w:val="000D4FC7"/>
    <w:rsid w:val="000E2172"/>
    <w:rsid w:val="000E2A51"/>
    <w:rsid w:val="000E357F"/>
    <w:rsid w:val="000E3CB1"/>
    <w:rsid w:val="000E473E"/>
    <w:rsid w:val="000E6A8E"/>
    <w:rsid w:val="000F0582"/>
    <w:rsid w:val="000F155F"/>
    <w:rsid w:val="000F2159"/>
    <w:rsid w:val="000F2E65"/>
    <w:rsid w:val="000F3F61"/>
    <w:rsid w:val="000F735F"/>
    <w:rsid w:val="000F7E9B"/>
    <w:rsid w:val="001005BA"/>
    <w:rsid w:val="0010156D"/>
    <w:rsid w:val="0010174F"/>
    <w:rsid w:val="00101769"/>
    <w:rsid w:val="00101D78"/>
    <w:rsid w:val="00107F28"/>
    <w:rsid w:val="00113CA2"/>
    <w:rsid w:val="001151BC"/>
    <w:rsid w:val="00116AC3"/>
    <w:rsid w:val="00124B8C"/>
    <w:rsid w:val="001317AB"/>
    <w:rsid w:val="00132469"/>
    <w:rsid w:val="001326E2"/>
    <w:rsid w:val="00133D69"/>
    <w:rsid w:val="001377C3"/>
    <w:rsid w:val="00137C25"/>
    <w:rsid w:val="00141818"/>
    <w:rsid w:val="00147901"/>
    <w:rsid w:val="00147D0F"/>
    <w:rsid w:val="00150111"/>
    <w:rsid w:val="00150AA1"/>
    <w:rsid w:val="00154761"/>
    <w:rsid w:val="001548C2"/>
    <w:rsid w:val="0015493A"/>
    <w:rsid w:val="00155557"/>
    <w:rsid w:val="00155B26"/>
    <w:rsid w:val="00162CE3"/>
    <w:rsid w:val="00163919"/>
    <w:rsid w:val="00165E5B"/>
    <w:rsid w:val="00166927"/>
    <w:rsid w:val="00171DB7"/>
    <w:rsid w:val="00173BEA"/>
    <w:rsid w:val="00173E11"/>
    <w:rsid w:val="001759EA"/>
    <w:rsid w:val="001769F5"/>
    <w:rsid w:val="0017709C"/>
    <w:rsid w:val="0017757C"/>
    <w:rsid w:val="0018240E"/>
    <w:rsid w:val="00182D90"/>
    <w:rsid w:val="00186887"/>
    <w:rsid w:val="00187A8B"/>
    <w:rsid w:val="0019159C"/>
    <w:rsid w:val="00191B04"/>
    <w:rsid w:val="00195AF9"/>
    <w:rsid w:val="001A1D42"/>
    <w:rsid w:val="001A2EF0"/>
    <w:rsid w:val="001A3B84"/>
    <w:rsid w:val="001A4883"/>
    <w:rsid w:val="001A5F0D"/>
    <w:rsid w:val="001A740B"/>
    <w:rsid w:val="001A7515"/>
    <w:rsid w:val="001B7072"/>
    <w:rsid w:val="001C2111"/>
    <w:rsid w:val="001C36A5"/>
    <w:rsid w:val="001C4F2D"/>
    <w:rsid w:val="001D236F"/>
    <w:rsid w:val="001D4AFA"/>
    <w:rsid w:val="001D5095"/>
    <w:rsid w:val="001E08BB"/>
    <w:rsid w:val="001E16FE"/>
    <w:rsid w:val="001E28EE"/>
    <w:rsid w:val="001E4465"/>
    <w:rsid w:val="001E501D"/>
    <w:rsid w:val="001E571D"/>
    <w:rsid w:val="001F19AB"/>
    <w:rsid w:val="001F21BB"/>
    <w:rsid w:val="001F45B3"/>
    <w:rsid w:val="002000E8"/>
    <w:rsid w:val="00200F7B"/>
    <w:rsid w:val="00205574"/>
    <w:rsid w:val="002112D8"/>
    <w:rsid w:val="00213106"/>
    <w:rsid w:val="00214A16"/>
    <w:rsid w:val="00220027"/>
    <w:rsid w:val="0022020B"/>
    <w:rsid w:val="00221A1C"/>
    <w:rsid w:val="002226E5"/>
    <w:rsid w:val="00222711"/>
    <w:rsid w:val="00226113"/>
    <w:rsid w:val="00226572"/>
    <w:rsid w:val="00226DFB"/>
    <w:rsid w:val="0023792A"/>
    <w:rsid w:val="002445DA"/>
    <w:rsid w:val="00244C45"/>
    <w:rsid w:val="0024630B"/>
    <w:rsid w:val="00246622"/>
    <w:rsid w:val="002474B9"/>
    <w:rsid w:val="00247BEB"/>
    <w:rsid w:val="002507B6"/>
    <w:rsid w:val="002564E4"/>
    <w:rsid w:val="00262203"/>
    <w:rsid w:val="002623A3"/>
    <w:rsid w:val="00264491"/>
    <w:rsid w:val="00265923"/>
    <w:rsid w:val="00265A4F"/>
    <w:rsid w:val="00265F70"/>
    <w:rsid w:val="002668FC"/>
    <w:rsid w:val="0027012D"/>
    <w:rsid w:val="0027037E"/>
    <w:rsid w:val="002718B6"/>
    <w:rsid w:val="00272C50"/>
    <w:rsid w:val="00274AA9"/>
    <w:rsid w:val="00275AD7"/>
    <w:rsid w:val="00276AAC"/>
    <w:rsid w:val="00280295"/>
    <w:rsid w:val="002802DF"/>
    <w:rsid w:val="00281A09"/>
    <w:rsid w:val="002830DB"/>
    <w:rsid w:val="002831B0"/>
    <w:rsid w:val="0029136A"/>
    <w:rsid w:val="0029354E"/>
    <w:rsid w:val="00293618"/>
    <w:rsid w:val="002951AE"/>
    <w:rsid w:val="002A1E24"/>
    <w:rsid w:val="002A2F05"/>
    <w:rsid w:val="002A4636"/>
    <w:rsid w:val="002A5AB8"/>
    <w:rsid w:val="002A5B4B"/>
    <w:rsid w:val="002A69ED"/>
    <w:rsid w:val="002B06AB"/>
    <w:rsid w:val="002B17F5"/>
    <w:rsid w:val="002B2443"/>
    <w:rsid w:val="002B4EB9"/>
    <w:rsid w:val="002B549D"/>
    <w:rsid w:val="002B65FD"/>
    <w:rsid w:val="002C02DA"/>
    <w:rsid w:val="002C2776"/>
    <w:rsid w:val="002C282B"/>
    <w:rsid w:val="002C3194"/>
    <w:rsid w:val="002C7284"/>
    <w:rsid w:val="002C7835"/>
    <w:rsid w:val="002D1D16"/>
    <w:rsid w:val="002D5E28"/>
    <w:rsid w:val="002D61C0"/>
    <w:rsid w:val="002D7F53"/>
    <w:rsid w:val="002E0129"/>
    <w:rsid w:val="002E103D"/>
    <w:rsid w:val="002E11A4"/>
    <w:rsid w:val="002E138D"/>
    <w:rsid w:val="002E5891"/>
    <w:rsid w:val="002F2938"/>
    <w:rsid w:val="002F30A1"/>
    <w:rsid w:val="002F3C87"/>
    <w:rsid w:val="002F642C"/>
    <w:rsid w:val="00300F2C"/>
    <w:rsid w:val="0030242A"/>
    <w:rsid w:val="00302F46"/>
    <w:rsid w:val="003035C3"/>
    <w:rsid w:val="00303A8B"/>
    <w:rsid w:val="00307A58"/>
    <w:rsid w:val="0031134A"/>
    <w:rsid w:val="0031157E"/>
    <w:rsid w:val="00311AE7"/>
    <w:rsid w:val="00312316"/>
    <w:rsid w:val="00312E4E"/>
    <w:rsid w:val="0031790C"/>
    <w:rsid w:val="00322766"/>
    <w:rsid w:val="00323DBC"/>
    <w:rsid w:val="00324C87"/>
    <w:rsid w:val="00325D4B"/>
    <w:rsid w:val="00336976"/>
    <w:rsid w:val="0033739A"/>
    <w:rsid w:val="00341E21"/>
    <w:rsid w:val="00342622"/>
    <w:rsid w:val="0034278F"/>
    <w:rsid w:val="003451D4"/>
    <w:rsid w:val="00350CB7"/>
    <w:rsid w:val="00352176"/>
    <w:rsid w:val="00352A6C"/>
    <w:rsid w:val="0035589A"/>
    <w:rsid w:val="00355C26"/>
    <w:rsid w:val="00357751"/>
    <w:rsid w:val="00357D81"/>
    <w:rsid w:val="00361246"/>
    <w:rsid w:val="00364E41"/>
    <w:rsid w:val="00367897"/>
    <w:rsid w:val="0037048B"/>
    <w:rsid w:val="00372283"/>
    <w:rsid w:val="00372335"/>
    <w:rsid w:val="00375FB8"/>
    <w:rsid w:val="003805AC"/>
    <w:rsid w:val="0038081D"/>
    <w:rsid w:val="003808D9"/>
    <w:rsid w:val="00380AD8"/>
    <w:rsid w:val="00381CBB"/>
    <w:rsid w:val="00386893"/>
    <w:rsid w:val="003871E4"/>
    <w:rsid w:val="00391D4A"/>
    <w:rsid w:val="00392AFB"/>
    <w:rsid w:val="00392C29"/>
    <w:rsid w:val="00392CD2"/>
    <w:rsid w:val="00392F28"/>
    <w:rsid w:val="00393FCF"/>
    <w:rsid w:val="003A150C"/>
    <w:rsid w:val="003A405D"/>
    <w:rsid w:val="003A7113"/>
    <w:rsid w:val="003B2020"/>
    <w:rsid w:val="003B2214"/>
    <w:rsid w:val="003B2477"/>
    <w:rsid w:val="003C1989"/>
    <w:rsid w:val="003C4146"/>
    <w:rsid w:val="003C4376"/>
    <w:rsid w:val="003C4B07"/>
    <w:rsid w:val="003C55D3"/>
    <w:rsid w:val="003C65A4"/>
    <w:rsid w:val="003C789F"/>
    <w:rsid w:val="003D0CC4"/>
    <w:rsid w:val="003D187A"/>
    <w:rsid w:val="003D2CD5"/>
    <w:rsid w:val="003D54C9"/>
    <w:rsid w:val="003D7D67"/>
    <w:rsid w:val="003E279A"/>
    <w:rsid w:val="003E4BFA"/>
    <w:rsid w:val="003E5EC4"/>
    <w:rsid w:val="003E60CC"/>
    <w:rsid w:val="003E706B"/>
    <w:rsid w:val="003E760A"/>
    <w:rsid w:val="003F3821"/>
    <w:rsid w:val="003F4BBE"/>
    <w:rsid w:val="003F4CE1"/>
    <w:rsid w:val="003F54C6"/>
    <w:rsid w:val="003F7798"/>
    <w:rsid w:val="00404776"/>
    <w:rsid w:val="00404834"/>
    <w:rsid w:val="0041028E"/>
    <w:rsid w:val="00412787"/>
    <w:rsid w:val="004154EA"/>
    <w:rsid w:val="00416394"/>
    <w:rsid w:val="004221E5"/>
    <w:rsid w:val="00425616"/>
    <w:rsid w:val="00426F44"/>
    <w:rsid w:val="00440F60"/>
    <w:rsid w:val="00442079"/>
    <w:rsid w:val="00442F02"/>
    <w:rsid w:val="004466AC"/>
    <w:rsid w:val="00446D03"/>
    <w:rsid w:val="00450596"/>
    <w:rsid w:val="00450849"/>
    <w:rsid w:val="00451692"/>
    <w:rsid w:val="00452EDB"/>
    <w:rsid w:val="0045410C"/>
    <w:rsid w:val="00460C4F"/>
    <w:rsid w:val="00461147"/>
    <w:rsid w:val="00463F08"/>
    <w:rsid w:val="0046449C"/>
    <w:rsid w:val="0046496F"/>
    <w:rsid w:val="00465DA1"/>
    <w:rsid w:val="00471781"/>
    <w:rsid w:val="00475E2D"/>
    <w:rsid w:val="00477798"/>
    <w:rsid w:val="00477960"/>
    <w:rsid w:val="00477C78"/>
    <w:rsid w:val="00480676"/>
    <w:rsid w:val="004817BF"/>
    <w:rsid w:val="00482D43"/>
    <w:rsid w:val="00485DED"/>
    <w:rsid w:val="0048628A"/>
    <w:rsid w:val="00486E11"/>
    <w:rsid w:val="00487347"/>
    <w:rsid w:val="00490F1A"/>
    <w:rsid w:val="00495007"/>
    <w:rsid w:val="004A312E"/>
    <w:rsid w:val="004A471A"/>
    <w:rsid w:val="004A606D"/>
    <w:rsid w:val="004B0FD2"/>
    <w:rsid w:val="004B1DF4"/>
    <w:rsid w:val="004B3604"/>
    <w:rsid w:val="004C17D1"/>
    <w:rsid w:val="004C4F5B"/>
    <w:rsid w:val="004C75E0"/>
    <w:rsid w:val="004D0F30"/>
    <w:rsid w:val="004D1B7E"/>
    <w:rsid w:val="004D1E83"/>
    <w:rsid w:val="004D3357"/>
    <w:rsid w:val="004D5DFA"/>
    <w:rsid w:val="004D7B25"/>
    <w:rsid w:val="004D7CAB"/>
    <w:rsid w:val="004D7CE6"/>
    <w:rsid w:val="004E0D87"/>
    <w:rsid w:val="004E10C4"/>
    <w:rsid w:val="004E2A3D"/>
    <w:rsid w:val="004E4D12"/>
    <w:rsid w:val="004E4F83"/>
    <w:rsid w:val="004E55A8"/>
    <w:rsid w:val="004F1BA4"/>
    <w:rsid w:val="004F30E9"/>
    <w:rsid w:val="004F3ED5"/>
    <w:rsid w:val="004F61C0"/>
    <w:rsid w:val="00500AC7"/>
    <w:rsid w:val="005011C1"/>
    <w:rsid w:val="005015B6"/>
    <w:rsid w:val="00502CE9"/>
    <w:rsid w:val="0050709E"/>
    <w:rsid w:val="00507860"/>
    <w:rsid w:val="0051053F"/>
    <w:rsid w:val="00514A13"/>
    <w:rsid w:val="00515A48"/>
    <w:rsid w:val="005168F1"/>
    <w:rsid w:val="00517769"/>
    <w:rsid w:val="00521370"/>
    <w:rsid w:val="0052221D"/>
    <w:rsid w:val="005228C4"/>
    <w:rsid w:val="005276DE"/>
    <w:rsid w:val="0053093D"/>
    <w:rsid w:val="0053461D"/>
    <w:rsid w:val="00535D2D"/>
    <w:rsid w:val="005362A3"/>
    <w:rsid w:val="005376F1"/>
    <w:rsid w:val="00537A8F"/>
    <w:rsid w:val="00543909"/>
    <w:rsid w:val="00546346"/>
    <w:rsid w:val="005466E0"/>
    <w:rsid w:val="0054792E"/>
    <w:rsid w:val="0055135E"/>
    <w:rsid w:val="00551DE1"/>
    <w:rsid w:val="00552BC5"/>
    <w:rsid w:val="00555904"/>
    <w:rsid w:val="00560BC6"/>
    <w:rsid w:val="00562049"/>
    <w:rsid w:val="00562484"/>
    <w:rsid w:val="0056308D"/>
    <w:rsid w:val="005646C3"/>
    <w:rsid w:val="005725B9"/>
    <w:rsid w:val="00572D6C"/>
    <w:rsid w:val="00575AD5"/>
    <w:rsid w:val="00575DEE"/>
    <w:rsid w:val="00587914"/>
    <w:rsid w:val="00592088"/>
    <w:rsid w:val="005922F0"/>
    <w:rsid w:val="00592CB8"/>
    <w:rsid w:val="00595E48"/>
    <w:rsid w:val="005960F2"/>
    <w:rsid w:val="005A0BCA"/>
    <w:rsid w:val="005A0EE8"/>
    <w:rsid w:val="005A3D9C"/>
    <w:rsid w:val="005A6463"/>
    <w:rsid w:val="005B0AD5"/>
    <w:rsid w:val="005B32E1"/>
    <w:rsid w:val="005B7F34"/>
    <w:rsid w:val="005C32F2"/>
    <w:rsid w:val="005C40F9"/>
    <w:rsid w:val="005C6D96"/>
    <w:rsid w:val="005C7C2F"/>
    <w:rsid w:val="005D10EB"/>
    <w:rsid w:val="005D6276"/>
    <w:rsid w:val="005D64A7"/>
    <w:rsid w:val="005D673F"/>
    <w:rsid w:val="005D7E70"/>
    <w:rsid w:val="005E09BE"/>
    <w:rsid w:val="005E524C"/>
    <w:rsid w:val="005E5C15"/>
    <w:rsid w:val="005E682E"/>
    <w:rsid w:val="005F0010"/>
    <w:rsid w:val="005F03F9"/>
    <w:rsid w:val="005F2B22"/>
    <w:rsid w:val="005F4AC0"/>
    <w:rsid w:val="005F5758"/>
    <w:rsid w:val="005F75B6"/>
    <w:rsid w:val="005F77B4"/>
    <w:rsid w:val="00601013"/>
    <w:rsid w:val="00602456"/>
    <w:rsid w:val="00605A29"/>
    <w:rsid w:val="00605B4D"/>
    <w:rsid w:val="00611335"/>
    <w:rsid w:val="00612ADC"/>
    <w:rsid w:val="0061377F"/>
    <w:rsid w:val="00616A85"/>
    <w:rsid w:val="00616CCC"/>
    <w:rsid w:val="006174AC"/>
    <w:rsid w:val="00620CF9"/>
    <w:rsid w:val="00622626"/>
    <w:rsid w:val="00622B09"/>
    <w:rsid w:val="00624B1B"/>
    <w:rsid w:val="0062507D"/>
    <w:rsid w:val="006278AC"/>
    <w:rsid w:val="00631890"/>
    <w:rsid w:val="00636848"/>
    <w:rsid w:val="00637D50"/>
    <w:rsid w:val="00642879"/>
    <w:rsid w:val="00642B5F"/>
    <w:rsid w:val="00645C8B"/>
    <w:rsid w:val="00650621"/>
    <w:rsid w:val="00650DB1"/>
    <w:rsid w:val="00653825"/>
    <w:rsid w:val="00653BDB"/>
    <w:rsid w:val="00657DA4"/>
    <w:rsid w:val="00665CD9"/>
    <w:rsid w:val="00674F2F"/>
    <w:rsid w:val="00676132"/>
    <w:rsid w:val="006764AA"/>
    <w:rsid w:val="006764E1"/>
    <w:rsid w:val="00680CB8"/>
    <w:rsid w:val="00680D6E"/>
    <w:rsid w:val="00680F63"/>
    <w:rsid w:val="00681BB0"/>
    <w:rsid w:val="00682BDB"/>
    <w:rsid w:val="00684A1F"/>
    <w:rsid w:val="00691810"/>
    <w:rsid w:val="00693413"/>
    <w:rsid w:val="0069362D"/>
    <w:rsid w:val="00693CF4"/>
    <w:rsid w:val="006A1AD4"/>
    <w:rsid w:val="006A2188"/>
    <w:rsid w:val="006A6480"/>
    <w:rsid w:val="006A749E"/>
    <w:rsid w:val="006B0D75"/>
    <w:rsid w:val="006B3942"/>
    <w:rsid w:val="006C033C"/>
    <w:rsid w:val="006C0CBE"/>
    <w:rsid w:val="006C0E98"/>
    <w:rsid w:val="006C600D"/>
    <w:rsid w:val="006D1A28"/>
    <w:rsid w:val="006D2440"/>
    <w:rsid w:val="006D2A1B"/>
    <w:rsid w:val="006D3E44"/>
    <w:rsid w:val="006D4BD8"/>
    <w:rsid w:val="006D6ECF"/>
    <w:rsid w:val="006E2E77"/>
    <w:rsid w:val="006E33DC"/>
    <w:rsid w:val="006E452B"/>
    <w:rsid w:val="006E5BFA"/>
    <w:rsid w:val="006F14C0"/>
    <w:rsid w:val="006F26C0"/>
    <w:rsid w:val="006F5A14"/>
    <w:rsid w:val="006F6B23"/>
    <w:rsid w:val="00700A78"/>
    <w:rsid w:val="00703A50"/>
    <w:rsid w:val="00704E01"/>
    <w:rsid w:val="007060A9"/>
    <w:rsid w:val="007067FC"/>
    <w:rsid w:val="00710D41"/>
    <w:rsid w:val="00712B6F"/>
    <w:rsid w:val="0071415F"/>
    <w:rsid w:val="00714E04"/>
    <w:rsid w:val="00716DA7"/>
    <w:rsid w:val="007227D7"/>
    <w:rsid w:val="007236CE"/>
    <w:rsid w:val="00726D35"/>
    <w:rsid w:val="0073221C"/>
    <w:rsid w:val="00732802"/>
    <w:rsid w:val="00734407"/>
    <w:rsid w:val="007344A0"/>
    <w:rsid w:val="00736008"/>
    <w:rsid w:val="0074108C"/>
    <w:rsid w:val="00742D14"/>
    <w:rsid w:val="007433B9"/>
    <w:rsid w:val="007445C4"/>
    <w:rsid w:val="007520B8"/>
    <w:rsid w:val="00752386"/>
    <w:rsid w:val="0075523E"/>
    <w:rsid w:val="00755A79"/>
    <w:rsid w:val="0075745A"/>
    <w:rsid w:val="00757C7A"/>
    <w:rsid w:val="00757EBF"/>
    <w:rsid w:val="00762896"/>
    <w:rsid w:val="007642D6"/>
    <w:rsid w:val="00767E85"/>
    <w:rsid w:val="007726DE"/>
    <w:rsid w:val="007732DA"/>
    <w:rsid w:val="00773743"/>
    <w:rsid w:val="00782A83"/>
    <w:rsid w:val="007840B1"/>
    <w:rsid w:val="00785778"/>
    <w:rsid w:val="00785885"/>
    <w:rsid w:val="007947E8"/>
    <w:rsid w:val="00794CC5"/>
    <w:rsid w:val="007A0896"/>
    <w:rsid w:val="007A47A5"/>
    <w:rsid w:val="007A4E2F"/>
    <w:rsid w:val="007A65C6"/>
    <w:rsid w:val="007A7893"/>
    <w:rsid w:val="007B456B"/>
    <w:rsid w:val="007B4C2E"/>
    <w:rsid w:val="007B56A5"/>
    <w:rsid w:val="007B78E5"/>
    <w:rsid w:val="007C3184"/>
    <w:rsid w:val="007D1C95"/>
    <w:rsid w:val="007D3458"/>
    <w:rsid w:val="007D4C53"/>
    <w:rsid w:val="007D57F0"/>
    <w:rsid w:val="007E0353"/>
    <w:rsid w:val="007E0EF9"/>
    <w:rsid w:val="007F06DB"/>
    <w:rsid w:val="007F0F37"/>
    <w:rsid w:val="007F360A"/>
    <w:rsid w:val="007F79BF"/>
    <w:rsid w:val="00803213"/>
    <w:rsid w:val="00804384"/>
    <w:rsid w:val="00807D36"/>
    <w:rsid w:val="00810315"/>
    <w:rsid w:val="00810D89"/>
    <w:rsid w:val="0081278E"/>
    <w:rsid w:val="0081362C"/>
    <w:rsid w:val="008173F7"/>
    <w:rsid w:val="0082571B"/>
    <w:rsid w:val="00826020"/>
    <w:rsid w:val="008307A5"/>
    <w:rsid w:val="00836039"/>
    <w:rsid w:val="00836D6C"/>
    <w:rsid w:val="00840FA7"/>
    <w:rsid w:val="0084220B"/>
    <w:rsid w:val="008427E3"/>
    <w:rsid w:val="00842E1B"/>
    <w:rsid w:val="0084628F"/>
    <w:rsid w:val="00852624"/>
    <w:rsid w:val="00852C81"/>
    <w:rsid w:val="00855BDE"/>
    <w:rsid w:val="008577C9"/>
    <w:rsid w:val="008623B1"/>
    <w:rsid w:val="008623DF"/>
    <w:rsid w:val="00862AAD"/>
    <w:rsid w:val="008631BC"/>
    <w:rsid w:val="00863ED3"/>
    <w:rsid w:val="00870818"/>
    <w:rsid w:val="008743F9"/>
    <w:rsid w:val="00876727"/>
    <w:rsid w:val="00882465"/>
    <w:rsid w:val="00883332"/>
    <w:rsid w:val="00884008"/>
    <w:rsid w:val="008851E1"/>
    <w:rsid w:val="00886732"/>
    <w:rsid w:val="00890105"/>
    <w:rsid w:val="0089229D"/>
    <w:rsid w:val="00892E55"/>
    <w:rsid w:val="00893760"/>
    <w:rsid w:val="00896BCB"/>
    <w:rsid w:val="00897AD4"/>
    <w:rsid w:val="008A273F"/>
    <w:rsid w:val="008A553A"/>
    <w:rsid w:val="008A5954"/>
    <w:rsid w:val="008A65B5"/>
    <w:rsid w:val="008B3598"/>
    <w:rsid w:val="008B4AD0"/>
    <w:rsid w:val="008B6A8C"/>
    <w:rsid w:val="008C03AA"/>
    <w:rsid w:val="008C1C2A"/>
    <w:rsid w:val="008C2588"/>
    <w:rsid w:val="008C29AC"/>
    <w:rsid w:val="008C4E9D"/>
    <w:rsid w:val="008C78C0"/>
    <w:rsid w:val="008D0D46"/>
    <w:rsid w:val="008D3087"/>
    <w:rsid w:val="008D38FA"/>
    <w:rsid w:val="008D460E"/>
    <w:rsid w:val="008D684C"/>
    <w:rsid w:val="008E4291"/>
    <w:rsid w:val="008E5306"/>
    <w:rsid w:val="008E53D7"/>
    <w:rsid w:val="008E5B66"/>
    <w:rsid w:val="008E6716"/>
    <w:rsid w:val="008E6B65"/>
    <w:rsid w:val="008E7FF0"/>
    <w:rsid w:val="008F011D"/>
    <w:rsid w:val="008F20B1"/>
    <w:rsid w:val="008F301A"/>
    <w:rsid w:val="008F3FA0"/>
    <w:rsid w:val="008F62D0"/>
    <w:rsid w:val="008F689C"/>
    <w:rsid w:val="00902255"/>
    <w:rsid w:val="009029AE"/>
    <w:rsid w:val="00905E90"/>
    <w:rsid w:val="00906A0C"/>
    <w:rsid w:val="00913558"/>
    <w:rsid w:val="009135FA"/>
    <w:rsid w:val="00914A5D"/>
    <w:rsid w:val="00917176"/>
    <w:rsid w:val="00917415"/>
    <w:rsid w:val="00917EFA"/>
    <w:rsid w:val="00922DA3"/>
    <w:rsid w:val="00923E34"/>
    <w:rsid w:val="0092506E"/>
    <w:rsid w:val="00925CDB"/>
    <w:rsid w:val="0092654B"/>
    <w:rsid w:val="00930EA9"/>
    <w:rsid w:val="009327CC"/>
    <w:rsid w:val="009358A7"/>
    <w:rsid w:val="00944E3D"/>
    <w:rsid w:val="00947C0B"/>
    <w:rsid w:val="009508E7"/>
    <w:rsid w:val="00964EC3"/>
    <w:rsid w:val="0096594D"/>
    <w:rsid w:val="00966CF2"/>
    <w:rsid w:val="00967A6D"/>
    <w:rsid w:val="0097213C"/>
    <w:rsid w:val="0097286C"/>
    <w:rsid w:val="00972D52"/>
    <w:rsid w:val="00974B3E"/>
    <w:rsid w:val="00977608"/>
    <w:rsid w:val="00983FBC"/>
    <w:rsid w:val="00985E23"/>
    <w:rsid w:val="00987196"/>
    <w:rsid w:val="00992C89"/>
    <w:rsid w:val="009946B0"/>
    <w:rsid w:val="00996788"/>
    <w:rsid w:val="009969BC"/>
    <w:rsid w:val="00996A65"/>
    <w:rsid w:val="009B03AE"/>
    <w:rsid w:val="009B0C4D"/>
    <w:rsid w:val="009B5A41"/>
    <w:rsid w:val="009C1E13"/>
    <w:rsid w:val="009C28EC"/>
    <w:rsid w:val="009C35C3"/>
    <w:rsid w:val="009C6AB0"/>
    <w:rsid w:val="009D1464"/>
    <w:rsid w:val="009D2514"/>
    <w:rsid w:val="009E25B6"/>
    <w:rsid w:val="009E3EF7"/>
    <w:rsid w:val="009E5576"/>
    <w:rsid w:val="009E69A0"/>
    <w:rsid w:val="009F3758"/>
    <w:rsid w:val="009F4656"/>
    <w:rsid w:val="009F58E2"/>
    <w:rsid w:val="009F6938"/>
    <w:rsid w:val="009F6EA7"/>
    <w:rsid w:val="00A03D30"/>
    <w:rsid w:val="00A06804"/>
    <w:rsid w:val="00A07BAB"/>
    <w:rsid w:val="00A12683"/>
    <w:rsid w:val="00A12DFA"/>
    <w:rsid w:val="00A144F7"/>
    <w:rsid w:val="00A1545B"/>
    <w:rsid w:val="00A177E3"/>
    <w:rsid w:val="00A216AA"/>
    <w:rsid w:val="00A23C7D"/>
    <w:rsid w:val="00A24416"/>
    <w:rsid w:val="00A2457D"/>
    <w:rsid w:val="00A250F5"/>
    <w:rsid w:val="00A25906"/>
    <w:rsid w:val="00A30383"/>
    <w:rsid w:val="00A3189D"/>
    <w:rsid w:val="00A31DED"/>
    <w:rsid w:val="00A40173"/>
    <w:rsid w:val="00A419A1"/>
    <w:rsid w:val="00A41AF3"/>
    <w:rsid w:val="00A430FB"/>
    <w:rsid w:val="00A5163A"/>
    <w:rsid w:val="00A5222B"/>
    <w:rsid w:val="00A53C50"/>
    <w:rsid w:val="00A5506F"/>
    <w:rsid w:val="00A557F4"/>
    <w:rsid w:val="00A56295"/>
    <w:rsid w:val="00A5677F"/>
    <w:rsid w:val="00A5732A"/>
    <w:rsid w:val="00A60362"/>
    <w:rsid w:val="00A606B8"/>
    <w:rsid w:val="00A60C94"/>
    <w:rsid w:val="00A669D2"/>
    <w:rsid w:val="00A66D8F"/>
    <w:rsid w:val="00A670B2"/>
    <w:rsid w:val="00A77C06"/>
    <w:rsid w:val="00A80046"/>
    <w:rsid w:val="00A80E24"/>
    <w:rsid w:val="00A8711B"/>
    <w:rsid w:val="00A87E1A"/>
    <w:rsid w:val="00A91D48"/>
    <w:rsid w:val="00A9483E"/>
    <w:rsid w:val="00A9752C"/>
    <w:rsid w:val="00AA092D"/>
    <w:rsid w:val="00AA3252"/>
    <w:rsid w:val="00AA5D5B"/>
    <w:rsid w:val="00AA680F"/>
    <w:rsid w:val="00AA7184"/>
    <w:rsid w:val="00AB106C"/>
    <w:rsid w:val="00AB22B9"/>
    <w:rsid w:val="00AB283C"/>
    <w:rsid w:val="00AC45AB"/>
    <w:rsid w:val="00AC4A29"/>
    <w:rsid w:val="00AC552A"/>
    <w:rsid w:val="00AC5BDE"/>
    <w:rsid w:val="00AC6B09"/>
    <w:rsid w:val="00AD1429"/>
    <w:rsid w:val="00AD2B14"/>
    <w:rsid w:val="00AD30F6"/>
    <w:rsid w:val="00AE37A3"/>
    <w:rsid w:val="00AE7050"/>
    <w:rsid w:val="00AF0241"/>
    <w:rsid w:val="00AF1E47"/>
    <w:rsid w:val="00AF2B81"/>
    <w:rsid w:val="00AF3559"/>
    <w:rsid w:val="00AF4AE8"/>
    <w:rsid w:val="00AF5A3F"/>
    <w:rsid w:val="00B00EEE"/>
    <w:rsid w:val="00B025EE"/>
    <w:rsid w:val="00B0408F"/>
    <w:rsid w:val="00B066BD"/>
    <w:rsid w:val="00B06874"/>
    <w:rsid w:val="00B071A2"/>
    <w:rsid w:val="00B074D0"/>
    <w:rsid w:val="00B07D9A"/>
    <w:rsid w:val="00B11FC3"/>
    <w:rsid w:val="00B12E49"/>
    <w:rsid w:val="00B14E3F"/>
    <w:rsid w:val="00B15BE8"/>
    <w:rsid w:val="00B219DE"/>
    <w:rsid w:val="00B26DC6"/>
    <w:rsid w:val="00B310D2"/>
    <w:rsid w:val="00B31D3E"/>
    <w:rsid w:val="00B34C46"/>
    <w:rsid w:val="00B353FB"/>
    <w:rsid w:val="00B35BA1"/>
    <w:rsid w:val="00B418E8"/>
    <w:rsid w:val="00B41E05"/>
    <w:rsid w:val="00B44554"/>
    <w:rsid w:val="00B4516B"/>
    <w:rsid w:val="00B45684"/>
    <w:rsid w:val="00B477B6"/>
    <w:rsid w:val="00B50FA1"/>
    <w:rsid w:val="00B51B34"/>
    <w:rsid w:val="00B523FD"/>
    <w:rsid w:val="00B52ABB"/>
    <w:rsid w:val="00B52B82"/>
    <w:rsid w:val="00B536AB"/>
    <w:rsid w:val="00B611CE"/>
    <w:rsid w:val="00B623DE"/>
    <w:rsid w:val="00B627C5"/>
    <w:rsid w:val="00B64AEB"/>
    <w:rsid w:val="00B71B74"/>
    <w:rsid w:val="00B72DD9"/>
    <w:rsid w:val="00B77F33"/>
    <w:rsid w:val="00B8257F"/>
    <w:rsid w:val="00B82EBA"/>
    <w:rsid w:val="00B83F7F"/>
    <w:rsid w:val="00B86356"/>
    <w:rsid w:val="00B8745A"/>
    <w:rsid w:val="00B91161"/>
    <w:rsid w:val="00B9235A"/>
    <w:rsid w:val="00B934CA"/>
    <w:rsid w:val="00B94060"/>
    <w:rsid w:val="00B97823"/>
    <w:rsid w:val="00BA20E6"/>
    <w:rsid w:val="00BA2337"/>
    <w:rsid w:val="00BA5307"/>
    <w:rsid w:val="00BA5523"/>
    <w:rsid w:val="00BB10AD"/>
    <w:rsid w:val="00BB21E9"/>
    <w:rsid w:val="00BB243F"/>
    <w:rsid w:val="00BB4C39"/>
    <w:rsid w:val="00BB5441"/>
    <w:rsid w:val="00BC01EE"/>
    <w:rsid w:val="00BC40AA"/>
    <w:rsid w:val="00BD3A97"/>
    <w:rsid w:val="00BE0804"/>
    <w:rsid w:val="00BE1B67"/>
    <w:rsid w:val="00BE2C9D"/>
    <w:rsid w:val="00BE5D41"/>
    <w:rsid w:val="00BE636D"/>
    <w:rsid w:val="00BF01A4"/>
    <w:rsid w:val="00BF5931"/>
    <w:rsid w:val="00BF748C"/>
    <w:rsid w:val="00BF7BF8"/>
    <w:rsid w:val="00C0023F"/>
    <w:rsid w:val="00C002A0"/>
    <w:rsid w:val="00C02EF6"/>
    <w:rsid w:val="00C02F7F"/>
    <w:rsid w:val="00C06DDE"/>
    <w:rsid w:val="00C10CD5"/>
    <w:rsid w:val="00C11C8F"/>
    <w:rsid w:val="00C11F27"/>
    <w:rsid w:val="00C128A2"/>
    <w:rsid w:val="00C15A1C"/>
    <w:rsid w:val="00C15B3A"/>
    <w:rsid w:val="00C209B8"/>
    <w:rsid w:val="00C20CD3"/>
    <w:rsid w:val="00C2199D"/>
    <w:rsid w:val="00C232BB"/>
    <w:rsid w:val="00C2607E"/>
    <w:rsid w:val="00C26463"/>
    <w:rsid w:val="00C31237"/>
    <w:rsid w:val="00C31B9E"/>
    <w:rsid w:val="00C36888"/>
    <w:rsid w:val="00C41D30"/>
    <w:rsid w:val="00C468D4"/>
    <w:rsid w:val="00C47314"/>
    <w:rsid w:val="00C52E2D"/>
    <w:rsid w:val="00C57D25"/>
    <w:rsid w:val="00C57E75"/>
    <w:rsid w:val="00C603C1"/>
    <w:rsid w:val="00C60AC6"/>
    <w:rsid w:val="00C60F5A"/>
    <w:rsid w:val="00C61A6C"/>
    <w:rsid w:val="00C64A28"/>
    <w:rsid w:val="00C67E30"/>
    <w:rsid w:val="00C706D4"/>
    <w:rsid w:val="00C74735"/>
    <w:rsid w:val="00C76A21"/>
    <w:rsid w:val="00C76FF9"/>
    <w:rsid w:val="00C77264"/>
    <w:rsid w:val="00C812AC"/>
    <w:rsid w:val="00C83367"/>
    <w:rsid w:val="00C841DB"/>
    <w:rsid w:val="00C865B8"/>
    <w:rsid w:val="00C94DB0"/>
    <w:rsid w:val="00C96A21"/>
    <w:rsid w:val="00C96A9A"/>
    <w:rsid w:val="00CA32D7"/>
    <w:rsid w:val="00CA4BC5"/>
    <w:rsid w:val="00CA5A73"/>
    <w:rsid w:val="00CB01D1"/>
    <w:rsid w:val="00CB2F3E"/>
    <w:rsid w:val="00CC4789"/>
    <w:rsid w:val="00CC49DB"/>
    <w:rsid w:val="00CC4A2A"/>
    <w:rsid w:val="00CC7227"/>
    <w:rsid w:val="00CC77CD"/>
    <w:rsid w:val="00CD0D7B"/>
    <w:rsid w:val="00CD1A23"/>
    <w:rsid w:val="00CE38F2"/>
    <w:rsid w:val="00CF04AC"/>
    <w:rsid w:val="00CF14AD"/>
    <w:rsid w:val="00CF1714"/>
    <w:rsid w:val="00CF2047"/>
    <w:rsid w:val="00CF217B"/>
    <w:rsid w:val="00CF2613"/>
    <w:rsid w:val="00D0000B"/>
    <w:rsid w:val="00D00AB5"/>
    <w:rsid w:val="00D0154F"/>
    <w:rsid w:val="00D0361C"/>
    <w:rsid w:val="00D107BF"/>
    <w:rsid w:val="00D10AB0"/>
    <w:rsid w:val="00D1258A"/>
    <w:rsid w:val="00D128A8"/>
    <w:rsid w:val="00D1328C"/>
    <w:rsid w:val="00D14E7A"/>
    <w:rsid w:val="00D15367"/>
    <w:rsid w:val="00D15DB8"/>
    <w:rsid w:val="00D21186"/>
    <w:rsid w:val="00D225DA"/>
    <w:rsid w:val="00D30344"/>
    <w:rsid w:val="00D34152"/>
    <w:rsid w:val="00D341FD"/>
    <w:rsid w:val="00D36773"/>
    <w:rsid w:val="00D372AC"/>
    <w:rsid w:val="00D400E6"/>
    <w:rsid w:val="00D44822"/>
    <w:rsid w:val="00D46EAA"/>
    <w:rsid w:val="00D507C6"/>
    <w:rsid w:val="00D508A3"/>
    <w:rsid w:val="00D50B56"/>
    <w:rsid w:val="00D54A5F"/>
    <w:rsid w:val="00D61293"/>
    <w:rsid w:val="00D61521"/>
    <w:rsid w:val="00D62EFA"/>
    <w:rsid w:val="00D650D6"/>
    <w:rsid w:val="00D7075D"/>
    <w:rsid w:val="00D70C5A"/>
    <w:rsid w:val="00D71C9E"/>
    <w:rsid w:val="00D72969"/>
    <w:rsid w:val="00D82496"/>
    <w:rsid w:val="00D875A9"/>
    <w:rsid w:val="00D900DC"/>
    <w:rsid w:val="00D907A9"/>
    <w:rsid w:val="00D934D0"/>
    <w:rsid w:val="00D94139"/>
    <w:rsid w:val="00D94BE5"/>
    <w:rsid w:val="00D94E9C"/>
    <w:rsid w:val="00D94EBD"/>
    <w:rsid w:val="00D94F5A"/>
    <w:rsid w:val="00D963F7"/>
    <w:rsid w:val="00D9792C"/>
    <w:rsid w:val="00DA47C4"/>
    <w:rsid w:val="00DA6C9E"/>
    <w:rsid w:val="00DA7332"/>
    <w:rsid w:val="00DB1301"/>
    <w:rsid w:val="00DB13EF"/>
    <w:rsid w:val="00DC447A"/>
    <w:rsid w:val="00DC638B"/>
    <w:rsid w:val="00DC70F6"/>
    <w:rsid w:val="00DC74C0"/>
    <w:rsid w:val="00DD1433"/>
    <w:rsid w:val="00DD1ECA"/>
    <w:rsid w:val="00DD2CAC"/>
    <w:rsid w:val="00DD51C1"/>
    <w:rsid w:val="00DD70E5"/>
    <w:rsid w:val="00DE0C3C"/>
    <w:rsid w:val="00DE4F91"/>
    <w:rsid w:val="00DE540F"/>
    <w:rsid w:val="00DF1704"/>
    <w:rsid w:val="00DF1D67"/>
    <w:rsid w:val="00DF250F"/>
    <w:rsid w:val="00DF7114"/>
    <w:rsid w:val="00E00AF1"/>
    <w:rsid w:val="00E02F8C"/>
    <w:rsid w:val="00E0375A"/>
    <w:rsid w:val="00E03EAA"/>
    <w:rsid w:val="00E128B4"/>
    <w:rsid w:val="00E13356"/>
    <w:rsid w:val="00E174B5"/>
    <w:rsid w:val="00E20C23"/>
    <w:rsid w:val="00E21B69"/>
    <w:rsid w:val="00E338F6"/>
    <w:rsid w:val="00E35463"/>
    <w:rsid w:val="00E3583B"/>
    <w:rsid w:val="00E3730A"/>
    <w:rsid w:val="00E37B47"/>
    <w:rsid w:val="00E40E0B"/>
    <w:rsid w:val="00E41772"/>
    <w:rsid w:val="00E431D8"/>
    <w:rsid w:val="00E45CF1"/>
    <w:rsid w:val="00E50519"/>
    <w:rsid w:val="00E55A4F"/>
    <w:rsid w:val="00E55AFF"/>
    <w:rsid w:val="00E60FB7"/>
    <w:rsid w:val="00E62DC4"/>
    <w:rsid w:val="00E63BDC"/>
    <w:rsid w:val="00E65D1F"/>
    <w:rsid w:val="00E678EC"/>
    <w:rsid w:val="00E70F06"/>
    <w:rsid w:val="00E735DE"/>
    <w:rsid w:val="00E747AD"/>
    <w:rsid w:val="00E74CD6"/>
    <w:rsid w:val="00E8414B"/>
    <w:rsid w:val="00E84E9F"/>
    <w:rsid w:val="00E87AC2"/>
    <w:rsid w:val="00E930E8"/>
    <w:rsid w:val="00E9567B"/>
    <w:rsid w:val="00E95738"/>
    <w:rsid w:val="00E97084"/>
    <w:rsid w:val="00EA3CDC"/>
    <w:rsid w:val="00EA3EB6"/>
    <w:rsid w:val="00EA585B"/>
    <w:rsid w:val="00EB51F2"/>
    <w:rsid w:val="00EC0BF0"/>
    <w:rsid w:val="00EC1A76"/>
    <w:rsid w:val="00EC38CC"/>
    <w:rsid w:val="00ED23F1"/>
    <w:rsid w:val="00ED6171"/>
    <w:rsid w:val="00ED7261"/>
    <w:rsid w:val="00ED7A38"/>
    <w:rsid w:val="00EE0533"/>
    <w:rsid w:val="00EE0F63"/>
    <w:rsid w:val="00EE20D3"/>
    <w:rsid w:val="00EE3C91"/>
    <w:rsid w:val="00EE7ED0"/>
    <w:rsid w:val="00EF3B78"/>
    <w:rsid w:val="00EF4093"/>
    <w:rsid w:val="00EF5DF7"/>
    <w:rsid w:val="00EF7EA5"/>
    <w:rsid w:val="00F0258E"/>
    <w:rsid w:val="00F042F7"/>
    <w:rsid w:val="00F06E2B"/>
    <w:rsid w:val="00F113F6"/>
    <w:rsid w:val="00F1174D"/>
    <w:rsid w:val="00F118A4"/>
    <w:rsid w:val="00F12447"/>
    <w:rsid w:val="00F16FE3"/>
    <w:rsid w:val="00F17FE0"/>
    <w:rsid w:val="00F22037"/>
    <w:rsid w:val="00F233BC"/>
    <w:rsid w:val="00F234C0"/>
    <w:rsid w:val="00F2662A"/>
    <w:rsid w:val="00F33680"/>
    <w:rsid w:val="00F36796"/>
    <w:rsid w:val="00F37C20"/>
    <w:rsid w:val="00F407E6"/>
    <w:rsid w:val="00F41758"/>
    <w:rsid w:val="00F4549D"/>
    <w:rsid w:val="00F51B08"/>
    <w:rsid w:val="00F5497C"/>
    <w:rsid w:val="00F554BD"/>
    <w:rsid w:val="00F55966"/>
    <w:rsid w:val="00F5625C"/>
    <w:rsid w:val="00F6013E"/>
    <w:rsid w:val="00F61F41"/>
    <w:rsid w:val="00F62A6E"/>
    <w:rsid w:val="00F62C05"/>
    <w:rsid w:val="00F64F4A"/>
    <w:rsid w:val="00F66423"/>
    <w:rsid w:val="00F77875"/>
    <w:rsid w:val="00F81D11"/>
    <w:rsid w:val="00F8496F"/>
    <w:rsid w:val="00F85409"/>
    <w:rsid w:val="00F87756"/>
    <w:rsid w:val="00F9398F"/>
    <w:rsid w:val="00F9441E"/>
    <w:rsid w:val="00F94F9F"/>
    <w:rsid w:val="00F96E52"/>
    <w:rsid w:val="00F97389"/>
    <w:rsid w:val="00FA5AB9"/>
    <w:rsid w:val="00FA63E6"/>
    <w:rsid w:val="00FB4F8C"/>
    <w:rsid w:val="00FC006E"/>
    <w:rsid w:val="00FC0442"/>
    <w:rsid w:val="00FC6472"/>
    <w:rsid w:val="00FD5793"/>
    <w:rsid w:val="00FD5BE1"/>
    <w:rsid w:val="00FD790F"/>
    <w:rsid w:val="00FD7C9C"/>
    <w:rsid w:val="00FE0EE2"/>
    <w:rsid w:val="00FE1D4A"/>
    <w:rsid w:val="00FE2E9A"/>
    <w:rsid w:val="00FE322D"/>
    <w:rsid w:val="00FE377A"/>
    <w:rsid w:val="00FE40DC"/>
    <w:rsid w:val="00FE48BA"/>
    <w:rsid w:val="00FE4A00"/>
    <w:rsid w:val="00FE6AFC"/>
    <w:rsid w:val="00FE76A8"/>
    <w:rsid w:val="00FF27F9"/>
    <w:rsid w:val="00FF699C"/>
    <w:rsid w:val="00FF7EC7"/>
    <w:rsid w:val="01A69E19"/>
    <w:rsid w:val="01CDA27E"/>
    <w:rsid w:val="0211C8C9"/>
    <w:rsid w:val="022D7163"/>
    <w:rsid w:val="02E7A970"/>
    <w:rsid w:val="035F0439"/>
    <w:rsid w:val="0390E3B3"/>
    <w:rsid w:val="03FE572A"/>
    <w:rsid w:val="0453C55B"/>
    <w:rsid w:val="0462632A"/>
    <w:rsid w:val="050A3A06"/>
    <w:rsid w:val="05B38AF2"/>
    <w:rsid w:val="05BD1C61"/>
    <w:rsid w:val="061C049F"/>
    <w:rsid w:val="0779BAB0"/>
    <w:rsid w:val="079DEB58"/>
    <w:rsid w:val="07E567F8"/>
    <w:rsid w:val="07FE8AE1"/>
    <w:rsid w:val="08A89CBF"/>
    <w:rsid w:val="08BD8682"/>
    <w:rsid w:val="08D81695"/>
    <w:rsid w:val="092C529F"/>
    <w:rsid w:val="092E4AE5"/>
    <w:rsid w:val="0AC91316"/>
    <w:rsid w:val="0AE8E541"/>
    <w:rsid w:val="0BB1454A"/>
    <w:rsid w:val="0C7D4F20"/>
    <w:rsid w:val="0D80D7B8"/>
    <w:rsid w:val="0E806335"/>
    <w:rsid w:val="0F549D5E"/>
    <w:rsid w:val="101B4579"/>
    <w:rsid w:val="1198B04B"/>
    <w:rsid w:val="11EF4D8F"/>
    <w:rsid w:val="12A20A0F"/>
    <w:rsid w:val="13147344"/>
    <w:rsid w:val="134F79A8"/>
    <w:rsid w:val="136EB4BC"/>
    <w:rsid w:val="1392777C"/>
    <w:rsid w:val="13974810"/>
    <w:rsid w:val="13C12371"/>
    <w:rsid w:val="1459315A"/>
    <w:rsid w:val="1464C2E2"/>
    <w:rsid w:val="150B946A"/>
    <w:rsid w:val="151ECA7C"/>
    <w:rsid w:val="159C560E"/>
    <w:rsid w:val="15E4E1AB"/>
    <w:rsid w:val="16190068"/>
    <w:rsid w:val="1624E528"/>
    <w:rsid w:val="162B09E8"/>
    <w:rsid w:val="163E55B0"/>
    <w:rsid w:val="1786AB71"/>
    <w:rsid w:val="1847B0C9"/>
    <w:rsid w:val="18624ABC"/>
    <w:rsid w:val="1892AB16"/>
    <w:rsid w:val="1900537B"/>
    <w:rsid w:val="197FC59E"/>
    <w:rsid w:val="1A81154F"/>
    <w:rsid w:val="1AE18A7F"/>
    <w:rsid w:val="1B1D0A97"/>
    <w:rsid w:val="1B501E8C"/>
    <w:rsid w:val="1BFCF348"/>
    <w:rsid w:val="1C19E41A"/>
    <w:rsid w:val="1D44B7DA"/>
    <w:rsid w:val="1D459336"/>
    <w:rsid w:val="1D88A5B4"/>
    <w:rsid w:val="1DDE51B4"/>
    <w:rsid w:val="1E207B4D"/>
    <w:rsid w:val="1EB231D6"/>
    <w:rsid w:val="1EBF6D77"/>
    <w:rsid w:val="1F5EBDF2"/>
    <w:rsid w:val="1FBB0309"/>
    <w:rsid w:val="1FDD2FBB"/>
    <w:rsid w:val="2049D44D"/>
    <w:rsid w:val="206658AB"/>
    <w:rsid w:val="206754B6"/>
    <w:rsid w:val="20A72116"/>
    <w:rsid w:val="20C3B3E6"/>
    <w:rsid w:val="21A9E705"/>
    <w:rsid w:val="21E95D20"/>
    <w:rsid w:val="226B7C91"/>
    <w:rsid w:val="22B12028"/>
    <w:rsid w:val="23653375"/>
    <w:rsid w:val="2370F205"/>
    <w:rsid w:val="23892B08"/>
    <w:rsid w:val="247465DB"/>
    <w:rsid w:val="24B6E8BF"/>
    <w:rsid w:val="2564F1F0"/>
    <w:rsid w:val="2630C0A2"/>
    <w:rsid w:val="2635B3A4"/>
    <w:rsid w:val="26578BCF"/>
    <w:rsid w:val="267D85B7"/>
    <w:rsid w:val="27319AC3"/>
    <w:rsid w:val="27FF1C28"/>
    <w:rsid w:val="282C86CF"/>
    <w:rsid w:val="2913B4AA"/>
    <w:rsid w:val="29C3B9B0"/>
    <w:rsid w:val="2A986472"/>
    <w:rsid w:val="2BB7BF09"/>
    <w:rsid w:val="2D9441ED"/>
    <w:rsid w:val="2DC4CBA0"/>
    <w:rsid w:val="2E02FBBF"/>
    <w:rsid w:val="2EA780D6"/>
    <w:rsid w:val="2F920F83"/>
    <w:rsid w:val="2F98CE9E"/>
    <w:rsid w:val="2F999D04"/>
    <w:rsid w:val="2FD8B493"/>
    <w:rsid w:val="31171AC1"/>
    <w:rsid w:val="315845FB"/>
    <w:rsid w:val="3212EF62"/>
    <w:rsid w:val="33356F25"/>
    <w:rsid w:val="3336EE26"/>
    <w:rsid w:val="334C60C3"/>
    <w:rsid w:val="33A4BE9B"/>
    <w:rsid w:val="3441F98F"/>
    <w:rsid w:val="3465ED72"/>
    <w:rsid w:val="3531F137"/>
    <w:rsid w:val="3640C468"/>
    <w:rsid w:val="36FB393F"/>
    <w:rsid w:val="376CF464"/>
    <w:rsid w:val="381143CB"/>
    <w:rsid w:val="387B1CBA"/>
    <w:rsid w:val="39155815"/>
    <w:rsid w:val="394614CC"/>
    <w:rsid w:val="39E73FBF"/>
    <w:rsid w:val="3B46FDBE"/>
    <w:rsid w:val="3C980148"/>
    <w:rsid w:val="3D35CFDE"/>
    <w:rsid w:val="3D40C74D"/>
    <w:rsid w:val="3DF347E4"/>
    <w:rsid w:val="3E1B41BF"/>
    <w:rsid w:val="3E51E48C"/>
    <w:rsid w:val="3E5BC5EA"/>
    <w:rsid w:val="3EE255AC"/>
    <w:rsid w:val="3EEC0387"/>
    <w:rsid w:val="3F740D5D"/>
    <w:rsid w:val="3FBEFF5E"/>
    <w:rsid w:val="3FF5C968"/>
    <w:rsid w:val="40C18D82"/>
    <w:rsid w:val="41922C53"/>
    <w:rsid w:val="41E3F55B"/>
    <w:rsid w:val="4275D841"/>
    <w:rsid w:val="4329D7DA"/>
    <w:rsid w:val="43415834"/>
    <w:rsid w:val="4344E710"/>
    <w:rsid w:val="448DA74A"/>
    <w:rsid w:val="44B890A7"/>
    <w:rsid w:val="451677D1"/>
    <w:rsid w:val="456D68EC"/>
    <w:rsid w:val="45BE36AA"/>
    <w:rsid w:val="46FF20A0"/>
    <w:rsid w:val="470D3381"/>
    <w:rsid w:val="47A6A241"/>
    <w:rsid w:val="48AA3451"/>
    <w:rsid w:val="48B0ACA5"/>
    <w:rsid w:val="48C3E6D4"/>
    <w:rsid w:val="499C9A9B"/>
    <w:rsid w:val="4A83FCF4"/>
    <w:rsid w:val="4B046687"/>
    <w:rsid w:val="4BEBAC59"/>
    <w:rsid w:val="4C00E951"/>
    <w:rsid w:val="4CBE985A"/>
    <w:rsid w:val="4CD51878"/>
    <w:rsid w:val="4D300065"/>
    <w:rsid w:val="4DF0B20B"/>
    <w:rsid w:val="4ED1093C"/>
    <w:rsid w:val="4F147472"/>
    <w:rsid w:val="4F270C4E"/>
    <w:rsid w:val="4F6357A0"/>
    <w:rsid w:val="5075F935"/>
    <w:rsid w:val="5099832F"/>
    <w:rsid w:val="50A568C6"/>
    <w:rsid w:val="50B88E0F"/>
    <w:rsid w:val="517769D0"/>
    <w:rsid w:val="543B8A5F"/>
    <w:rsid w:val="55114732"/>
    <w:rsid w:val="55736AA4"/>
    <w:rsid w:val="55A27F8A"/>
    <w:rsid w:val="565820C7"/>
    <w:rsid w:val="56BB887C"/>
    <w:rsid w:val="56ED422B"/>
    <w:rsid w:val="576FAE01"/>
    <w:rsid w:val="57D0558D"/>
    <w:rsid w:val="57DC3A0A"/>
    <w:rsid w:val="58F34CA4"/>
    <w:rsid w:val="5942DC7A"/>
    <w:rsid w:val="5967BF5C"/>
    <w:rsid w:val="598CE166"/>
    <w:rsid w:val="599BB7B1"/>
    <w:rsid w:val="5A5074B5"/>
    <w:rsid w:val="5A515C25"/>
    <w:rsid w:val="5AC704A4"/>
    <w:rsid w:val="5B08EBF3"/>
    <w:rsid w:val="5B53CAD8"/>
    <w:rsid w:val="5BEC3A7A"/>
    <w:rsid w:val="5DC2E21F"/>
    <w:rsid w:val="5DEC4AF3"/>
    <w:rsid w:val="5FF50EFB"/>
    <w:rsid w:val="60680CE3"/>
    <w:rsid w:val="607E1B08"/>
    <w:rsid w:val="61D72445"/>
    <w:rsid w:val="62E52F56"/>
    <w:rsid w:val="6300C365"/>
    <w:rsid w:val="636B047F"/>
    <w:rsid w:val="63AA70CE"/>
    <w:rsid w:val="646DD7D9"/>
    <w:rsid w:val="64D7BC83"/>
    <w:rsid w:val="666F976B"/>
    <w:rsid w:val="66A9869C"/>
    <w:rsid w:val="67054F4C"/>
    <w:rsid w:val="678D1A87"/>
    <w:rsid w:val="679F120C"/>
    <w:rsid w:val="680CA98E"/>
    <w:rsid w:val="682C5B52"/>
    <w:rsid w:val="683F1CCA"/>
    <w:rsid w:val="6873A071"/>
    <w:rsid w:val="68C18427"/>
    <w:rsid w:val="694E0F50"/>
    <w:rsid w:val="699D716D"/>
    <w:rsid w:val="6AABC3BB"/>
    <w:rsid w:val="6ABAB720"/>
    <w:rsid w:val="6B849CA5"/>
    <w:rsid w:val="6B90AABE"/>
    <w:rsid w:val="6CA99F6B"/>
    <w:rsid w:val="6DF522A2"/>
    <w:rsid w:val="6DF60D73"/>
    <w:rsid w:val="6E91762B"/>
    <w:rsid w:val="6EB3C5BB"/>
    <w:rsid w:val="6EE85499"/>
    <w:rsid w:val="6FCDC4EF"/>
    <w:rsid w:val="6FD1A37E"/>
    <w:rsid w:val="6FEB3248"/>
    <w:rsid w:val="70E0F8B0"/>
    <w:rsid w:val="71DC9CA5"/>
    <w:rsid w:val="720030AE"/>
    <w:rsid w:val="729937CA"/>
    <w:rsid w:val="72A64BD1"/>
    <w:rsid w:val="72CD26AE"/>
    <w:rsid w:val="72E018DC"/>
    <w:rsid w:val="732068EB"/>
    <w:rsid w:val="73E650E7"/>
    <w:rsid w:val="7533D995"/>
    <w:rsid w:val="754501A2"/>
    <w:rsid w:val="7565EDAA"/>
    <w:rsid w:val="757344FB"/>
    <w:rsid w:val="76F5EA63"/>
    <w:rsid w:val="787B19DD"/>
    <w:rsid w:val="78BCE621"/>
    <w:rsid w:val="78C677F8"/>
    <w:rsid w:val="797A6C9A"/>
    <w:rsid w:val="7A0A0208"/>
    <w:rsid w:val="7A13C2BA"/>
    <w:rsid w:val="7A7CC8D1"/>
    <w:rsid w:val="7AD48107"/>
    <w:rsid w:val="7B3E4576"/>
    <w:rsid w:val="7C261330"/>
    <w:rsid w:val="7CE49409"/>
    <w:rsid w:val="7D0597F9"/>
    <w:rsid w:val="7D8B2467"/>
    <w:rsid w:val="7DC9F111"/>
    <w:rsid w:val="7E03647A"/>
    <w:rsid w:val="7FA962F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27D649C"/>
  <w15:docId w15:val="{311B8965-ED27-470A-9697-A293D6B55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1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link w:val="Heading3Char"/>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rPr>
      <w:sz w:val="20"/>
      <w:szCs w:val="20"/>
    </w:rPr>
    <w:tblPr>
      <w:tblStyleRowBandSize w:val="1"/>
      <w:tblStyleColBandSize w:val="1"/>
    </w:tblPr>
  </w:style>
  <w:style w:type="table" w:customStyle="1" w:styleId="a0">
    <w:basedOn w:val="TableNormal"/>
    <w:pPr>
      <w:spacing w:line="240" w:lineRule="auto"/>
    </w:pPr>
    <w:rPr>
      <w:sz w:val="20"/>
      <w:szCs w:val="20"/>
    </w:rPr>
    <w:tblPr>
      <w:tblStyleRowBandSize w:val="1"/>
      <w:tblStyleColBandSize w:val="1"/>
    </w:tblPr>
  </w:style>
  <w:style w:type="table" w:customStyle="1" w:styleId="a1">
    <w:basedOn w:val="TableNormal"/>
    <w:pPr>
      <w:spacing w:line="240" w:lineRule="auto"/>
    </w:pPr>
    <w:rPr>
      <w:sz w:val="20"/>
      <w:szCs w:val="20"/>
    </w:rPr>
    <w:tblPr>
      <w:tblStyleRowBandSize w:val="1"/>
      <w:tblStyleColBandSize w:val="1"/>
    </w:tblPr>
  </w:style>
  <w:style w:type="table" w:customStyle="1" w:styleId="a2">
    <w:basedOn w:val="TableNormal"/>
    <w:pPr>
      <w:spacing w:line="240" w:lineRule="auto"/>
    </w:pPr>
    <w:rPr>
      <w:sz w:val="20"/>
      <w:szCs w:val="20"/>
    </w:rPr>
    <w:tblPr>
      <w:tblStyleRowBandSize w:val="1"/>
      <w:tblStyleColBandSize w:val="1"/>
    </w:tblPr>
  </w:style>
  <w:style w:type="table" w:customStyle="1" w:styleId="a3">
    <w:basedOn w:val="TableNormal"/>
    <w:pPr>
      <w:spacing w:line="240" w:lineRule="auto"/>
    </w:pPr>
    <w:rPr>
      <w:rFonts w:ascii="Calibri" w:eastAsia="Calibri" w:hAnsi="Calibri" w:cs="Calibri"/>
      <w:sz w:val="20"/>
      <w:szCs w:val="20"/>
    </w:rPr>
    <w:tblPr>
      <w:tblStyleRowBandSize w:val="1"/>
      <w:tblStyleColBandSize w:val="1"/>
      <w:tblCellMar>
        <w:top w:w="28" w:type="dxa"/>
        <w:left w:w="28" w:type="dxa"/>
        <w:bottom w:w="28" w:type="dxa"/>
        <w:right w:w="28" w:type="dxa"/>
      </w:tblCellMar>
    </w:tblPr>
  </w:style>
  <w:style w:type="table" w:customStyle="1" w:styleId="a4">
    <w:basedOn w:val="TableNormal"/>
    <w:pPr>
      <w:spacing w:line="240" w:lineRule="auto"/>
    </w:pPr>
    <w:rPr>
      <w:sz w:val="20"/>
      <w:szCs w:val="20"/>
    </w:rPr>
    <w:tblPr>
      <w:tblStyleRowBandSize w:val="1"/>
      <w:tblStyleColBandSize w:val="1"/>
    </w:tblPr>
  </w:style>
  <w:style w:type="table" w:customStyle="1" w:styleId="a5">
    <w:basedOn w:val="TableNormal"/>
    <w:pPr>
      <w:spacing w:line="240" w:lineRule="auto"/>
    </w:pPr>
    <w:rPr>
      <w:sz w:val="20"/>
      <w:szCs w:val="20"/>
    </w:rPr>
    <w:tblPr>
      <w:tblStyleRowBandSize w:val="1"/>
      <w:tblStyleColBandSize w:val="1"/>
    </w:tblPr>
  </w:style>
  <w:style w:type="table" w:customStyle="1" w:styleId="a6">
    <w:basedOn w:val="TableNormal"/>
    <w:pPr>
      <w:spacing w:line="240" w:lineRule="auto"/>
    </w:pPr>
    <w:rPr>
      <w:sz w:val="20"/>
      <w:szCs w:val="20"/>
    </w:rPr>
    <w:tblPr>
      <w:tblStyleRowBandSize w:val="1"/>
      <w:tblStyleColBandSize w:val="1"/>
    </w:tblPr>
  </w:style>
  <w:style w:type="table" w:customStyle="1" w:styleId="a7">
    <w:basedOn w:val="TableNormal"/>
    <w:pPr>
      <w:spacing w:line="240" w:lineRule="auto"/>
    </w:pPr>
    <w:rPr>
      <w:sz w:val="20"/>
      <w:szCs w:val="20"/>
    </w:rPr>
    <w:tblPr>
      <w:tblStyleRowBandSize w:val="1"/>
      <w:tblStyleColBandSize w:val="1"/>
    </w:tblPr>
  </w:style>
  <w:style w:type="table" w:customStyle="1" w:styleId="a8">
    <w:basedOn w:val="TableNormal"/>
    <w:pPr>
      <w:spacing w:line="240" w:lineRule="auto"/>
    </w:pPr>
    <w:rPr>
      <w:sz w:val="20"/>
      <w:szCs w:val="20"/>
    </w:rPr>
    <w:tblPr>
      <w:tblStyleRowBandSize w:val="1"/>
      <w:tblStyleColBandSize w:val="1"/>
    </w:tblPr>
  </w:style>
  <w:style w:type="table" w:customStyle="1" w:styleId="a9">
    <w:basedOn w:val="TableNormal"/>
    <w:pPr>
      <w:spacing w:line="240" w:lineRule="auto"/>
    </w:pPr>
    <w:rPr>
      <w:sz w:val="20"/>
      <w:szCs w:val="20"/>
    </w:rPr>
    <w:tblPr>
      <w:tblStyleRowBandSize w:val="1"/>
      <w:tblStyleColBandSize w:val="1"/>
    </w:tblPr>
  </w:style>
  <w:style w:type="table" w:customStyle="1" w:styleId="aa">
    <w:basedOn w:val="TableNormal"/>
    <w:pPr>
      <w:spacing w:line="240" w:lineRule="auto"/>
    </w:pPr>
    <w:rPr>
      <w:sz w:val="20"/>
      <w:szCs w:val="20"/>
    </w:rPr>
    <w:tblPr>
      <w:tblStyleRowBandSize w:val="1"/>
      <w:tblStyleColBandSize w:val="1"/>
    </w:tblPr>
  </w:style>
  <w:style w:type="table" w:customStyle="1" w:styleId="ab">
    <w:basedOn w:val="TableNormal"/>
    <w:pPr>
      <w:spacing w:line="240" w:lineRule="auto"/>
    </w:pPr>
    <w:rPr>
      <w:sz w:val="20"/>
      <w:szCs w:val="20"/>
    </w:rPr>
    <w:tblPr>
      <w:tblStyleRowBandSize w:val="1"/>
      <w:tblStyleColBandSize w:val="1"/>
    </w:tblPr>
  </w:style>
  <w:style w:type="table" w:customStyle="1" w:styleId="ac">
    <w:basedOn w:val="TableNormal"/>
    <w:pPr>
      <w:spacing w:line="240" w:lineRule="auto"/>
    </w:pPr>
    <w:rPr>
      <w:sz w:val="20"/>
      <w:szCs w:val="20"/>
    </w:rPr>
    <w:tblPr>
      <w:tblStyleRowBandSize w:val="1"/>
      <w:tblStyleColBandSize w:val="1"/>
    </w:tblPr>
  </w:style>
  <w:style w:type="table" w:customStyle="1" w:styleId="ad">
    <w:basedOn w:val="TableNormal"/>
    <w:pPr>
      <w:spacing w:line="240" w:lineRule="auto"/>
    </w:pPr>
    <w:rPr>
      <w:sz w:val="20"/>
      <w:szCs w:val="20"/>
    </w:rPr>
    <w:tblPr>
      <w:tblStyleRowBandSize w:val="1"/>
      <w:tblStyleColBandSize w:val="1"/>
    </w:tblPr>
  </w:style>
  <w:style w:type="table" w:customStyle="1" w:styleId="ae">
    <w:basedOn w:val="TableNormal"/>
    <w:tblPr>
      <w:tblStyleRowBandSize w:val="1"/>
      <w:tblStyleColBandSize w:val="1"/>
      <w:tblCellMar>
        <w:top w:w="28" w:type="dxa"/>
        <w:left w:w="28" w:type="dxa"/>
        <w:bottom w:w="28" w:type="dxa"/>
        <w:right w:w="28" w:type="dxa"/>
      </w:tblCellMar>
    </w:tblPr>
  </w:style>
  <w:style w:type="table" w:customStyle="1" w:styleId="af">
    <w:basedOn w:val="TableNormal"/>
    <w:pPr>
      <w:spacing w:line="240" w:lineRule="auto"/>
    </w:pPr>
    <w:rPr>
      <w:sz w:val="20"/>
      <w:szCs w:val="20"/>
    </w:rPr>
    <w:tblPr>
      <w:tblStyleRowBandSize w:val="1"/>
      <w:tblStyleColBandSize w:val="1"/>
    </w:tblPr>
  </w:style>
  <w:style w:type="table" w:customStyle="1" w:styleId="af0">
    <w:basedOn w:val="TableNormal"/>
    <w:pPr>
      <w:spacing w:line="240" w:lineRule="auto"/>
    </w:pPr>
    <w:rPr>
      <w:sz w:val="20"/>
      <w:szCs w:val="20"/>
    </w:rPr>
    <w:tblPr>
      <w:tblStyleRowBandSize w:val="1"/>
      <w:tblStyleColBandSize w:val="1"/>
    </w:tblPr>
  </w:style>
  <w:style w:type="table" w:customStyle="1" w:styleId="af1">
    <w:basedOn w:val="TableNormal"/>
    <w:pPr>
      <w:spacing w:line="240" w:lineRule="auto"/>
    </w:pPr>
    <w:rPr>
      <w:sz w:val="20"/>
      <w:szCs w:val="20"/>
    </w:rPr>
    <w:tblPr>
      <w:tblStyleRowBandSize w:val="1"/>
      <w:tblStyleColBandSize w:val="1"/>
    </w:tblPr>
  </w:style>
  <w:style w:type="table" w:customStyle="1" w:styleId="af2">
    <w:basedOn w:val="TableNormal"/>
    <w:pPr>
      <w:spacing w:line="240" w:lineRule="auto"/>
    </w:pPr>
    <w:rPr>
      <w:rFonts w:ascii="Calibri" w:eastAsia="Calibri" w:hAnsi="Calibri" w:cs="Calibri"/>
      <w:sz w:val="20"/>
      <w:szCs w:val="20"/>
    </w:rPr>
    <w:tblPr>
      <w:tblStyleRowBandSize w:val="1"/>
      <w:tblStyleColBandSize w:val="1"/>
      <w:tblCellMar>
        <w:top w:w="28" w:type="dxa"/>
        <w:left w:w="28" w:type="dxa"/>
        <w:bottom w:w="28" w:type="dxa"/>
        <w:right w:w="28" w:type="dxa"/>
      </w:tblCellMar>
    </w:tblPr>
  </w:style>
  <w:style w:type="table" w:customStyle="1" w:styleId="af3">
    <w:basedOn w:val="TableNormal"/>
    <w:pPr>
      <w:spacing w:line="240" w:lineRule="auto"/>
    </w:pPr>
    <w:rPr>
      <w:rFonts w:ascii="Calibri" w:eastAsia="Calibri" w:hAnsi="Calibri" w:cs="Calibri"/>
      <w:sz w:val="20"/>
      <w:szCs w:val="20"/>
    </w:rPr>
    <w:tblPr>
      <w:tblStyleRowBandSize w:val="1"/>
      <w:tblStyleColBandSize w:val="1"/>
      <w:tblCellMar>
        <w:top w:w="28" w:type="dxa"/>
        <w:left w:w="28" w:type="dxa"/>
        <w:bottom w:w="28" w:type="dxa"/>
        <w:right w:w="28" w:type="dxa"/>
      </w:tblCellMar>
    </w:tblPr>
  </w:style>
  <w:style w:type="table" w:customStyle="1" w:styleId="af4">
    <w:basedOn w:val="TableNormal"/>
    <w:pPr>
      <w:spacing w:line="240" w:lineRule="auto"/>
    </w:pPr>
    <w:rPr>
      <w:sz w:val="20"/>
      <w:szCs w:val="20"/>
    </w:rPr>
    <w:tblPr>
      <w:tblStyleRowBandSize w:val="1"/>
      <w:tblStyleColBandSize w:val="1"/>
    </w:tblPr>
  </w:style>
  <w:style w:type="table" w:customStyle="1" w:styleId="af5">
    <w:basedOn w:val="TableNormal"/>
    <w:pPr>
      <w:spacing w:line="240" w:lineRule="auto"/>
    </w:pPr>
    <w:rPr>
      <w:sz w:val="20"/>
      <w:szCs w:val="20"/>
    </w:rPr>
    <w:tblPr>
      <w:tblStyleRowBandSize w:val="1"/>
      <w:tblStyleColBandSize w:val="1"/>
    </w:tblPr>
  </w:style>
  <w:style w:type="table" w:customStyle="1" w:styleId="af6">
    <w:basedOn w:val="TableNormal"/>
    <w:pPr>
      <w:spacing w:line="240" w:lineRule="auto"/>
    </w:pPr>
    <w:rPr>
      <w:rFonts w:ascii="Calibri" w:eastAsia="Calibri" w:hAnsi="Calibri" w:cs="Calibri"/>
      <w:sz w:val="20"/>
      <w:szCs w:val="20"/>
    </w:rPr>
    <w:tblPr>
      <w:tblStyleRowBandSize w:val="1"/>
      <w:tblStyleColBandSize w:val="1"/>
      <w:tblCellMar>
        <w:top w:w="28" w:type="dxa"/>
        <w:left w:w="28" w:type="dxa"/>
        <w:bottom w:w="28" w:type="dxa"/>
        <w:right w:w="28"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pPr>
      <w:spacing w:line="240" w:lineRule="auto"/>
    </w:pPr>
    <w:rPr>
      <w:sz w:val="20"/>
      <w:szCs w:val="20"/>
    </w:rPr>
    <w:tblPr>
      <w:tblStyleRowBandSize w:val="1"/>
      <w:tblStyleColBandSize w:val="1"/>
    </w:tblPr>
  </w:style>
  <w:style w:type="table" w:customStyle="1" w:styleId="af9">
    <w:basedOn w:val="TableNormal"/>
    <w:pPr>
      <w:spacing w:line="240" w:lineRule="auto"/>
    </w:pPr>
    <w:rPr>
      <w:sz w:val="20"/>
      <w:szCs w:val="20"/>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D15367"/>
    <w:pPr>
      <w:tabs>
        <w:tab w:val="right" w:leader="dot" w:pos="9350"/>
      </w:tabs>
      <w:spacing w:line="240" w:lineRule="auto"/>
    </w:pPr>
  </w:style>
  <w:style w:type="paragraph" w:styleId="TOC3">
    <w:name w:val="toc 3"/>
    <w:basedOn w:val="Normal"/>
    <w:next w:val="Normal"/>
    <w:autoRedefine/>
    <w:uiPriority w:val="39"/>
    <w:unhideWhenUsed/>
    <w:rsid w:val="0027037E"/>
    <w:pPr>
      <w:tabs>
        <w:tab w:val="right" w:leader="dot" w:pos="9350"/>
      </w:tabs>
      <w:spacing w:after="120" w:line="240" w:lineRule="auto"/>
      <w:ind w:left="442"/>
    </w:pPr>
    <w:rPr>
      <w:rFonts w:ascii="Calibri" w:eastAsia="Calibri" w:hAnsi="Calibri" w:cs="Calibri"/>
      <w:b/>
      <w:noProof/>
    </w:rPr>
  </w:style>
  <w:style w:type="paragraph" w:styleId="TOC2">
    <w:name w:val="toc 2"/>
    <w:basedOn w:val="Normal"/>
    <w:next w:val="Normal"/>
    <w:autoRedefine/>
    <w:uiPriority w:val="39"/>
    <w:unhideWhenUsed/>
    <w:rsid w:val="004D7CE6"/>
    <w:pPr>
      <w:spacing w:after="100"/>
      <w:ind w:left="220"/>
    </w:pPr>
  </w:style>
  <w:style w:type="character" w:styleId="Hyperlink">
    <w:name w:val="Hyperlink"/>
    <w:basedOn w:val="DefaultParagraphFont"/>
    <w:uiPriority w:val="99"/>
    <w:unhideWhenUsed/>
    <w:rsid w:val="004D7CE6"/>
    <w:rPr>
      <w:color w:val="0000FF" w:themeColor="hyperlink"/>
      <w:u w:val="single"/>
    </w:rPr>
  </w:style>
  <w:style w:type="paragraph" w:styleId="TOCHeading">
    <w:name w:val="TOC Heading"/>
    <w:basedOn w:val="Heading1"/>
    <w:next w:val="Normal"/>
    <w:uiPriority w:val="39"/>
    <w:unhideWhenUsed/>
    <w:qFormat/>
    <w:rsid w:val="004D7CE6"/>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customStyle="1" w:styleId="Style1">
    <w:name w:val="Style1"/>
    <w:basedOn w:val="Heading1"/>
    <w:link w:val="Style1Char"/>
    <w:qFormat/>
    <w:rsid w:val="00913558"/>
    <w:pPr>
      <w:keepLines w:val="0"/>
      <w:widowControl w:val="0"/>
      <w:pBdr>
        <w:bottom w:val="single" w:sz="16" w:space="11" w:color="BFBFBF"/>
      </w:pBdr>
      <w:spacing w:before="0" w:after="360" w:line="240" w:lineRule="auto"/>
    </w:pPr>
    <w:rPr>
      <w:rFonts w:ascii="Calibri" w:eastAsia="Calibri" w:hAnsi="Calibri" w:cs="Calibri"/>
      <w:b/>
      <w:color w:val="01653F"/>
    </w:rPr>
  </w:style>
  <w:style w:type="paragraph" w:customStyle="1" w:styleId="Style2">
    <w:name w:val="Style2"/>
    <w:basedOn w:val="Heading3"/>
    <w:link w:val="Style2Char"/>
    <w:qFormat/>
    <w:rsid w:val="00A87E1A"/>
    <w:pPr>
      <w:keepLines w:val="0"/>
      <w:spacing w:before="240" w:after="180" w:line="240" w:lineRule="auto"/>
    </w:pPr>
    <w:rPr>
      <w:rFonts w:ascii="Calibri" w:eastAsia="Calibri" w:hAnsi="Calibri" w:cs="Calibri"/>
      <w:b/>
      <w:color w:val="01653F"/>
    </w:rPr>
  </w:style>
  <w:style w:type="character" w:customStyle="1" w:styleId="Heading1Char">
    <w:name w:val="Heading 1 Char"/>
    <w:basedOn w:val="DefaultParagraphFont"/>
    <w:link w:val="Heading1"/>
    <w:rsid w:val="00A87E1A"/>
    <w:rPr>
      <w:sz w:val="40"/>
      <w:szCs w:val="40"/>
    </w:rPr>
  </w:style>
  <w:style w:type="character" w:customStyle="1" w:styleId="Style1Char">
    <w:name w:val="Style1 Char"/>
    <w:basedOn w:val="Heading1Char"/>
    <w:link w:val="Style1"/>
    <w:rsid w:val="00913558"/>
    <w:rPr>
      <w:rFonts w:ascii="Calibri" w:eastAsia="Calibri" w:hAnsi="Calibri" w:cs="Calibri"/>
      <w:b/>
      <w:color w:val="01653F"/>
      <w:sz w:val="40"/>
      <w:szCs w:val="40"/>
    </w:rPr>
  </w:style>
  <w:style w:type="paragraph" w:customStyle="1" w:styleId="Style3">
    <w:name w:val="Style3"/>
    <w:basedOn w:val="Normal"/>
    <w:link w:val="Style3Char"/>
    <w:qFormat/>
    <w:rsid w:val="00141818"/>
    <w:pPr>
      <w:keepNext/>
      <w:numPr>
        <w:ilvl w:val="1"/>
        <w:numId w:val="12"/>
      </w:numPr>
      <w:spacing w:before="120" w:after="120" w:line="312" w:lineRule="auto"/>
      <w:ind w:left="567"/>
    </w:pPr>
    <w:rPr>
      <w:rFonts w:ascii="Calibri" w:eastAsia="Calibri" w:hAnsi="Calibri" w:cs="Calibri"/>
      <w:b/>
      <w:sz w:val="24"/>
      <w:szCs w:val="24"/>
    </w:rPr>
  </w:style>
  <w:style w:type="character" w:customStyle="1" w:styleId="Heading3Char">
    <w:name w:val="Heading 3 Char"/>
    <w:basedOn w:val="DefaultParagraphFont"/>
    <w:link w:val="Heading3"/>
    <w:rsid w:val="00A87E1A"/>
    <w:rPr>
      <w:color w:val="434343"/>
      <w:sz w:val="28"/>
      <w:szCs w:val="28"/>
    </w:rPr>
  </w:style>
  <w:style w:type="character" w:customStyle="1" w:styleId="Style2Char">
    <w:name w:val="Style2 Char"/>
    <w:basedOn w:val="Heading3Char"/>
    <w:link w:val="Style2"/>
    <w:rsid w:val="00A87E1A"/>
    <w:rPr>
      <w:rFonts w:ascii="Calibri" w:eastAsia="Calibri" w:hAnsi="Calibri" w:cs="Calibri"/>
      <w:b/>
      <w:color w:val="01653F"/>
      <w:sz w:val="28"/>
      <w:szCs w:val="28"/>
    </w:rPr>
  </w:style>
  <w:style w:type="paragraph" w:customStyle="1" w:styleId="Style4">
    <w:name w:val="Style4"/>
    <w:basedOn w:val="Style3"/>
    <w:link w:val="Style4Char"/>
    <w:qFormat/>
    <w:rsid w:val="0015493A"/>
    <w:pPr>
      <w:numPr>
        <w:ilvl w:val="0"/>
        <w:numId w:val="0"/>
      </w:numPr>
      <w:tabs>
        <w:tab w:val="left" w:pos="993"/>
      </w:tabs>
      <w:ind w:left="709" w:hanging="504"/>
    </w:pPr>
  </w:style>
  <w:style w:type="character" w:customStyle="1" w:styleId="Style3Char">
    <w:name w:val="Style3 Char"/>
    <w:basedOn w:val="DefaultParagraphFont"/>
    <w:link w:val="Style3"/>
    <w:rsid w:val="00141818"/>
    <w:rPr>
      <w:rFonts w:ascii="Calibri" w:eastAsia="Calibri" w:hAnsi="Calibri" w:cs="Calibri"/>
      <w:b/>
      <w:sz w:val="24"/>
      <w:szCs w:val="24"/>
    </w:rPr>
  </w:style>
  <w:style w:type="character" w:styleId="Strong">
    <w:name w:val="Strong"/>
    <w:basedOn w:val="DefaultParagraphFont"/>
    <w:uiPriority w:val="22"/>
    <w:qFormat/>
    <w:rsid w:val="000B6813"/>
    <w:rPr>
      <w:b/>
      <w:bCs/>
    </w:rPr>
  </w:style>
  <w:style w:type="character" w:customStyle="1" w:styleId="Style4Char">
    <w:name w:val="Style4 Char"/>
    <w:basedOn w:val="Style3Char"/>
    <w:link w:val="Style4"/>
    <w:rsid w:val="0015493A"/>
    <w:rPr>
      <w:rFonts w:ascii="Calibri" w:eastAsia="Calibri" w:hAnsi="Calibri" w:cs="Calibri"/>
      <w:b/>
      <w:sz w:val="24"/>
      <w:szCs w:val="24"/>
    </w:rPr>
  </w:style>
  <w:style w:type="character" w:styleId="IntenseEmphasis">
    <w:name w:val="Intense Emphasis"/>
    <w:basedOn w:val="DefaultParagraphFont"/>
    <w:uiPriority w:val="14"/>
    <w:qFormat/>
    <w:rsid w:val="007A0896"/>
    <w:rPr>
      <w:b/>
      <w:bCs/>
      <w:i/>
      <w:iCs/>
      <w:color w:val="4F81BD" w:themeColor="accent1"/>
    </w:rPr>
  </w:style>
  <w:style w:type="paragraph" w:styleId="Footer">
    <w:name w:val="footer"/>
    <w:basedOn w:val="Normal"/>
    <w:link w:val="FooterChar"/>
    <w:uiPriority w:val="99"/>
    <w:rsid w:val="007A0896"/>
    <w:pPr>
      <w:pBdr>
        <w:top w:val="single" w:sz="12" w:space="9" w:color="BFBFBF"/>
      </w:pBdr>
      <w:tabs>
        <w:tab w:val="center" w:pos="4513"/>
        <w:tab w:val="right" w:pos="9026"/>
      </w:tabs>
      <w:spacing w:before="180" w:after="60" w:line="312" w:lineRule="auto"/>
    </w:pPr>
    <w:rPr>
      <w:rFonts w:asciiTheme="minorHAnsi" w:eastAsiaTheme="minorHAnsi" w:hAnsiTheme="minorHAnsi"/>
      <w:b/>
      <w:color w:val="01653F"/>
      <w:sz w:val="17"/>
      <w:szCs w:val="17"/>
      <w:lang w:val="en-AU"/>
    </w:rPr>
  </w:style>
  <w:style w:type="character" w:customStyle="1" w:styleId="FooterChar">
    <w:name w:val="Footer Char"/>
    <w:basedOn w:val="DefaultParagraphFont"/>
    <w:link w:val="Footer"/>
    <w:uiPriority w:val="99"/>
    <w:rsid w:val="007A0896"/>
    <w:rPr>
      <w:rFonts w:asciiTheme="minorHAnsi" w:eastAsiaTheme="minorHAnsi" w:hAnsiTheme="minorHAnsi"/>
      <w:b/>
      <w:color w:val="01653F"/>
      <w:sz w:val="17"/>
      <w:szCs w:val="17"/>
      <w:lang w:val="en-AU"/>
    </w:rPr>
  </w:style>
  <w:style w:type="paragraph" w:customStyle="1" w:styleId="CoverH1White">
    <w:name w:val="Cover H1 White"/>
    <w:basedOn w:val="Normal"/>
    <w:uiPriority w:val="14"/>
    <w:qFormat/>
    <w:rsid w:val="007A0896"/>
    <w:pPr>
      <w:keepNext/>
      <w:widowControl w:val="0"/>
      <w:suppressAutoHyphens/>
      <w:autoSpaceDE w:val="0"/>
      <w:autoSpaceDN w:val="0"/>
      <w:adjustRightInd w:val="0"/>
      <w:spacing w:before="960" w:after="240" w:line="840" w:lineRule="atLeast"/>
      <w:textAlignment w:val="center"/>
    </w:pPr>
    <w:rPr>
      <w:rFonts w:ascii="Calibri-Bold" w:eastAsia="Times New Roman" w:hAnsi="Calibri-Bold" w:cs="Calibri-Bold"/>
      <w:b/>
      <w:bCs/>
      <w:color w:val="FFFFFF"/>
      <w:sz w:val="80"/>
      <w:szCs w:val="80"/>
      <w:lang w:val="en-US" w:eastAsia="en-US"/>
    </w:rPr>
  </w:style>
  <w:style w:type="paragraph" w:customStyle="1" w:styleId="CoverH1Green">
    <w:name w:val="Cover H1 Green"/>
    <w:basedOn w:val="Normal"/>
    <w:uiPriority w:val="14"/>
    <w:qFormat/>
    <w:rsid w:val="007A0896"/>
    <w:pPr>
      <w:keepNext/>
      <w:widowControl w:val="0"/>
      <w:suppressAutoHyphens/>
      <w:autoSpaceDE w:val="0"/>
      <w:autoSpaceDN w:val="0"/>
      <w:adjustRightInd w:val="0"/>
      <w:spacing w:before="960" w:after="240" w:line="840" w:lineRule="atLeast"/>
      <w:textAlignment w:val="center"/>
    </w:pPr>
    <w:rPr>
      <w:rFonts w:asciiTheme="minorHAnsi" w:eastAsia="Times New Roman" w:hAnsiTheme="minorHAnsi" w:cstheme="minorHAnsi"/>
      <w:b/>
      <w:bCs/>
      <w:color w:val="01653F"/>
      <w:sz w:val="80"/>
      <w:szCs w:val="80"/>
      <w:lang w:val="en-US" w:eastAsia="en-US"/>
    </w:rPr>
  </w:style>
  <w:style w:type="paragraph" w:customStyle="1" w:styleId="Coverdate">
    <w:name w:val="Cover date"/>
    <w:basedOn w:val="Normal"/>
    <w:uiPriority w:val="14"/>
    <w:qFormat/>
    <w:rsid w:val="007A0896"/>
    <w:pPr>
      <w:keepNext/>
      <w:widowControl w:val="0"/>
      <w:pBdr>
        <w:bottom w:val="single" w:sz="16" w:space="11" w:color="BFBFBF"/>
      </w:pBdr>
      <w:autoSpaceDE w:val="0"/>
      <w:autoSpaceDN w:val="0"/>
      <w:adjustRightInd w:val="0"/>
      <w:spacing w:before="720" w:after="720" w:line="312" w:lineRule="auto"/>
      <w:textAlignment w:val="center"/>
    </w:pPr>
    <w:rPr>
      <w:rFonts w:ascii="Calibri" w:eastAsia="Times New Roman" w:hAnsi="Calibri" w:cs="Calibri"/>
      <w:color w:val="01653F"/>
      <w:sz w:val="40"/>
      <w:szCs w:val="40"/>
      <w:lang w:val="en-US" w:eastAsia="en-US"/>
    </w:rPr>
  </w:style>
  <w:style w:type="paragraph" w:styleId="BalloonText">
    <w:name w:val="Balloon Text"/>
    <w:basedOn w:val="Normal"/>
    <w:link w:val="BalloonTextChar"/>
    <w:uiPriority w:val="99"/>
    <w:semiHidden/>
    <w:unhideWhenUsed/>
    <w:rsid w:val="007C318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18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C3184"/>
    <w:rPr>
      <w:b/>
      <w:bCs/>
    </w:rPr>
  </w:style>
  <w:style w:type="character" w:customStyle="1" w:styleId="CommentSubjectChar">
    <w:name w:val="Comment Subject Char"/>
    <w:basedOn w:val="CommentTextChar"/>
    <w:link w:val="CommentSubject"/>
    <w:uiPriority w:val="99"/>
    <w:semiHidden/>
    <w:rsid w:val="007C3184"/>
    <w:rPr>
      <w:b/>
      <w:bCs/>
      <w:sz w:val="20"/>
      <w:szCs w:val="20"/>
    </w:rPr>
  </w:style>
  <w:style w:type="paragraph" w:styleId="ListParagraph">
    <w:name w:val="List Paragraph"/>
    <w:basedOn w:val="Normal"/>
    <w:uiPriority w:val="34"/>
    <w:qFormat/>
    <w:rsid w:val="00A216AA"/>
    <w:pPr>
      <w:ind w:left="720"/>
      <w:contextualSpacing/>
    </w:pPr>
  </w:style>
  <w:style w:type="paragraph" w:styleId="Revision">
    <w:name w:val="Revision"/>
    <w:hidden/>
    <w:uiPriority w:val="99"/>
    <w:semiHidden/>
    <w:rsid w:val="002B4EB9"/>
    <w:pPr>
      <w:spacing w:line="240" w:lineRule="auto"/>
    </w:pPr>
  </w:style>
  <w:style w:type="paragraph" w:styleId="NormalWeb">
    <w:name w:val="Normal (Web)"/>
    <w:basedOn w:val="Normal"/>
    <w:uiPriority w:val="99"/>
    <w:semiHidden/>
    <w:unhideWhenUsed/>
    <w:rsid w:val="00CC4789"/>
    <w:pPr>
      <w:spacing w:before="100" w:beforeAutospacing="1" w:after="100" w:afterAutospacing="1" w:line="240" w:lineRule="auto"/>
    </w:pPr>
    <w:rPr>
      <w:rFonts w:ascii="Times New Roman" w:eastAsiaTheme="minorHAnsi" w:hAnsi="Times New Roman" w:cs="Times New Roman"/>
      <w:sz w:val="24"/>
      <w:szCs w:val="24"/>
      <w:lang w:val="en-AU"/>
    </w:rPr>
  </w:style>
  <w:style w:type="character" w:customStyle="1" w:styleId="Bullet-greenChar">
    <w:name w:val="Bullet - green Char"/>
    <w:basedOn w:val="DefaultParagraphFont"/>
    <w:link w:val="Bullet-green"/>
    <w:uiPriority w:val="14"/>
    <w:locked/>
    <w:rsid w:val="00974B3E"/>
    <w:rPr>
      <w:rFonts w:ascii="Calibri" w:hAnsi="Calibri" w:cs="Calibri"/>
    </w:rPr>
  </w:style>
  <w:style w:type="paragraph" w:customStyle="1" w:styleId="Bullet-green">
    <w:name w:val="Bullet - green"/>
    <w:basedOn w:val="Normal"/>
    <w:link w:val="Bullet-greenChar"/>
    <w:uiPriority w:val="14"/>
    <w:rsid w:val="00974B3E"/>
    <w:pPr>
      <w:numPr>
        <w:numId w:val="49"/>
      </w:numPr>
      <w:spacing w:after="180" w:line="240" w:lineRule="auto"/>
    </w:pPr>
    <w:rPr>
      <w:rFonts w:ascii="Calibri" w:hAnsi="Calibri" w:cs="Calibri"/>
    </w:rPr>
  </w:style>
  <w:style w:type="character" w:customStyle="1" w:styleId="02dashChar">
    <w:name w:val="02 dash Char"/>
    <w:basedOn w:val="DefaultParagraphFont"/>
    <w:link w:val="02dash"/>
    <w:uiPriority w:val="4"/>
    <w:locked/>
    <w:rsid w:val="00974B3E"/>
    <w:rPr>
      <w:rFonts w:ascii="Calibri" w:hAnsi="Calibri" w:cs="Calibri"/>
    </w:rPr>
  </w:style>
  <w:style w:type="paragraph" w:customStyle="1" w:styleId="02dash">
    <w:name w:val="02 dash"/>
    <w:basedOn w:val="Normal"/>
    <w:link w:val="02dashChar"/>
    <w:uiPriority w:val="4"/>
    <w:rsid w:val="00974B3E"/>
    <w:pPr>
      <w:numPr>
        <w:ilvl w:val="1"/>
        <w:numId w:val="50"/>
      </w:numPr>
      <w:spacing w:before="120" w:after="180" w:line="240" w:lineRule="auto"/>
      <w:ind w:left="709" w:right="142"/>
    </w:pPr>
    <w:rPr>
      <w:rFonts w:ascii="Calibri" w:hAnsi="Calibri" w:cs="Calibri"/>
    </w:rPr>
  </w:style>
  <w:style w:type="paragraph" w:customStyle="1" w:styleId="DNU8">
    <w:name w:val="DNU8"/>
    <w:basedOn w:val="Normal"/>
    <w:uiPriority w:val="99"/>
    <w:rsid w:val="00974B3E"/>
    <w:pPr>
      <w:numPr>
        <w:ilvl w:val="2"/>
        <w:numId w:val="50"/>
      </w:numPr>
      <w:spacing w:before="120" w:after="180" w:line="240" w:lineRule="auto"/>
      <w:ind w:left="1800" w:right="142"/>
    </w:pPr>
    <w:rPr>
      <w:rFonts w:ascii="Calibri" w:eastAsiaTheme="minorHAnsi" w:hAnsi="Calibri" w:cs="Calibri"/>
      <w:lang w:val="en-AU" w:eastAsia="en-US"/>
    </w:rPr>
  </w:style>
  <w:style w:type="paragraph" w:customStyle="1" w:styleId="DNU10">
    <w:name w:val="DNU10"/>
    <w:basedOn w:val="Normal"/>
    <w:uiPriority w:val="99"/>
    <w:rsid w:val="00974B3E"/>
    <w:pPr>
      <w:numPr>
        <w:ilvl w:val="3"/>
        <w:numId w:val="50"/>
      </w:numPr>
      <w:spacing w:before="120" w:after="180" w:line="240" w:lineRule="auto"/>
      <w:ind w:left="2520" w:right="142"/>
    </w:pPr>
    <w:rPr>
      <w:rFonts w:ascii="Calibri" w:eastAsiaTheme="minorHAnsi" w:hAnsi="Calibri" w:cs="Calibri"/>
      <w:lang w:val="en-AU" w:eastAsia="en-US"/>
    </w:rPr>
  </w:style>
  <w:style w:type="character" w:customStyle="1" w:styleId="01TrianglebulletsChar">
    <w:name w:val="01 Triangle bullets Char"/>
    <w:basedOn w:val="DefaultParagraphFont"/>
    <w:link w:val="01Trianglebullets"/>
    <w:locked/>
    <w:rsid w:val="00974B3E"/>
    <w:rPr>
      <w:rFonts w:ascii="Calibri" w:hAnsi="Calibri" w:cs="Calibri"/>
    </w:rPr>
  </w:style>
  <w:style w:type="paragraph" w:customStyle="1" w:styleId="01Trianglebullets">
    <w:name w:val="01 Triangle bullets"/>
    <w:basedOn w:val="Normal"/>
    <w:link w:val="01TrianglebulletsChar"/>
    <w:rsid w:val="00974B3E"/>
    <w:pPr>
      <w:numPr>
        <w:numId w:val="51"/>
      </w:numPr>
      <w:spacing w:after="180" w:line="240" w:lineRule="auto"/>
    </w:pPr>
    <w:rPr>
      <w:rFonts w:ascii="Calibri" w:hAnsi="Calibri" w:cs="Calibri"/>
    </w:rPr>
  </w:style>
  <w:style w:type="character" w:customStyle="1" w:styleId="01squarebulletChar">
    <w:name w:val="01 square bullet Char"/>
    <w:basedOn w:val="DefaultParagraphFont"/>
    <w:link w:val="01squarebullet"/>
    <w:uiPriority w:val="3"/>
    <w:locked/>
    <w:rsid w:val="00974B3E"/>
    <w:rPr>
      <w:rFonts w:ascii="Calibri" w:hAnsi="Calibri" w:cs="Calibri"/>
    </w:rPr>
  </w:style>
  <w:style w:type="paragraph" w:customStyle="1" w:styleId="01squarebullet">
    <w:name w:val="01 square bullet"/>
    <w:basedOn w:val="Normal"/>
    <w:link w:val="01squarebulletChar"/>
    <w:uiPriority w:val="3"/>
    <w:rsid w:val="00974B3E"/>
    <w:pPr>
      <w:numPr>
        <w:numId w:val="52"/>
      </w:numPr>
      <w:spacing w:before="120" w:after="60" w:line="240" w:lineRule="auto"/>
      <w:ind w:right="142"/>
    </w:pPr>
    <w:rPr>
      <w:rFonts w:ascii="Calibri" w:hAnsi="Calibri" w:cs="Calibri"/>
    </w:rPr>
  </w:style>
  <w:style w:type="paragraph" w:customStyle="1" w:styleId="Bullet3">
    <w:name w:val="Bullet 3"/>
    <w:basedOn w:val="Normal"/>
    <w:uiPriority w:val="4"/>
    <w:rsid w:val="00974B3E"/>
    <w:pPr>
      <w:numPr>
        <w:numId w:val="50"/>
      </w:numPr>
      <w:spacing w:before="120" w:after="180" w:line="240" w:lineRule="auto"/>
      <w:ind w:left="927" w:right="142" w:hanging="283"/>
    </w:pPr>
    <w:rPr>
      <w:rFonts w:ascii="Calibri" w:eastAsiaTheme="minorHAnsi" w:hAnsi="Calibri" w:cs="Calibri"/>
      <w:lang w:val="en-AU" w:eastAsia="en-US"/>
    </w:rPr>
  </w:style>
  <w:style w:type="character" w:customStyle="1" w:styleId="hi">
    <w:name w:val="hi"/>
    <w:basedOn w:val="DefaultParagraphFont"/>
    <w:rsid w:val="00B50FA1"/>
  </w:style>
  <w:style w:type="paragraph" w:styleId="FootnoteText">
    <w:name w:val="footnote text"/>
    <w:basedOn w:val="Normal"/>
    <w:link w:val="FootnoteTextChar"/>
    <w:uiPriority w:val="99"/>
    <w:semiHidden/>
    <w:unhideWhenUsed/>
    <w:rsid w:val="00ED6171"/>
    <w:pPr>
      <w:spacing w:line="240" w:lineRule="auto"/>
    </w:pPr>
    <w:rPr>
      <w:sz w:val="20"/>
      <w:szCs w:val="20"/>
    </w:rPr>
  </w:style>
  <w:style w:type="character" w:customStyle="1" w:styleId="FootnoteTextChar">
    <w:name w:val="Footnote Text Char"/>
    <w:basedOn w:val="DefaultParagraphFont"/>
    <w:link w:val="FootnoteText"/>
    <w:uiPriority w:val="99"/>
    <w:semiHidden/>
    <w:rsid w:val="00ED6171"/>
    <w:rPr>
      <w:sz w:val="20"/>
      <w:szCs w:val="20"/>
    </w:rPr>
  </w:style>
  <w:style w:type="character" w:styleId="FootnoteReference">
    <w:name w:val="footnote reference"/>
    <w:basedOn w:val="DefaultParagraphFont"/>
    <w:uiPriority w:val="99"/>
    <w:semiHidden/>
    <w:unhideWhenUsed/>
    <w:rsid w:val="00ED6171"/>
    <w:rPr>
      <w:vertAlign w:val="superscript"/>
    </w:rPr>
  </w:style>
  <w:style w:type="paragraph" w:customStyle="1" w:styleId="Default">
    <w:name w:val="Default"/>
    <w:basedOn w:val="Normal"/>
    <w:rsid w:val="00116AC3"/>
    <w:pPr>
      <w:autoSpaceDE w:val="0"/>
      <w:autoSpaceDN w:val="0"/>
      <w:spacing w:line="240" w:lineRule="auto"/>
    </w:pPr>
    <w:rPr>
      <w:rFonts w:ascii="Calibri" w:eastAsiaTheme="minorHAnsi" w:hAnsi="Calibri" w:cs="Times New Roman"/>
      <w:color w:val="000000"/>
      <w:sz w:val="24"/>
      <w:szCs w:val="24"/>
      <w:lang w:val="en-AU"/>
    </w:rPr>
  </w:style>
  <w:style w:type="paragraph" w:customStyle="1" w:styleId="60exhnormal">
    <w:name w:val="60 exh normal"/>
    <w:basedOn w:val="Normal"/>
    <w:rsid w:val="00B11FC3"/>
    <w:pPr>
      <w:spacing w:before="200" w:line="240" w:lineRule="auto"/>
    </w:pPr>
    <w:rPr>
      <w:rFonts w:eastAsia="Times New Roman" w:cs="Times New Roman"/>
      <w:caps/>
      <w:szCs w:val="20"/>
      <w:lang w:val="en-US" w:eastAsia="en-US"/>
    </w:rPr>
  </w:style>
  <w:style w:type="paragraph" w:customStyle="1" w:styleId="70exhtblnormal">
    <w:name w:val="70 exh tbl normal"/>
    <w:basedOn w:val="Normal"/>
    <w:rsid w:val="00B11FC3"/>
    <w:pPr>
      <w:spacing w:before="60" w:after="60" w:line="240" w:lineRule="auto"/>
      <w:ind w:left="144" w:right="289"/>
    </w:pPr>
    <w:rPr>
      <w:rFonts w:eastAsia="Times New Roman" w:cs="Times New Roman"/>
      <w:sz w:val="24"/>
      <w:szCs w:val="20"/>
      <w:lang w:val="en-US" w:eastAsia="en-US"/>
    </w:rPr>
  </w:style>
  <w:style w:type="character" w:styleId="FollowedHyperlink">
    <w:name w:val="FollowedHyperlink"/>
    <w:basedOn w:val="DefaultParagraphFont"/>
    <w:uiPriority w:val="99"/>
    <w:semiHidden/>
    <w:unhideWhenUsed/>
    <w:rsid w:val="00452EDB"/>
    <w:rPr>
      <w:color w:val="800080" w:themeColor="followedHyperlink"/>
      <w:u w:val="single"/>
    </w:rPr>
  </w:style>
  <w:style w:type="character" w:customStyle="1" w:styleId="UnresolvedMention1">
    <w:name w:val="Unresolved Mention1"/>
    <w:basedOn w:val="DefaultParagraphFont"/>
    <w:uiPriority w:val="99"/>
    <w:semiHidden/>
    <w:unhideWhenUsed/>
    <w:rsid w:val="002B549D"/>
    <w:rPr>
      <w:color w:val="605E5C"/>
      <w:shd w:val="clear" w:color="auto" w:fill="E1DFDD"/>
    </w:rPr>
  </w:style>
  <w:style w:type="paragraph" w:styleId="Header">
    <w:name w:val="header"/>
    <w:basedOn w:val="Normal"/>
    <w:link w:val="HeaderChar"/>
    <w:uiPriority w:val="99"/>
    <w:semiHidden/>
    <w:unhideWhenUsed/>
    <w:rsid w:val="00BB243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742D14"/>
  </w:style>
  <w:style w:type="character" w:customStyle="1" w:styleId="element-citation">
    <w:name w:val="element-citation"/>
    <w:basedOn w:val="DefaultParagraphFont"/>
    <w:rsid w:val="00147D0F"/>
  </w:style>
  <w:style w:type="character" w:customStyle="1" w:styleId="ref-journal">
    <w:name w:val="ref-journal"/>
    <w:basedOn w:val="DefaultParagraphFont"/>
    <w:rsid w:val="00147D0F"/>
  </w:style>
  <w:style w:type="paragraph" w:styleId="EndnoteText">
    <w:name w:val="endnote text"/>
    <w:basedOn w:val="Normal"/>
    <w:link w:val="EndnoteTextChar"/>
    <w:uiPriority w:val="99"/>
    <w:semiHidden/>
    <w:unhideWhenUsed/>
    <w:rsid w:val="00A12DFA"/>
    <w:pPr>
      <w:spacing w:line="240" w:lineRule="auto"/>
    </w:pPr>
    <w:rPr>
      <w:sz w:val="20"/>
      <w:szCs w:val="20"/>
    </w:rPr>
  </w:style>
  <w:style w:type="character" w:customStyle="1" w:styleId="EndnoteTextChar">
    <w:name w:val="Endnote Text Char"/>
    <w:basedOn w:val="DefaultParagraphFont"/>
    <w:link w:val="EndnoteText"/>
    <w:uiPriority w:val="99"/>
    <w:semiHidden/>
    <w:rsid w:val="00A12DFA"/>
    <w:rPr>
      <w:sz w:val="20"/>
      <w:szCs w:val="20"/>
    </w:rPr>
  </w:style>
  <w:style w:type="character" w:styleId="EndnoteReference">
    <w:name w:val="endnote reference"/>
    <w:basedOn w:val="DefaultParagraphFont"/>
    <w:uiPriority w:val="99"/>
    <w:semiHidden/>
    <w:unhideWhenUsed/>
    <w:rsid w:val="00A12DFA"/>
    <w:rPr>
      <w:vertAlign w:val="superscript"/>
    </w:rPr>
  </w:style>
  <w:style w:type="character" w:customStyle="1" w:styleId="UnresolvedMention2">
    <w:name w:val="Unresolved Mention2"/>
    <w:basedOn w:val="DefaultParagraphFont"/>
    <w:uiPriority w:val="99"/>
    <w:semiHidden/>
    <w:unhideWhenUsed/>
    <w:rsid w:val="008B4AD0"/>
    <w:rPr>
      <w:color w:val="605E5C"/>
      <w:shd w:val="clear" w:color="auto" w:fill="E1DFDD"/>
    </w:rPr>
  </w:style>
  <w:style w:type="character" w:customStyle="1" w:styleId="UnresolvedMention20">
    <w:name w:val="Unresolved Mention2"/>
    <w:basedOn w:val="DefaultParagraphFont"/>
    <w:uiPriority w:val="99"/>
    <w:semiHidden/>
    <w:unhideWhenUsed/>
    <w:rsid w:val="00D15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31457">
      <w:bodyDiv w:val="1"/>
      <w:marLeft w:val="0"/>
      <w:marRight w:val="0"/>
      <w:marTop w:val="0"/>
      <w:marBottom w:val="0"/>
      <w:divBdr>
        <w:top w:val="none" w:sz="0" w:space="0" w:color="auto"/>
        <w:left w:val="none" w:sz="0" w:space="0" w:color="auto"/>
        <w:bottom w:val="none" w:sz="0" w:space="0" w:color="auto"/>
        <w:right w:val="none" w:sz="0" w:space="0" w:color="auto"/>
      </w:divBdr>
    </w:div>
    <w:div w:id="112098498">
      <w:bodyDiv w:val="1"/>
      <w:marLeft w:val="0"/>
      <w:marRight w:val="0"/>
      <w:marTop w:val="0"/>
      <w:marBottom w:val="0"/>
      <w:divBdr>
        <w:top w:val="none" w:sz="0" w:space="0" w:color="auto"/>
        <w:left w:val="none" w:sz="0" w:space="0" w:color="auto"/>
        <w:bottom w:val="none" w:sz="0" w:space="0" w:color="auto"/>
        <w:right w:val="none" w:sz="0" w:space="0" w:color="auto"/>
      </w:divBdr>
    </w:div>
    <w:div w:id="245501432">
      <w:bodyDiv w:val="1"/>
      <w:marLeft w:val="0"/>
      <w:marRight w:val="0"/>
      <w:marTop w:val="0"/>
      <w:marBottom w:val="0"/>
      <w:divBdr>
        <w:top w:val="none" w:sz="0" w:space="0" w:color="auto"/>
        <w:left w:val="none" w:sz="0" w:space="0" w:color="auto"/>
        <w:bottom w:val="none" w:sz="0" w:space="0" w:color="auto"/>
        <w:right w:val="none" w:sz="0" w:space="0" w:color="auto"/>
      </w:divBdr>
    </w:div>
    <w:div w:id="369377351">
      <w:bodyDiv w:val="1"/>
      <w:marLeft w:val="0"/>
      <w:marRight w:val="0"/>
      <w:marTop w:val="0"/>
      <w:marBottom w:val="0"/>
      <w:divBdr>
        <w:top w:val="none" w:sz="0" w:space="0" w:color="auto"/>
        <w:left w:val="none" w:sz="0" w:space="0" w:color="auto"/>
        <w:bottom w:val="none" w:sz="0" w:space="0" w:color="auto"/>
        <w:right w:val="none" w:sz="0" w:space="0" w:color="auto"/>
      </w:divBdr>
    </w:div>
    <w:div w:id="628360881">
      <w:bodyDiv w:val="1"/>
      <w:marLeft w:val="0"/>
      <w:marRight w:val="0"/>
      <w:marTop w:val="0"/>
      <w:marBottom w:val="0"/>
      <w:divBdr>
        <w:top w:val="none" w:sz="0" w:space="0" w:color="auto"/>
        <w:left w:val="none" w:sz="0" w:space="0" w:color="auto"/>
        <w:bottom w:val="none" w:sz="0" w:space="0" w:color="auto"/>
        <w:right w:val="none" w:sz="0" w:space="0" w:color="auto"/>
      </w:divBdr>
      <w:divsChild>
        <w:div w:id="2132091117">
          <w:marLeft w:val="0"/>
          <w:marRight w:val="0"/>
          <w:marTop w:val="0"/>
          <w:marBottom w:val="0"/>
          <w:divBdr>
            <w:top w:val="none" w:sz="0" w:space="0" w:color="auto"/>
            <w:left w:val="none" w:sz="0" w:space="0" w:color="auto"/>
            <w:bottom w:val="none" w:sz="0" w:space="0" w:color="auto"/>
            <w:right w:val="none" w:sz="0" w:space="0" w:color="auto"/>
          </w:divBdr>
          <w:divsChild>
            <w:div w:id="1658267077">
              <w:marLeft w:val="0"/>
              <w:marRight w:val="0"/>
              <w:marTop w:val="0"/>
              <w:marBottom w:val="0"/>
              <w:divBdr>
                <w:top w:val="none" w:sz="0" w:space="0" w:color="auto"/>
                <w:left w:val="none" w:sz="0" w:space="0" w:color="auto"/>
                <w:bottom w:val="none" w:sz="0" w:space="0" w:color="auto"/>
                <w:right w:val="none" w:sz="0" w:space="0" w:color="auto"/>
              </w:divBdr>
              <w:divsChild>
                <w:div w:id="3465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153056">
      <w:bodyDiv w:val="1"/>
      <w:marLeft w:val="0"/>
      <w:marRight w:val="0"/>
      <w:marTop w:val="0"/>
      <w:marBottom w:val="0"/>
      <w:divBdr>
        <w:top w:val="none" w:sz="0" w:space="0" w:color="auto"/>
        <w:left w:val="none" w:sz="0" w:space="0" w:color="auto"/>
        <w:bottom w:val="none" w:sz="0" w:space="0" w:color="auto"/>
        <w:right w:val="none" w:sz="0" w:space="0" w:color="auto"/>
      </w:divBdr>
    </w:div>
    <w:div w:id="823470063">
      <w:bodyDiv w:val="1"/>
      <w:marLeft w:val="0"/>
      <w:marRight w:val="0"/>
      <w:marTop w:val="0"/>
      <w:marBottom w:val="0"/>
      <w:divBdr>
        <w:top w:val="none" w:sz="0" w:space="0" w:color="auto"/>
        <w:left w:val="none" w:sz="0" w:space="0" w:color="auto"/>
        <w:bottom w:val="none" w:sz="0" w:space="0" w:color="auto"/>
        <w:right w:val="none" w:sz="0" w:space="0" w:color="auto"/>
      </w:divBdr>
    </w:div>
    <w:div w:id="832140413">
      <w:bodyDiv w:val="1"/>
      <w:marLeft w:val="0"/>
      <w:marRight w:val="0"/>
      <w:marTop w:val="0"/>
      <w:marBottom w:val="0"/>
      <w:divBdr>
        <w:top w:val="none" w:sz="0" w:space="0" w:color="auto"/>
        <w:left w:val="none" w:sz="0" w:space="0" w:color="auto"/>
        <w:bottom w:val="none" w:sz="0" w:space="0" w:color="auto"/>
        <w:right w:val="none" w:sz="0" w:space="0" w:color="auto"/>
      </w:divBdr>
      <w:divsChild>
        <w:div w:id="38290004">
          <w:marLeft w:val="806"/>
          <w:marRight w:val="0"/>
          <w:marTop w:val="82"/>
          <w:marBottom w:val="120"/>
          <w:divBdr>
            <w:top w:val="none" w:sz="0" w:space="0" w:color="auto"/>
            <w:left w:val="none" w:sz="0" w:space="0" w:color="auto"/>
            <w:bottom w:val="none" w:sz="0" w:space="0" w:color="auto"/>
            <w:right w:val="none" w:sz="0" w:space="0" w:color="auto"/>
          </w:divBdr>
        </w:div>
        <w:div w:id="225916436">
          <w:marLeft w:val="806"/>
          <w:marRight w:val="0"/>
          <w:marTop w:val="82"/>
          <w:marBottom w:val="120"/>
          <w:divBdr>
            <w:top w:val="none" w:sz="0" w:space="0" w:color="auto"/>
            <w:left w:val="none" w:sz="0" w:space="0" w:color="auto"/>
            <w:bottom w:val="none" w:sz="0" w:space="0" w:color="auto"/>
            <w:right w:val="none" w:sz="0" w:space="0" w:color="auto"/>
          </w:divBdr>
        </w:div>
        <w:div w:id="303855609">
          <w:marLeft w:val="806"/>
          <w:marRight w:val="0"/>
          <w:marTop w:val="82"/>
          <w:marBottom w:val="120"/>
          <w:divBdr>
            <w:top w:val="none" w:sz="0" w:space="0" w:color="auto"/>
            <w:left w:val="none" w:sz="0" w:space="0" w:color="auto"/>
            <w:bottom w:val="none" w:sz="0" w:space="0" w:color="auto"/>
            <w:right w:val="none" w:sz="0" w:space="0" w:color="auto"/>
          </w:divBdr>
        </w:div>
        <w:div w:id="471604877">
          <w:marLeft w:val="806"/>
          <w:marRight w:val="0"/>
          <w:marTop w:val="82"/>
          <w:marBottom w:val="120"/>
          <w:divBdr>
            <w:top w:val="none" w:sz="0" w:space="0" w:color="auto"/>
            <w:left w:val="none" w:sz="0" w:space="0" w:color="auto"/>
            <w:bottom w:val="none" w:sz="0" w:space="0" w:color="auto"/>
            <w:right w:val="none" w:sz="0" w:space="0" w:color="auto"/>
          </w:divBdr>
        </w:div>
        <w:div w:id="786966112">
          <w:marLeft w:val="806"/>
          <w:marRight w:val="0"/>
          <w:marTop w:val="82"/>
          <w:marBottom w:val="120"/>
          <w:divBdr>
            <w:top w:val="none" w:sz="0" w:space="0" w:color="auto"/>
            <w:left w:val="none" w:sz="0" w:space="0" w:color="auto"/>
            <w:bottom w:val="none" w:sz="0" w:space="0" w:color="auto"/>
            <w:right w:val="none" w:sz="0" w:space="0" w:color="auto"/>
          </w:divBdr>
        </w:div>
        <w:div w:id="1005130400">
          <w:marLeft w:val="806"/>
          <w:marRight w:val="0"/>
          <w:marTop w:val="82"/>
          <w:marBottom w:val="120"/>
          <w:divBdr>
            <w:top w:val="none" w:sz="0" w:space="0" w:color="auto"/>
            <w:left w:val="none" w:sz="0" w:space="0" w:color="auto"/>
            <w:bottom w:val="none" w:sz="0" w:space="0" w:color="auto"/>
            <w:right w:val="none" w:sz="0" w:space="0" w:color="auto"/>
          </w:divBdr>
        </w:div>
        <w:div w:id="1025643021">
          <w:marLeft w:val="806"/>
          <w:marRight w:val="0"/>
          <w:marTop w:val="82"/>
          <w:marBottom w:val="120"/>
          <w:divBdr>
            <w:top w:val="none" w:sz="0" w:space="0" w:color="auto"/>
            <w:left w:val="none" w:sz="0" w:space="0" w:color="auto"/>
            <w:bottom w:val="none" w:sz="0" w:space="0" w:color="auto"/>
            <w:right w:val="none" w:sz="0" w:space="0" w:color="auto"/>
          </w:divBdr>
        </w:div>
        <w:div w:id="1302075942">
          <w:marLeft w:val="806"/>
          <w:marRight w:val="0"/>
          <w:marTop w:val="82"/>
          <w:marBottom w:val="120"/>
          <w:divBdr>
            <w:top w:val="none" w:sz="0" w:space="0" w:color="auto"/>
            <w:left w:val="none" w:sz="0" w:space="0" w:color="auto"/>
            <w:bottom w:val="none" w:sz="0" w:space="0" w:color="auto"/>
            <w:right w:val="none" w:sz="0" w:space="0" w:color="auto"/>
          </w:divBdr>
        </w:div>
        <w:div w:id="1328443170">
          <w:marLeft w:val="806"/>
          <w:marRight w:val="0"/>
          <w:marTop w:val="82"/>
          <w:marBottom w:val="120"/>
          <w:divBdr>
            <w:top w:val="none" w:sz="0" w:space="0" w:color="auto"/>
            <w:left w:val="none" w:sz="0" w:space="0" w:color="auto"/>
            <w:bottom w:val="none" w:sz="0" w:space="0" w:color="auto"/>
            <w:right w:val="none" w:sz="0" w:space="0" w:color="auto"/>
          </w:divBdr>
        </w:div>
        <w:div w:id="1509559405">
          <w:marLeft w:val="806"/>
          <w:marRight w:val="0"/>
          <w:marTop w:val="82"/>
          <w:marBottom w:val="120"/>
          <w:divBdr>
            <w:top w:val="none" w:sz="0" w:space="0" w:color="auto"/>
            <w:left w:val="none" w:sz="0" w:space="0" w:color="auto"/>
            <w:bottom w:val="none" w:sz="0" w:space="0" w:color="auto"/>
            <w:right w:val="none" w:sz="0" w:space="0" w:color="auto"/>
          </w:divBdr>
        </w:div>
      </w:divsChild>
    </w:div>
    <w:div w:id="1161653137">
      <w:bodyDiv w:val="1"/>
      <w:marLeft w:val="0"/>
      <w:marRight w:val="0"/>
      <w:marTop w:val="0"/>
      <w:marBottom w:val="0"/>
      <w:divBdr>
        <w:top w:val="none" w:sz="0" w:space="0" w:color="auto"/>
        <w:left w:val="none" w:sz="0" w:space="0" w:color="auto"/>
        <w:bottom w:val="none" w:sz="0" w:space="0" w:color="auto"/>
        <w:right w:val="none" w:sz="0" w:space="0" w:color="auto"/>
      </w:divBdr>
    </w:div>
    <w:div w:id="1195075189">
      <w:bodyDiv w:val="1"/>
      <w:marLeft w:val="0"/>
      <w:marRight w:val="0"/>
      <w:marTop w:val="0"/>
      <w:marBottom w:val="0"/>
      <w:divBdr>
        <w:top w:val="none" w:sz="0" w:space="0" w:color="auto"/>
        <w:left w:val="none" w:sz="0" w:space="0" w:color="auto"/>
        <w:bottom w:val="none" w:sz="0" w:space="0" w:color="auto"/>
        <w:right w:val="none" w:sz="0" w:space="0" w:color="auto"/>
      </w:divBdr>
    </w:div>
    <w:div w:id="1274945176">
      <w:bodyDiv w:val="1"/>
      <w:marLeft w:val="0"/>
      <w:marRight w:val="0"/>
      <w:marTop w:val="0"/>
      <w:marBottom w:val="0"/>
      <w:divBdr>
        <w:top w:val="none" w:sz="0" w:space="0" w:color="auto"/>
        <w:left w:val="none" w:sz="0" w:space="0" w:color="auto"/>
        <w:bottom w:val="none" w:sz="0" w:space="0" w:color="auto"/>
        <w:right w:val="none" w:sz="0" w:space="0" w:color="auto"/>
      </w:divBdr>
    </w:div>
    <w:div w:id="1620601049">
      <w:bodyDiv w:val="1"/>
      <w:marLeft w:val="0"/>
      <w:marRight w:val="0"/>
      <w:marTop w:val="0"/>
      <w:marBottom w:val="0"/>
      <w:divBdr>
        <w:top w:val="none" w:sz="0" w:space="0" w:color="auto"/>
        <w:left w:val="none" w:sz="0" w:space="0" w:color="auto"/>
        <w:bottom w:val="none" w:sz="0" w:space="0" w:color="auto"/>
        <w:right w:val="none" w:sz="0" w:space="0" w:color="auto"/>
      </w:divBdr>
    </w:div>
    <w:div w:id="2098282131">
      <w:bodyDiv w:val="1"/>
      <w:marLeft w:val="0"/>
      <w:marRight w:val="0"/>
      <w:marTop w:val="0"/>
      <w:marBottom w:val="0"/>
      <w:divBdr>
        <w:top w:val="none" w:sz="0" w:space="0" w:color="auto"/>
        <w:left w:val="none" w:sz="0" w:space="0" w:color="auto"/>
        <w:bottom w:val="none" w:sz="0" w:space="0" w:color="auto"/>
        <w:right w:val="none" w:sz="0" w:space="0" w:color="auto"/>
      </w:divBdr>
    </w:div>
    <w:div w:id="2146386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ehealth.acrrm.org.au/provider/tele-der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health.gov.au/pregnancycareguideline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mbsonline.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9.health.gov.au/mbs/fullDisplay.cfm?type=note&amp;q=GN.15.39&amp;qt=noteID&amp;criteria=GN%2E15%2E3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agedcare.health.gov.au/funding/dementia-and-aged-care-services-fund-dacs/dementia/australian-government-programs-to-support-people-living-with-dementia-and-their-support-networks" TargetMode="Externa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yperlink" Target="https://brisbanenorth.communityhealthpathways.org/231852.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safetyandquality.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afetyandquality.gov.au/standards/national-safety-and-quality-digital-mental-health-standards" TargetMode="External"/><Relationship Id="rId3" Type="http://schemas.openxmlformats.org/officeDocument/2006/relationships/hyperlink" Target="https://apps.who.int/iris/handle/10665/108350" TargetMode="External"/><Relationship Id="rId7" Type="http://schemas.openxmlformats.org/officeDocument/2006/relationships/hyperlink" Target="http://www.mbsonline.gov.au/internet/mbsonline/publishing.nsf/Content/F47F4FC1848FAEC2CA25855D008395C9/$File/Factsheet%20-%20Privacy%20Checklist%20for%20Telehealth%20Services.pdf" TargetMode="External"/><Relationship Id="rId2" Type="http://schemas.openxmlformats.org/officeDocument/2006/relationships/hyperlink" Target="https://www.who.int/gender-equity-rights/understanding/accessibility-definition/en/" TargetMode="External"/><Relationship Id="rId1" Type="http://schemas.openxmlformats.org/officeDocument/2006/relationships/hyperlink" Target="https://www1.health.gov.au/internet/main/publishing.nsf/Content/e-health-telehealth" TargetMode="External"/><Relationship Id="rId6" Type="http://schemas.openxmlformats.org/officeDocument/2006/relationships/hyperlink" Target="https://www.who.int/goe/policies/countries/aus__support_tele.pdf" TargetMode="External"/><Relationship Id="rId5" Type="http://schemas.openxmlformats.org/officeDocument/2006/relationships/hyperlink" Target="https://www.mja.com.au/journal/2015/203/4/search-professional-consensus-defining-and-reducing-low-value-care" TargetMode="External"/><Relationship Id="rId4" Type="http://schemas.openxmlformats.org/officeDocument/2006/relationships/hyperlink" Target="https://www.racgp.org.au/running-a-practice/technology/clinical-technology/telehealth/telehealth-video-consultations-guide/introduction" TargetMode="External"/><Relationship Id="rId9" Type="http://schemas.openxmlformats.org/officeDocument/2006/relationships/hyperlink" Target="https://australian.physio/sites/default/files/APATelehealthGuidelinesCOVID190420FA.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EE58F7AF5ECA4494BE23FC6669FB1E" ma:contentTypeVersion="6" ma:contentTypeDescription="Create a new document." ma:contentTypeScope="" ma:versionID="2b0707dbbe7d03e291570d4ce32ce999">
  <xsd:schema xmlns:xsd="http://www.w3.org/2001/XMLSchema" xmlns:xs="http://www.w3.org/2001/XMLSchema" xmlns:p="http://schemas.microsoft.com/office/2006/metadata/properties" xmlns:ns2="885e36a9-8891-42fc-b23c-c7d75ca583f2" xmlns:ns3="e342dc82-f7b7-481a-b48b-258c97241fd7" targetNamespace="http://schemas.microsoft.com/office/2006/metadata/properties" ma:root="true" ma:fieldsID="9fc420224c72ad5e3b314ac57f2658d5" ns2:_="" ns3:_="">
    <xsd:import namespace="885e36a9-8891-42fc-b23c-c7d75ca583f2"/>
    <xsd:import namespace="e342dc82-f7b7-481a-b48b-258c97241f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e36a9-8891-42fc-b23c-c7d75ca58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42dc82-f7b7-481a-b48b-258c97241fd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F4EC5-2889-4BB5-A498-03AD0D252A35}">
  <ds:schemaRefs>
    <ds:schemaRef ds:uri="http://schemas.microsoft.com/sharepoint/v3/contenttype/forms"/>
  </ds:schemaRefs>
</ds:datastoreItem>
</file>

<file path=customXml/itemProps2.xml><?xml version="1.0" encoding="utf-8"?>
<ds:datastoreItem xmlns:ds="http://schemas.openxmlformats.org/officeDocument/2006/customXml" ds:itemID="{37ADB472-FC3C-4CEC-8004-AEB21643E0D1}">
  <ds:schemaRefs>
    <ds:schemaRef ds:uri="e342dc82-f7b7-481a-b48b-258c97241fd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85e36a9-8891-42fc-b23c-c7d75ca583f2"/>
    <ds:schemaRef ds:uri="http://www.w3.org/XML/1998/namespace"/>
    <ds:schemaRef ds:uri="http://purl.org/dc/dcmitype/"/>
  </ds:schemaRefs>
</ds:datastoreItem>
</file>

<file path=customXml/itemProps3.xml><?xml version="1.0" encoding="utf-8"?>
<ds:datastoreItem xmlns:ds="http://schemas.openxmlformats.org/officeDocument/2006/customXml" ds:itemID="{C8E72D38-E782-4585-954B-90B6F847C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5e36a9-8891-42fc-b23c-c7d75ca583f2"/>
    <ds:schemaRef ds:uri="e342dc82-f7b7-481a-b48b-258c97241f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CD05F2-40D2-44E5-BD51-65856FCFA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21048</Words>
  <Characters>119976</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Telehealth Working Group </vt:lpstr>
    </vt:vector>
  </TitlesOfParts>
  <Company/>
  <LinksUpToDate>false</LinksUpToDate>
  <CharactersWithSpaces>140743</CharactersWithSpaces>
  <SharedDoc>false</SharedDoc>
  <HLinks>
    <vt:vector size="318" baseType="variant">
      <vt:variant>
        <vt:i4>3997728</vt:i4>
      </vt:variant>
      <vt:variant>
        <vt:i4>243</vt:i4>
      </vt:variant>
      <vt:variant>
        <vt:i4>0</vt:i4>
      </vt:variant>
      <vt:variant>
        <vt:i4>5</vt:i4>
      </vt:variant>
      <vt:variant>
        <vt:lpwstr>https://agedcare.health.gov.au/funding/dementia-and-aged-care-services-fund-dacs/dementia/australian-government-programs-to-support-people-living-with-dementia-and-their-support-networks</vt:lpwstr>
      </vt:variant>
      <vt:variant>
        <vt:lpwstr>DBMAS</vt:lpwstr>
      </vt:variant>
      <vt:variant>
        <vt:i4>262227</vt:i4>
      </vt:variant>
      <vt:variant>
        <vt:i4>240</vt:i4>
      </vt:variant>
      <vt:variant>
        <vt:i4>0</vt:i4>
      </vt:variant>
      <vt:variant>
        <vt:i4>5</vt:i4>
      </vt:variant>
      <vt:variant>
        <vt:lpwstr>https://www.safetyandquality.gov.au/</vt:lpwstr>
      </vt:variant>
      <vt:variant>
        <vt:lpwstr/>
      </vt:variant>
      <vt:variant>
        <vt:i4>3670068</vt:i4>
      </vt:variant>
      <vt:variant>
        <vt:i4>237</vt:i4>
      </vt:variant>
      <vt:variant>
        <vt:i4>0</vt:i4>
      </vt:variant>
      <vt:variant>
        <vt:i4>5</vt:i4>
      </vt:variant>
      <vt:variant>
        <vt:lpwstr>http://www9.health.gov.au/mbs/fullDisplay.cfm?type=note&amp;q=GN.15.39&amp;qt=noteID&amp;criteria=GN%2E15%2E39</vt:lpwstr>
      </vt:variant>
      <vt:variant>
        <vt:lpwstr/>
      </vt:variant>
      <vt:variant>
        <vt:i4>4456463</vt:i4>
      </vt:variant>
      <vt:variant>
        <vt:i4>234</vt:i4>
      </vt:variant>
      <vt:variant>
        <vt:i4>0</vt:i4>
      </vt:variant>
      <vt:variant>
        <vt:i4>5</vt:i4>
      </vt:variant>
      <vt:variant>
        <vt:lpwstr>http://www.health.gov.au/pregnancycareguidelines</vt:lpwstr>
      </vt:variant>
      <vt:variant>
        <vt:lpwstr/>
      </vt:variant>
      <vt:variant>
        <vt:i4>65606</vt:i4>
      </vt:variant>
      <vt:variant>
        <vt:i4>231</vt:i4>
      </vt:variant>
      <vt:variant>
        <vt:i4>0</vt:i4>
      </vt:variant>
      <vt:variant>
        <vt:i4>5</vt:i4>
      </vt:variant>
      <vt:variant>
        <vt:lpwstr>https://brisbanenorth.communityhealthpathways.org/231852.htm</vt:lpwstr>
      </vt:variant>
      <vt:variant>
        <vt:lpwstr/>
      </vt:variant>
      <vt:variant>
        <vt:i4>3670079</vt:i4>
      </vt:variant>
      <vt:variant>
        <vt:i4>228</vt:i4>
      </vt:variant>
      <vt:variant>
        <vt:i4>0</vt:i4>
      </vt:variant>
      <vt:variant>
        <vt:i4>5</vt:i4>
      </vt:variant>
      <vt:variant>
        <vt:lpwstr>http://www.ehealth.acrrm.org.au/provider/tele-derm</vt:lpwstr>
      </vt:variant>
      <vt:variant>
        <vt:lpwstr/>
      </vt:variant>
      <vt:variant>
        <vt:i4>524357</vt:i4>
      </vt:variant>
      <vt:variant>
        <vt:i4>225</vt:i4>
      </vt:variant>
      <vt:variant>
        <vt:i4>0</vt:i4>
      </vt:variant>
      <vt:variant>
        <vt:i4>5</vt:i4>
      </vt:variant>
      <vt:variant>
        <vt:lpwstr>http://www.mbsonline.gov.au/</vt:lpwstr>
      </vt:variant>
      <vt:variant>
        <vt:lpwstr/>
      </vt:variant>
      <vt:variant>
        <vt:i4>1966128</vt:i4>
      </vt:variant>
      <vt:variant>
        <vt:i4>218</vt:i4>
      </vt:variant>
      <vt:variant>
        <vt:i4>0</vt:i4>
      </vt:variant>
      <vt:variant>
        <vt:i4>5</vt:i4>
      </vt:variant>
      <vt:variant>
        <vt:lpwstr/>
      </vt:variant>
      <vt:variant>
        <vt:lpwstr>_Toc42072864</vt:lpwstr>
      </vt:variant>
      <vt:variant>
        <vt:i4>1638448</vt:i4>
      </vt:variant>
      <vt:variant>
        <vt:i4>212</vt:i4>
      </vt:variant>
      <vt:variant>
        <vt:i4>0</vt:i4>
      </vt:variant>
      <vt:variant>
        <vt:i4>5</vt:i4>
      </vt:variant>
      <vt:variant>
        <vt:lpwstr/>
      </vt:variant>
      <vt:variant>
        <vt:lpwstr>_Toc42072863</vt:lpwstr>
      </vt:variant>
      <vt:variant>
        <vt:i4>1572912</vt:i4>
      </vt:variant>
      <vt:variant>
        <vt:i4>206</vt:i4>
      </vt:variant>
      <vt:variant>
        <vt:i4>0</vt:i4>
      </vt:variant>
      <vt:variant>
        <vt:i4>5</vt:i4>
      </vt:variant>
      <vt:variant>
        <vt:lpwstr/>
      </vt:variant>
      <vt:variant>
        <vt:lpwstr>_Toc42072862</vt:lpwstr>
      </vt:variant>
      <vt:variant>
        <vt:i4>1769520</vt:i4>
      </vt:variant>
      <vt:variant>
        <vt:i4>200</vt:i4>
      </vt:variant>
      <vt:variant>
        <vt:i4>0</vt:i4>
      </vt:variant>
      <vt:variant>
        <vt:i4>5</vt:i4>
      </vt:variant>
      <vt:variant>
        <vt:lpwstr/>
      </vt:variant>
      <vt:variant>
        <vt:lpwstr>_Toc42072861</vt:lpwstr>
      </vt:variant>
      <vt:variant>
        <vt:i4>1703984</vt:i4>
      </vt:variant>
      <vt:variant>
        <vt:i4>194</vt:i4>
      </vt:variant>
      <vt:variant>
        <vt:i4>0</vt:i4>
      </vt:variant>
      <vt:variant>
        <vt:i4>5</vt:i4>
      </vt:variant>
      <vt:variant>
        <vt:lpwstr/>
      </vt:variant>
      <vt:variant>
        <vt:lpwstr>_Toc42072860</vt:lpwstr>
      </vt:variant>
      <vt:variant>
        <vt:i4>1245235</vt:i4>
      </vt:variant>
      <vt:variant>
        <vt:i4>188</vt:i4>
      </vt:variant>
      <vt:variant>
        <vt:i4>0</vt:i4>
      </vt:variant>
      <vt:variant>
        <vt:i4>5</vt:i4>
      </vt:variant>
      <vt:variant>
        <vt:lpwstr/>
      </vt:variant>
      <vt:variant>
        <vt:lpwstr>_Toc42072859</vt:lpwstr>
      </vt:variant>
      <vt:variant>
        <vt:i4>1179699</vt:i4>
      </vt:variant>
      <vt:variant>
        <vt:i4>182</vt:i4>
      </vt:variant>
      <vt:variant>
        <vt:i4>0</vt:i4>
      </vt:variant>
      <vt:variant>
        <vt:i4>5</vt:i4>
      </vt:variant>
      <vt:variant>
        <vt:lpwstr/>
      </vt:variant>
      <vt:variant>
        <vt:lpwstr>_Toc42072858</vt:lpwstr>
      </vt:variant>
      <vt:variant>
        <vt:i4>1900595</vt:i4>
      </vt:variant>
      <vt:variant>
        <vt:i4>176</vt:i4>
      </vt:variant>
      <vt:variant>
        <vt:i4>0</vt:i4>
      </vt:variant>
      <vt:variant>
        <vt:i4>5</vt:i4>
      </vt:variant>
      <vt:variant>
        <vt:lpwstr/>
      </vt:variant>
      <vt:variant>
        <vt:lpwstr>_Toc42072857</vt:lpwstr>
      </vt:variant>
      <vt:variant>
        <vt:i4>1835059</vt:i4>
      </vt:variant>
      <vt:variant>
        <vt:i4>170</vt:i4>
      </vt:variant>
      <vt:variant>
        <vt:i4>0</vt:i4>
      </vt:variant>
      <vt:variant>
        <vt:i4>5</vt:i4>
      </vt:variant>
      <vt:variant>
        <vt:lpwstr/>
      </vt:variant>
      <vt:variant>
        <vt:lpwstr>_Toc42072856</vt:lpwstr>
      </vt:variant>
      <vt:variant>
        <vt:i4>2031667</vt:i4>
      </vt:variant>
      <vt:variant>
        <vt:i4>164</vt:i4>
      </vt:variant>
      <vt:variant>
        <vt:i4>0</vt:i4>
      </vt:variant>
      <vt:variant>
        <vt:i4>5</vt:i4>
      </vt:variant>
      <vt:variant>
        <vt:lpwstr/>
      </vt:variant>
      <vt:variant>
        <vt:lpwstr>_Toc42072855</vt:lpwstr>
      </vt:variant>
      <vt:variant>
        <vt:i4>1966131</vt:i4>
      </vt:variant>
      <vt:variant>
        <vt:i4>158</vt:i4>
      </vt:variant>
      <vt:variant>
        <vt:i4>0</vt:i4>
      </vt:variant>
      <vt:variant>
        <vt:i4>5</vt:i4>
      </vt:variant>
      <vt:variant>
        <vt:lpwstr/>
      </vt:variant>
      <vt:variant>
        <vt:lpwstr>_Toc42072854</vt:lpwstr>
      </vt:variant>
      <vt:variant>
        <vt:i4>1638451</vt:i4>
      </vt:variant>
      <vt:variant>
        <vt:i4>152</vt:i4>
      </vt:variant>
      <vt:variant>
        <vt:i4>0</vt:i4>
      </vt:variant>
      <vt:variant>
        <vt:i4>5</vt:i4>
      </vt:variant>
      <vt:variant>
        <vt:lpwstr/>
      </vt:variant>
      <vt:variant>
        <vt:lpwstr>_Toc42072853</vt:lpwstr>
      </vt:variant>
      <vt:variant>
        <vt:i4>1572915</vt:i4>
      </vt:variant>
      <vt:variant>
        <vt:i4>146</vt:i4>
      </vt:variant>
      <vt:variant>
        <vt:i4>0</vt:i4>
      </vt:variant>
      <vt:variant>
        <vt:i4>5</vt:i4>
      </vt:variant>
      <vt:variant>
        <vt:lpwstr/>
      </vt:variant>
      <vt:variant>
        <vt:lpwstr>_Toc42072852</vt:lpwstr>
      </vt:variant>
      <vt:variant>
        <vt:i4>1769523</vt:i4>
      </vt:variant>
      <vt:variant>
        <vt:i4>140</vt:i4>
      </vt:variant>
      <vt:variant>
        <vt:i4>0</vt:i4>
      </vt:variant>
      <vt:variant>
        <vt:i4>5</vt:i4>
      </vt:variant>
      <vt:variant>
        <vt:lpwstr/>
      </vt:variant>
      <vt:variant>
        <vt:lpwstr>_Toc42072851</vt:lpwstr>
      </vt:variant>
      <vt:variant>
        <vt:i4>1703987</vt:i4>
      </vt:variant>
      <vt:variant>
        <vt:i4>134</vt:i4>
      </vt:variant>
      <vt:variant>
        <vt:i4>0</vt:i4>
      </vt:variant>
      <vt:variant>
        <vt:i4>5</vt:i4>
      </vt:variant>
      <vt:variant>
        <vt:lpwstr/>
      </vt:variant>
      <vt:variant>
        <vt:lpwstr>_Toc42072850</vt:lpwstr>
      </vt:variant>
      <vt:variant>
        <vt:i4>1245234</vt:i4>
      </vt:variant>
      <vt:variant>
        <vt:i4>128</vt:i4>
      </vt:variant>
      <vt:variant>
        <vt:i4>0</vt:i4>
      </vt:variant>
      <vt:variant>
        <vt:i4>5</vt:i4>
      </vt:variant>
      <vt:variant>
        <vt:lpwstr/>
      </vt:variant>
      <vt:variant>
        <vt:lpwstr>_Toc42072849</vt:lpwstr>
      </vt:variant>
      <vt:variant>
        <vt:i4>1179698</vt:i4>
      </vt:variant>
      <vt:variant>
        <vt:i4>122</vt:i4>
      </vt:variant>
      <vt:variant>
        <vt:i4>0</vt:i4>
      </vt:variant>
      <vt:variant>
        <vt:i4>5</vt:i4>
      </vt:variant>
      <vt:variant>
        <vt:lpwstr/>
      </vt:variant>
      <vt:variant>
        <vt:lpwstr>_Toc42072848</vt:lpwstr>
      </vt:variant>
      <vt:variant>
        <vt:i4>1900594</vt:i4>
      </vt:variant>
      <vt:variant>
        <vt:i4>116</vt:i4>
      </vt:variant>
      <vt:variant>
        <vt:i4>0</vt:i4>
      </vt:variant>
      <vt:variant>
        <vt:i4>5</vt:i4>
      </vt:variant>
      <vt:variant>
        <vt:lpwstr/>
      </vt:variant>
      <vt:variant>
        <vt:lpwstr>_Toc42072847</vt:lpwstr>
      </vt:variant>
      <vt:variant>
        <vt:i4>1835058</vt:i4>
      </vt:variant>
      <vt:variant>
        <vt:i4>110</vt:i4>
      </vt:variant>
      <vt:variant>
        <vt:i4>0</vt:i4>
      </vt:variant>
      <vt:variant>
        <vt:i4>5</vt:i4>
      </vt:variant>
      <vt:variant>
        <vt:lpwstr/>
      </vt:variant>
      <vt:variant>
        <vt:lpwstr>_Toc42072846</vt:lpwstr>
      </vt:variant>
      <vt:variant>
        <vt:i4>2031666</vt:i4>
      </vt:variant>
      <vt:variant>
        <vt:i4>104</vt:i4>
      </vt:variant>
      <vt:variant>
        <vt:i4>0</vt:i4>
      </vt:variant>
      <vt:variant>
        <vt:i4>5</vt:i4>
      </vt:variant>
      <vt:variant>
        <vt:lpwstr/>
      </vt:variant>
      <vt:variant>
        <vt:lpwstr>_Toc42072845</vt:lpwstr>
      </vt:variant>
      <vt:variant>
        <vt:i4>1966130</vt:i4>
      </vt:variant>
      <vt:variant>
        <vt:i4>98</vt:i4>
      </vt:variant>
      <vt:variant>
        <vt:i4>0</vt:i4>
      </vt:variant>
      <vt:variant>
        <vt:i4>5</vt:i4>
      </vt:variant>
      <vt:variant>
        <vt:lpwstr/>
      </vt:variant>
      <vt:variant>
        <vt:lpwstr>_Toc42072844</vt:lpwstr>
      </vt:variant>
      <vt:variant>
        <vt:i4>1638450</vt:i4>
      </vt:variant>
      <vt:variant>
        <vt:i4>92</vt:i4>
      </vt:variant>
      <vt:variant>
        <vt:i4>0</vt:i4>
      </vt:variant>
      <vt:variant>
        <vt:i4>5</vt:i4>
      </vt:variant>
      <vt:variant>
        <vt:lpwstr/>
      </vt:variant>
      <vt:variant>
        <vt:lpwstr>_Toc42072843</vt:lpwstr>
      </vt:variant>
      <vt:variant>
        <vt:i4>1572914</vt:i4>
      </vt:variant>
      <vt:variant>
        <vt:i4>86</vt:i4>
      </vt:variant>
      <vt:variant>
        <vt:i4>0</vt:i4>
      </vt:variant>
      <vt:variant>
        <vt:i4>5</vt:i4>
      </vt:variant>
      <vt:variant>
        <vt:lpwstr/>
      </vt:variant>
      <vt:variant>
        <vt:lpwstr>_Toc42072842</vt:lpwstr>
      </vt:variant>
      <vt:variant>
        <vt:i4>1769522</vt:i4>
      </vt:variant>
      <vt:variant>
        <vt:i4>80</vt:i4>
      </vt:variant>
      <vt:variant>
        <vt:i4>0</vt:i4>
      </vt:variant>
      <vt:variant>
        <vt:i4>5</vt:i4>
      </vt:variant>
      <vt:variant>
        <vt:lpwstr/>
      </vt:variant>
      <vt:variant>
        <vt:lpwstr>_Toc42072841</vt:lpwstr>
      </vt:variant>
      <vt:variant>
        <vt:i4>1703986</vt:i4>
      </vt:variant>
      <vt:variant>
        <vt:i4>74</vt:i4>
      </vt:variant>
      <vt:variant>
        <vt:i4>0</vt:i4>
      </vt:variant>
      <vt:variant>
        <vt:i4>5</vt:i4>
      </vt:variant>
      <vt:variant>
        <vt:lpwstr/>
      </vt:variant>
      <vt:variant>
        <vt:lpwstr>_Toc42072840</vt:lpwstr>
      </vt:variant>
      <vt:variant>
        <vt:i4>1245237</vt:i4>
      </vt:variant>
      <vt:variant>
        <vt:i4>68</vt:i4>
      </vt:variant>
      <vt:variant>
        <vt:i4>0</vt:i4>
      </vt:variant>
      <vt:variant>
        <vt:i4>5</vt:i4>
      </vt:variant>
      <vt:variant>
        <vt:lpwstr/>
      </vt:variant>
      <vt:variant>
        <vt:lpwstr>_Toc42072839</vt:lpwstr>
      </vt:variant>
      <vt:variant>
        <vt:i4>1179701</vt:i4>
      </vt:variant>
      <vt:variant>
        <vt:i4>62</vt:i4>
      </vt:variant>
      <vt:variant>
        <vt:i4>0</vt:i4>
      </vt:variant>
      <vt:variant>
        <vt:i4>5</vt:i4>
      </vt:variant>
      <vt:variant>
        <vt:lpwstr/>
      </vt:variant>
      <vt:variant>
        <vt:lpwstr>_Toc42072838</vt:lpwstr>
      </vt:variant>
      <vt:variant>
        <vt:i4>1900597</vt:i4>
      </vt:variant>
      <vt:variant>
        <vt:i4>56</vt:i4>
      </vt:variant>
      <vt:variant>
        <vt:i4>0</vt:i4>
      </vt:variant>
      <vt:variant>
        <vt:i4>5</vt:i4>
      </vt:variant>
      <vt:variant>
        <vt:lpwstr/>
      </vt:variant>
      <vt:variant>
        <vt:lpwstr>_Toc42072837</vt:lpwstr>
      </vt:variant>
      <vt:variant>
        <vt:i4>1835061</vt:i4>
      </vt:variant>
      <vt:variant>
        <vt:i4>50</vt:i4>
      </vt:variant>
      <vt:variant>
        <vt:i4>0</vt:i4>
      </vt:variant>
      <vt:variant>
        <vt:i4>5</vt:i4>
      </vt:variant>
      <vt:variant>
        <vt:lpwstr/>
      </vt:variant>
      <vt:variant>
        <vt:lpwstr>_Toc42072836</vt:lpwstr>
      </vt:variant>
      <vt:variant>
        <vt:i4>2031669</vt:i4>
      </vt:variant>
      <vt:variant>
        <vt:i4>44</vt:i4>
      </vt:variant>
      <vt:variant>
        <vt:i4>0</vt:i4>
      </vt:variant>
      <vt:variant>
        <vt:i4>5</vt:i4>
      </vt:variant>
      <vt:variant>
        <vt:lpwstr/>
      </vt:variant>
      <vt:variant>
        <vt:lpwstr>_Toc42072835</vt:lpwstr>
      </vt:variant>
      <vt:variant>
        <vt:i4>1966133</vt:i4>
      </vt:variant>
      <vt:variant>
        <vt:i4>38</vt:i4>
      </vt:variant>
      <vt:variant>
        <vt:i4>0</vt:i4>
      </vt:variant>
      <vt:variant>
        <vt:i4>5</vt:i4>
      </vt:variant>
      <vt:variant>
        <vt:lpwstr/>
      </vt:variant>
      <vt:variant>
        <vt:lpwstr>_Toc42072834</vt:lpwstr>
      </vt:variant>
      <vt:variant>
        <vt:i4>1638453</vt:i4>
      </vt:variant>
      <vt:variant>
        <vt:i4>32</vt:i4>
      </vt:variant>
      <vt:variant>
        <vt:i4>0</vt:i4>
      </vt:variant>
      <vt:variant>
        <vt:i4>5</vt:i4>
      </vt:variant>
      <vt:variant>
        <vt:lpwstr/>
      </vt:variant>
      <vt:variant>
        <vt:lpwstr>_Toc42072833</vt:lpwstr>
      </vt:variant>
      <vt:variant>
        <vt:i4>1572917</vt:i4>
      </vt:variant>
      <vt:variant>
        <vt:i4>26</vt:i4>
      </vt:variant>
      <vt:variant>
        <vt:i4>0</vt:i4>
      </vt:variant>
      <vt:variant>
        <vt:i4>5</vt:i4>
      </vt:variant>
      <vt:variant>
        <vt:lpwstr/>
      </vt:variant>
      <vt:variant>
        <vt:lpwstr>_Toc42072832</vt:lpwstr>
      </vt:variant>
      <vt:variant>
        <vt:i4>1769525</vt:i4>
      </vt:variant>
      <vt:variant>
        <vt:i4>20</vt:i4>
      </vt:variant>
      <vt:variant>
        <vt:i4>0</vt:i4>
      </vt:variant>
      <vt:variant>
        <vt:i4>5</vt:i4>
      </vt:variant>
      <vt:variant>
        <vt:lpwstr/>
      </vt:variant>
      <vt:variant>
        <vt:lpwstr>_Toc42072831</vt:lpwstr>
      </vt:variant>
      <vt:variant>
        <vt:i4>1703989</vt:i4>
      </vt:variant>
      <vt:variant>
        <vt:i4>14</vt:i4>
      </vt:variant>
      <vt:variant>
        <vt:i4>0</vt:i4>
      </vt:variant>
      <vt:variant>
        <vt:i4>5</vt:i4>
      </vt:variant>
      <vt:variant>
        <vt:lpwstr/>
      </vt:variant>
      <vt:variant>
        <vt:lpwstr>_Toc42072830</vt:lpwstr>
      </vt:variant>
      <vt:variant>
        <vt:i4>1245236</vt:i4>
      </vt:variant>
      <vt:variant>
        <vt:i4>8</vt:i4>
      </vt:variant>
      <vt:variant>
        <vt:i4>0</vt:i4>
      </vt:variant>
      <vt:variant>
        <vt:i4>5</vt:i4>
      </vt:variant>
      <vt:variant>
        <vt:lpwstr/>
      </vt:variant>
      <vt:variant>
        <vt:lpwstr>_Toc42072829</vt:lpwstr>
      </vt:variant>
      <vt:variant>
        <vt:i4>1179700</vt:i4>
      </vt:variant>
      <vt:variant>
        <vt:i4>2</vt:i4>
      </vt:variant>
      <vt:variant>
        <vt:i4>0</vt:i4>
      </vt:variant>
      <vt:variant>
        <vt:i4>5</vt:i4>
      </vt:variant>
      <vt:variant>
        <vt:lpwstr/>
      </vt:variant>
      <vt:variant>
        <vt:lpwstr>_Toc42072828</vt:lpwstr>
      </vt:variant>
      <vt:variant>
        <vt:i4>3604577</vt:i4>
      </vt:variant>
      <vt:variant>
        <vt:i4>24</vt:i4>
      </vt:variant>
      <vt:variant>
        <vt:i4>0</vt:i4>
      </vt:variant>
      <vt:variant>
        <vt:i4>5</vt:i4>
      </vt:variant>
      <vt:variant>
        <vt:lpwstr>https://australian.physio/sites/default/files/APATelehealthGuidelinesCOVID190420FA.pdf</vt:lpwstr>
      </vt:variant>
      <vt:variant>
        <vt:lpwstr/>
      </vt:variant>
      <vt:variant>
        <vt:i4>983124</vt:i4>
      </vt:variant>
      <vt:variant>
        <vt:i4>21</vt:i4>
      </vt:variant>
      <vt:variant>
        <vt:i4>0</vt:i4>
      </vt:variant>
      <vt:variant>
        <vt:i4>5</vt:i4>
      </vt:variant>
      <vt:variant>
        <vt:lpwstr>https://www.safetyandquality.gov.au/standards/national-safety-and-quality-digital-mental-health-standards</vt:lpwstr>
      </vt:variant>
      <vt:variant>
        <vt:lpwstr/>
      </vt:variant>
      <vt:variant>
        <vt:i4>7143474</vt:i4>
      </vt:variant>
      <vt:variant>
        <vt:i4>18</vt:i4>
      </vt:variant>
      <vt:variant>
        <vt:i4>0</vt:i4>
      </vt:variant>
      <vt:variant>
        <vt:i4>5</vt:i4>
      </vt:variant>
      <vt:variant>
        <vt:lpwstr>http://www.mbsonline.gov.au/internet/mbsonline/publishing.nsf/Content/F47F4FC1848FAEC2CA25855D008395C9/$File/Factsheet - Privacy Checklist for Telehealth Services.pdf</vt:lpwstr>
      </vt:variant>
      <vt:variant>
        <vt:lpwstr/>
      </vt:variant>
      <vt:variant>
        <vt:i4>1572907</vt:i4>
      </vt:variant>
      <vt:variant>
        <vt:i4>15</vt:i4>
      </vt:variant>
      <vt:variant>
        <vt:i4>0</vt:i4>
      </vt:variant>
      <vt:variant>
        <vt:i4>5</vt:i4>
      </vt:variant>
      <vt:variant>
        <vt:lpwstr>https://www.who.int/goe/policies/countries/aus__support_tele.pdf</vt:lpwstr>
      </vt:variant>
      <vt:variant>
        <vt:lpwstr/>
      </vt:variant>
      <vt:variant>
        <vt:i4>524368</vt:i4>
      </vt:variant>
      <vt:variant>
        <vt:i4>12</vt:i4>
      </vt:variant>
      <vt:variant>
        <vt:i4>0</vt:i4>
      </vt:variant>
      <vt:variant>
        <vt:i4>5</vt:i4>
      </vt:variant>
      <vt:variant>
        <vt:lpwstr>https://www.mja.com.au/journal/2015/203/4/search-professional-consensus-defining-and-reducing-low-value-care</vt:lpwstr>
      </vt:variant>
      <vt:variant>
        <vt:lpwstr/>
      </vt:variant>
      <vt:variant>
        <vt:i4>7929981</vt:i4>
      </vt:variant>
      <vt:variant>
        <vt:i4>9</vt:i4>
      </vt:variant>
      <vt:variant>
        <vt:i4>0</vt:i4>
      </vt:variant>
      <vt:variant>
        <vt:i4>5</vt:i4>
      </vt:variant>
      <vt:variant>
        <vt:lpwstr>https://www.racgp.org.au/running-a-practice/technology/clinical-technology/telehealth/telehealth-video-consultations-guide/introduction</vt:lpwstr>
      </vt:variant>
      <vt:variant>
        <vt:lpwstr/>
      </vt:variant>
      <vt:variant>
        <vt:i4>5636118</vt:i4>
      </vt:variant>
      <vt:variant>
        <vt:i4>6</vt:i4>
      </vt:variant>
      <vt:variant>
        <vt:i4>0</vt:i4>
      </vt:variant>
      <vt:variant>
        <vt:i4>5</vt:i4>
      </vt:variant>
      <vt:variant>
        <vt:lpwstr>https://apps.who.int/iris/handle/10665/108350</vt:lpwstr>
      </vt:variant>
      <vt:variant>
        <vt:lpwstr/>
      </vt:variant>
      <vt:variant>
        <vt:i4>2555954</vt:i4>
      </vt:variant>
      <vt:variant>
        <vt:i4>3</vt:i4>
      </vt:variant>
      <vt:variant>
        <vt:i4>0</vt:i4>
      </vt:variant>
      <vt:variant>
        <vt:i4>5</vt:i4>
      </vt:variant>
      <vt:variant>
        <vt:lpwstr>https://www.who.int/gender-equity-rights/understanding/accessibility-definition/en/</vt:lpwstr>
      </vt:variant>
      <vt:variant>
        <vt:lpwstr/>
      </vt:variant>
      <vt:variant>
        <vt:i4>6684710</vt:i4>
      </vt:variant>
      <vt:variant>
        <vt:i4>0</vt:i4>
      </vt:variant>
      <vt:variant>
        <vt:i4>0</vt:i4>
      </vt:variant>
      <vt:variant>
        <vt:i4>5</vt:i4>
      </vt:variant>
      <vt:variant>
        <vt:lpwstr>https://www1.health.gov.au/internet/main/publishing.nsf/Content/e-health-telehealth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Telehealth Working Group </dc:title>
  <dc:subject>Medicare Benefits Schedule </dc:subject>
  <dc:creator>Australian Government Department of Health </dc:creator>
  <cp:keywords/>
  <dc:description/>
  <cp:lastModifiedBy>SMEDLEY, Tyne</cp:lastModifiedBy>
  <cp:revision>2</cp:revision>
  <cp:lastPrinted>2020-05-25T15:55:00Z</cp:lastPrinted>
  <dcterms:created xsi:type="dcterms:W3CDTF">2021-06-29T05:16:00Z</dcterms:created>
  <dcterms:modified xsi:type="dcterms:W3CDTF">2021-06-29T05:16:00Z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0x010100C0EE58F7AF5ECA4494BE23FC6669FB1E</vt:lpwstr>
  </property>
</Properties>
</file>