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harts/chart3.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2D860" w14:textId="77777777" w:rsidR="00262127" w:rsidRPr="00E74CB1" w:rsidRDefault="00262127" w:rsidP="00E74CB1">
      <w:pPr>
        <w:pStyle w:val="Subtitle"/>
      </w:pPr>
      <w:bookmarkStart w:id="0" w:name="_Toc427153112"/>
      <w:r w:rsidRPr="00E74CB1">
        <w:t>M</w:t>
      </w:r>
      <w:bookmarkStart w:id="1" w:name="_Ref457144516"/>
      <w:bookmarkEnd w:id="1"/>
      <w:r w:rsidRPr="00E74CB1">
        <w:t>edicare Benefits Schedule Review Taskforce</w:t>
      </w:r>
    </w:p>
    <w:p w14:paraId="52538D3A" w14:textId="77777777" w:rsidR="001C53E1" w:rsidRPr="006F282D" w:rsidRDefault="009F47E0" w:rsidP="00E74CB1">
      <w:pPr>
        <w:pStyle w:val="Title"/>
        <w:rPr>
          <w:sz w:val="60"/>
          <w:szCs w:val="60"/>
        </w:rPr>
      </w:pPr>
      <w:r w:rsidRPr="006F282D">
        <w:rPr>
          <w:sz w:val="60"/>
          <w:szCs w:val="60"/>
        </w:rPr>
        <w:t xml:space="preserve">Report </w:t>
      </w:r>
      <w:r w:rsidR="00361640" w:rsidRPr="006F282D">
        <w:rPr>
          <w:sz w:val="60"/>
          <w:szCs w:val="60"/>
        </w:rPr>
        <w:t>from the Thoracic Medicine Clinical Committee</w:t>
      </w:r>
    </w:p>
    <w:p w14:paraId="6A5DC64E" w14:textId="77777777" w:rsidR="00262127" w:rsidRPr="00E74CB1" w:rsidRDefault="00C2043B" w:rsidP="00E74CB1">
      <w:pPr>
        <w:pStyle w:val="Subtitle"/>
      </w:pPr>
      <w:r w:rsidRPr="00E74CB1">
        <w:t xml:space="preserve">August </w:t>
      </w:r>
      <w:r w:rsidR="00262127" w:rsidRPr="00E74CB1">
        <w:t>2016</w:t>
      </w:r>
    </w:p>
    <w:p w14:paraId="2A8D8F2E" w14:textId="77777777" w:rsidR="00361640" w:rsidRPr="006F6D96" w:rsidRDefault="00361640" w:rsidP="006F6D96">
      <w:bookmarkStart w:id="2" w:name="_Toc448369494"/>
      <w:r>
        <w:br w:type="page"/>
      </w:r>
    </w:p>
    <w:p w14:paraId="13BAA052" w14:textId="77777777" w:rsidR="00E74CB1" w:rsidRDefault="00E74CB1" w:rsidP="00E74CB1">
      <w:pPr>
        <w:pStyle w:val="BoxText"/>
        <w:pBdr>
          <w:top w:val="single" w:sz="12" w:space="4" w:color="984806"/>
          <w:left w:val="single" w:sz="12" w:space="4" w:color="984806"/>
          <w:bottom w:val="single" w:sz="12" w:space="4" w:color="984806"/>
          <w:right w:val="single" w:sz="12" w:space="4" w:color="984806"/>
        </w:pBdr>
        <w:rPr>
          <w:rFonts w:cs="Arial"/>
          <w:bCs/>
        </w:rPr>
      </w:pPr>
      <w:r w:rsidRPr="003B1222">
        <w:rPr>
          <w:rFonts w:cs="Arial"/>
          <w:b/>
          <w:bCs/>
          <w:color w:val="01653F"/>
          <w:sz w:val="32"/>
          <w:szCs w:val="28"/>
        </w:rPr>
        <w:lastRenderedPageBreak/>
        <w:t>Important note</w:t>
      </w:r>
    </w:p>
    <w:p w14:paraId="79A51DA3" w14:textId="77777777" w:rsidR="00E74CB1" w:rsidRDefault="00E74CB1" w:rsidP="00E74CB1">
      <w:pPr>
        <w:pStyle w:val="BoxText"/>
        <w:pBdr>
          <w:top w:val="single" w:sz="12" w:space="4" w:color="984806"/>
          <w:left w:val="single" w:sz="12" w:space="4" w:color="984806"/>
          <w:bottom w:val="single" w:sz="12" w:space="4" w:color="984806"/>
          <w:right w:val="single" w:sz="12" w:space="4" w:color="984806"/>
        </w:pBdr>
        <w:rPr>
          <w:rFonts w:cs="Arial"/>
          <w:bCs/>
        </w:rPr>
      </w:pPr>
      <w:r w:rsidRPr="00913EA8">
        <w:rPr>
          <w:rFonts w:cs="Arial"/>
          <w:bCs/>
        </w:rPr>
        <w:t>The views and recommendations in this review report from the clinical committee have been released for the purpose of seeking the views of stakeholders.</w:t>
      </w:r>
    </w:p>
    <w:p w14:paraId="4E6EEABA" w14:textId="77777777" w:rsidR="00E74CB1" w:rsidRDefault="00E74CB1" w:rsidP="00E74CB1">
      <w:pPr>
        <w:pStyle w:val="BoxText"/>
        <w:pBdr>
          <w:top w:val="single" w:sz="12" w:space="4" w:color="984806"/>
          <w:left w:val="single" w:sz="12" w:space="4" w:color="984806"/>
          <w:bottom w:val="single" w:sz="12" w:space="4" w:color="984806"/>
          <w:right w:val="single" w:sz="12" w:space="4" w:color="984806"/>
        </w:pBdr>
        <w:rPr>
          <w:noProof/>
        </w:rPr>
      </w:pPr>
      <w:r w:rsidRPr="00913EA8">
        <w:rPr>
          <w:rFonts w:cs="Arial"/>
          <w:bCs/>
        </w:rPr>
        <w:t>This report does not constitute the final position on these items which is subject to:</w:t>
      </w:r>
      <w:r w:rsidRPr="00CA4CDF">
        <w:rPr>
          <w:noProof/>
        </w:rPr>
        <w:t xml:space="preserve"> </w:t>
      </w:r>
    </w:p>
    <w:p w14:paraId="102FCCCC" w14:textId="77777777" w:rsidR="00E74CB1" w:rsidRPr="001B6B24" w:rsidRDefault="00E74CB1" w:rsidP="00E74CB1">
      <w:pPr>
        <w:pStyle w:val="BoxBullet"/>
        <w:pBdr>
          <w:top w:val="single" w:sz="12" w:space="4" w:color="984806"/>
          <w:left w:val="single" w:sz="12" w:space="4" w:color="984806"/>
          <w:bottom w:val="single" w:sz="12" w:space="4" w:color="984806"/>
          <w:right w:val="single" w:sz="12" w:space="4" w:color="984806"/>
        </w:pBdr>
      </w:pPr>
      <w:r w:rsidRPr="0010682E">
        <w:rPr>
          <w:rFonts w:eastAsia="MS Mincho"/>
        </w:rPr>
        <w:t>stakeholder feedback</w:t>
      </w:r>
      <w:r w:rsidRPr="00F126D6">
        <w:rPr>
          <w:bCs/>
        </w:rPr>
        <w:t>;</w:t>
      </w:r>
    </w:p>
    <w:p w14:paraId="14D05ED1" w14:textId="77777777" w:rsidR="00E74CB1" w:rsidRPr="001B6B24" w:rsidRDefault="00E74CB1" w:rsidP="00E74CB1">
      <w:pPr>
        <w:pStyle w:val="BoxText"/>
        <w:pBdr>
          <w:top w:val="single" w:sz="12" w:space="4" w:color="984806"/>
          <w:left w:val="single" w:sz="12" w:space="4" w:color="984806"/>
          <w:bottom w:val="single" w:sz="12" w:space="4" w:color="984806"/>
          <w:right w:val="single" w:sz="12" w:space="4" w:color="984806"/>
        </w:pBdr>
      </w:pPr>
      <w:r>
        <w:t>then</w:t>
      </w:r>
    </w:p>
    <w:p w14:paraId="18D22DF4" w14:textId="77777777" w:rsidR="00E74CB1" w:rsidRPr="001B6B24" w:rsidRDefault="00E74CB1" w:rsidP="00E74CB1">
      <w:pPr>
        <w:pStyle w:val="BoxBullet"/>
        <w:pBdr>
          <w:top w:val="single" w:sz="12" w:space="4" w:color="984806"/>
          <w:left w:val="single" w:sz="12" w:space="4" w:color="984806"/>
          <w:bottom w:val="single" w:sz="12" w:space="4" w:color="984806"/>
          <w:right w:val="single" w:sz="12" w:space="4" w:color="984806"/>
        </w:pBdr>
      </w:pPr>
      <w:r w:rsidRPr="00F126D6">
        <w:rPr>
          <w:bCs/>
        </w:rPr>
        <w:t xml:space="preserve">Consideration by the </w:t>
      </w:r>
      <w:r>
        <w:rPr>
          <w:bCs/>
        </w:rPr>
        <w:t>MBS</w:t>
      </w:r>
      <w:r w:rsidRPr="00F126D6">
        <w:rPr>
          <w:bCs/>
        </w:rPr>
        <w:t xml:space="preserve"> </w:t>
      </w:r>
      <w:r>
        <w:rPr>
          <w:bCs/>
        </w:rPr>
        <w:t>Review T</w:t>
      </w:r>
      <w:r w:rsidRPr="00F126D6">
        <w:rPr>
          <w:bCs/>
        </w:rPr>
        <w:t>askforce;</w:t>
      </w:r>
    </w:p>
    <w:p w14:paraId="52399BB1" w14:textId="77777777" w:rsidR="00E74CB1" w:rsidRPr="001B6B24" w:rsidRDefault="00E74CB1" w:rsidP="00E74CB1">
      <w:pPr>
        <w:pStyle w:val="BoxText"/>
        <w:pBdr>
          <w:top w:val="single" w:sz="12" w:space="4" w:color="984806"/>
          <w:left w:val="single" w:sz="12" w:space="4" w:color="984806"/>
          <w:bottom w:val="single" w:sz="12" w:space="4" w:color="984806"/>
          <w:right w:val="single" w:sz="12" w:space="4" w:color="984806"/>
        </w:pBdr>
      </w:pPr>
      <w:r w:rsidRPr="00913EA8">
        <w:t xml:space="preserve">then </w:t>
      </w:r>
      <w:r w:rsidRPr="001B6B24">
        <w:rPr>
          <w:i/>
        </w:rPr>
        <w:t>if endorsed</w:t>
      </w:r>
    </w:p>
    <w:p w14:paraId="0716BC08" w14:textId="77777777" w:rsidR="00E74CB1" w:rsidRPr="001B6B24" w:rsidRDefault="00E74CB1" w:rsidP="00E74CB1">
      <w:pPr>
        <w:pStyle w:val="BoxBullet"/>
        <w:pBdr>
          <w:top w:val="single" w:sz="12" w:space="4" w:color="984806"/>
          <w:left w:val="single" w:sz="12" w:space="4" w:color="984806"/>
          <w:bottom w:val="single" w:sz="12" w:space="4" w:color="984806"/>
          <w:right w:val="single" w:sz="12" w:space="4" w:color="984806"/>
        </w:pBdr>
      </w:pPr>
      <w:r w:rsidRPr="00F126D6">
        <w:rPr>
          <w:bCs/>
        </w:rPr>
        <w:t xml:space="preserve">Consideration by the </w:t>
      </w:r>
      <w:r>
        <w:rPr>
          <w:bCs/>
        </w:rPr>
        <w:t>M</w:t>
      </w:r>
      <w:r w:rsidRPr="00F126D6">
        <w:rPr>
          <w:bCs/>
        </w:rPr>
        <w:t xml:space="preserve">inister for </w:t>
      </w:r>
      <w:r>
        <w:rPr>
          <w:bCs/>
        </w:rPr>
        <w:t>H</w:t>
      </w:r>
      <w:r w:rsidRPr="00F126D6">
        <w:rPr>
          <w:bCs/>
        </w:rPr>
        <w:t>ealth; and</w:t>
      </w:r>
    </w:p>
    <w:p w14:paraId="0E383382" w14:textId="77777777" w:rsidR="00E74CB1" w:rsidRPr="001B6B24" w:rsidRDefault="00E74CB1" w:rsidP="00E74CB1">
      <w:pPr>
        <w:pStyle w:val="BoxBullet"/>
        <w:pBdr>
          <w:top w:val="single" w:sz="12" w:space="4" w:color="984806"/>
          <w:left w:val="single" w:sz="12" w:space="4" w:color="984806"/>
          <w:bottom w:val="single" w:sz="12" w:space="4" w:color="984806"/>
          <w:right w:val="single" w:sz="12" w:space="4" w:color="984806"/>
        </w:pBdr>
      </w:pPr>
      <w:r w:rsidRPr="00F126D6">
        <w:rPr>
          <w:bCs/>
        </w:rPr>
        <w:t>Government.</w:t>
      </w:r>
    </w:p>
    <w:p w14:paraId="1D1CC956" w14:textId="77777777" w:rsidR="00E74CB1" w:rsidRDefault="00E74CB1" w:rsidP="00E74CB1">
      <w:pPr>
        <w:pStyle w:val="BoxText"/>
        <w:pBdr>
          <w:top w:val="single" w:sz="12" w:space="4" w:color="984806"/>
          <w:left w:val="single" w:sz="12" w:space="4" w:color="984806"/>
          <w:bottom w:val="single" w:sz="12" w:space="4" w:color="984806"/>
          <w:right w:val="single" w:sz="12" w:space="4" w:color="984806"/>
        </w:pBdr>
        <w:rPr>
          <w:rFonts w:cs="Arial"/>
          <w:u w:val="single"/>
        </w:rPr>
      </w:pPr>
      <w:r w:rsidRPr="00913EA8">
        <w:rPr>
          <w:rFonts w:cs="Arial"/>
          <w:bCs/>
        </w:rPr>
        <w:t xml:space="preserve">Stakeholders should provide comment on the recommendations via the </w:t>
      </w:r>
      <w:hyperlink r:id="rId8" w:history="1">
        <w:r w:rsidRPr="00913EA8">
          <w:rPr>
            <w:rStyle w:val="Hyperlink"/>
            <w:rFonts w:eastAsiaTheme="majorEastAsia" w:cs="Arial"/>
          </w:rPr>
          <w:t>online consultation tool</w:t>
        </w:r>
      </w:hyperlink>
      <w:r w:rsidRPr="00913EA8">
        <w:rPr>
          <w:rFonts w:cs="Arial"/>
          <w:u w:val="single"/>
        </w:rPr>
        <w:t>.</w:t>
      </w:r>
    </w:p>
    <w:p w14:paraId="7464AA2D" w14:textId="77777777" w:rsidR="00E74CB1" w:rsidRDefault="00E74CB1" w:rsidP="00E74CB1">
      <w:pPr>
        <w:pStyle w:val="BoxText"/>
        <w:pBdr>
          <w:top w:val="single" w:sz="12" w:space="4" w:color="984806"/>
          <w:left w:val="single" w:sz="12" w:space="4" w:color="984806"/>
          <w:bottom w:val="single" w:sz="12" w:space="4" w:color="984806"/>
          <w:right w:val="single" w:sz="12" w:space="4" w:color="984806"/>
        </w:pBdr>
        <w:rPr>
          <w:rFonts w:cs="Arial"/>
          <w:u w:val="single"/>
        </w:rPr>
      </w:pPr>
      <w:r w:rsidRPr="003B1222">
        <w:rPr>
          <w:rFonts w:cs="Arial"/>
          <w:b/>
          <w:bCs/>
          <w:color w:val="01653F"/>
        </w:rPr>
        <w:t>Confidentiality of comments:</w:t>
      </w:r>
    </w:p>
    <w:p w14:paraId="54E17A8E" w14:textId="77777777" w:rsidR="00262127" w:rsidRPr="009200D8" w:rsidRDefault="00E74CB1" w:rsidP="00E74CB1">
      <w:pPr>
        <w:pStyle w:val="BoxText"/>
        <w:pBdr>
          <w:top w:val="single" w:sz="12" w:space="4" w:color="984806"/>
          <w:left w:val="single" w:sz="12" w:space="4" w:color="984806"/>
          <w:bottom w:val="single" w:sz="12" w:space="4" w:color="984806"/>
          <w:right w:val="single" w:sz="12" w:space="4" w:color="984806"/>
        </w:pBdr>
        <w:rPr>
          <w:rFonts w:cs="Arial"/>
        </w:rPr>
      </w:pPr>
      <w:r w:rsidRPr="00913EA8">
        <w:rPr>
          <w:rFonts w:cs="Arial"/>
          <w:bCs/>
        </w:rPr>
        <w:t xml:space="preserve">If you want your </w:t>
      </w:r>
      <w:r w:rsidR="00992A24">
        <w:rPr>
          <w:rFonts w:cs="Arial"/>
          <w:bCs/>
        </w:rPr>
        <w:t>feedback</w:t>
      </w:r>
      <w:r w:rsidR="00992A24" w:rsidRPr="00913EA8">
        <w:rPr>
          <w:rFonts w:cs="Arial"/>
          <w:bCs/>
        </w:rPr>
        <w:t xml:space="preserve"> </w:t>
      </w:r>
      <w:r w:rsidRPr="00913EA8">
        <w:rPr>
          <w:rFonts w:cs="Arial"/>
          <w:bCs/>
        </w:rPr>
        <w:t xml:space="preserve">to remain confidential please mark it as such. It is important to be aware that confidential </w:t>
      </w:r>
      <w:r w:rsidR="00992A24">
        <w:rPr>
          <w:rFonts w:cs="Arial"/>
          <w:bCs/>
        </w:rPr>
        <w:t>feedback</w:t>
      </w:r>
      <w:r w:rsidR="00992A24" w:rsidRPr="00913EA8">
        <w:rPr>
          <w:rFonts w:cs="Arial"/>
          <w:bCs/>
        </w:rPr>
        <w:t xml:space="preserve"> </w:t>
      </w:r>
      <w:r w:rsidRPr="00913EA8">
        <w:rPr>
          <w:rFonts w:cs="Arial"/>
          <w:bCs/>
        </w:rPr>
        <w:t>may still be subject to access under freedom of information law.</w:t>
      </w:r>
    </w:p>
    <w:p w14:paraId="69277D50" w14:textId="77777777" w:rsidR="00C14752" w:rsidRDefault="00C14752" w:rsidP="00361640">
      <w:pPr>
        <w:spacing w:before="120" w:after="120"/>
        <w:ind w:right="-46"/>
        <w:rPr>
          <w:rFonts w:cs="Arial"/>
        </w:rPr>
        <w:sectPr w:rsidR="00C14752" w:rsidSect="004F5FA8">
          <w:footerReference w:type="first" r:id="rId9"/>
          <w:endnotePr>
            <w:numFmt w:val="decimal"/>
          </w:endnotePr>
          <w:pgSz w:w="11906" w:h="16838" w:code="9"/>
          <w:pgMar w:top="1021" w:right="1440" w:bottom="1021" w:left="1440" w:header="567" w:footer="567" w:gutter="0"/>
          <w:paperSrc w:first="2" w:other="2"/>
          <w:cols w:space="720"/>
          <w:docGrid w:linePitch="326"/>
        </w:sectPr>
      </w:pPr>
    </w:p>
    <w:p w14:paraId="2AFF5D33" w14:textId="77777777" w:rsidR="00C56DF9" w:rsidRPr="003B1222" w:rsidRDefault="00C56DF9" w:rsidP="00361640">
      <w:pPr>
        <w:spacing w:before="120" w:after="120"/>
        <w:ind w:right="-46"/>
        <w:rPr>
          <w:rFonts w:cs="Arial"/>
          <w:b/>
          <w:color w:val="01653F"/>
          <w:sz w:val="32"/>
          <w:szCs w:val="32"/>
        </w:rPr>
      </w:pPr>
      <w:r w:rsidRPr="003B1222">
        <w:rPr>
          <w:rFonts w:cs="Arial"/>
          <w:b/>
          <w:color w:val="01653F"/>
          <w:sz w:val="32"/>
          <w:szCs w:val="32"/>
        </w:rPr>
        <w:lastRenderedPageBreak/>
        <w:t>Table of Contents</w:t>
      </w:r>
      <w:bookmarkEnd w:id="2"/>
    </w:p>
    <w:p w14:paraId="21A74007" w14:textId="015F8933" w:rsidR="00A87E9D" w:rsidRDefault="00253B22">
      <w:pPr>
        <w:pStyle w:val="TOC1"/>
        <w:tabs>
          <w:tab w:val="right" w:leader="dot" w:pos="9016"/>
        </w:tabs>
        <w:rPr>
          <w:rFonts w:eastAsiaTheme="minorEastAsia" w:cstheme="minorBidi"/>
          <w:b w:val="0"/>
          <w:noProof/>
        </w:rPr>
      </w:pPr>
      <w:r>
        <w:rPr>
          <w:noProof/>
        </w:rPr>
        <w:fldChar w:fldCharType="begin"/>
      </w:r>
      <w:r>
        <w:rPr>
          <w:noProof/>
        </w:rPr>
        <w:instrText xml:space="preserve"> TOC \h \z \t "Heading 1,1,Heading 2,2,Appendix Style 1,1,Rec,2,Rec 2,2" </w:instrText>
      </w:r>
      <w:r>
        <w:rPr>
          <w:noProof/>
        </w:rPr>
        <w:fldChar w:fldCharType="separate"/>
      </w:r>
      <w:hyperlink w:anchor="_Toc478721486" w:history="1">
        <w:r w:rsidR="00A87E9D" w:rsidRPr="0004383A">
          <w:rPr>
            <w:rStyle w:val="Hyperlink"/>
            <w:rFonts w:eastAsiaTheme="minorHAnsi"/>
            <w:noProof/>
          </w:rPr>
          <w:t>1.</w:t>
        </w:r>
        <w:r w:rsidR="00A87E9D">
          <w:rPr>
            <w:rFonts w:eastAsiaTheme="minorEastAsia" w:cstheme="minorBidi"/>
            <w:b w:val="0"/>
            <w:noProof/>
          </w:rPr>
          <w:tab/>
        </w:r>
        <w:r w:rsidR="00A87E9D" w:rsidRPr="0004383A">
          <w:rPr>
            <w:rStyle w:val="Hyperlink"/>
            <w:rFonts w:eastAsiaTheme="minorHAnsi"/>
            <w:noProof/>
          </w:rPr>
          <w:t>Executive Summary</w:t>
        </w:r>
        <w:r w:rsidR="00A87E9D">
          <w:rPr>
            <w:noProof/>
            <w:webHidden/>
          </w:rPr>
          <w:tab/>
        </w:r>
        <w:r w:rsidR="00A87E9D">
          <w:rPr>
            <w:noProof/>
            <w:webHidden/>
          </w:rPr>
          <w:fldChar w:fldCharType="begin"/>
        </w:r>
        <w:r w:rsidR="00A87E9D">
          <w:rPr>
            <w:noProof/>
            <w:webHidden/>
          </w:rPr>
          <w:instrText xml:space="preserve"> PAGEREF _Toc478721486 \h </w:instrText>
        </w:r>
        <w:r w:rsidR="00A87E9D">
          <w:rPr>
            <w:noProof/>
            <w:webHidden/>
          </w:rPr>
        </w:r>
        <w:r w:rsidR="00A87E9D">
          <w:rPr>
            <w:noProof/>
            <w:webHidden/>
          </w:rPr>
          <w:fldChar w:fldCharType="separate"/>
        </w:r>
        <w:r w:rsidR="00F2203C">
          <w:rPr>
            <w:noProof/>
            <w:webHidden/>
          </w:rPr>
          <w:t>5</w:t>
        </w:r>
        <w:r w:rsidR="00A87E9D">
          <w:rPr>
            <w:noProof/>
            <w:webHidden/>
          </w:rPr>
          <w:fldChar w:fldCharType="end"/>
        </w:r>
      </w:hyperlink>
    </w:p>
    <w:p w14:paraId="284FFF7F" w14:textId="0004B15F" w:rsidR="00A87E9D" w:rsidRDefault="00F2203C">
      <w:pPr>
        <w:pStyle w:val="TOC2"/>
        <w:rPr>
          <w:rFonts w:eastAsiaTheme="minorEastAsia" w:cstheme="minorBidi"/>
          <w:noProof/>
        </w:rPr>
      </w:pPr>
      <w:hyperlink w:anchor="_Toc478721487" w:history="1">
        <w:r w:rsidR="00A87E9D" w:rsidRPr="0004383A">
          <w:rPr>
            <w:rStyle w:val="Hyperlink"/>
            <w:rFonts w:eastAsiaTheme="minorHAnsi"/>
            <w:noProof/>
          </w:rPr>
          <w:t>1.1</w:t>
        </w:r>
        <w:r w:rsidR="00A87E9D">
          <w:rPr>
            <w:rFonts w:eastAsiaTheme="minorEastAsia" w:cstheme="minorBidi"/>
            <w:noProof/>
          </w:rPr>
          <w:tab/>
        </w:r>
        <w:r w:rsidR="00A87E9D" w:rsidRPr="0004383A">
          <w:rPr>
            <w:rStyle w:val="Hyperlink"/>
            <w:rFonts w:eastAsiaTheme="minorHAnsi"/>
            <w:noProof/>
          </w:rPr>
          <w:t>Areas of responsibility of the Thoracic Medicine Clinical Committee</w:t>
        </w:r>
        <w:r w:rsidR="00A87E9D">
          <w:rPr>
            <w:noProof/>
            <w:webHidden/>
          </w:rPr>
          <w:tab/>
        </w:r>
        <w:r w:rsidR="00A87E9D">
          <w:rPr>
            <w:noProof/>
            <w:webHidden/>
          </w:rPr>
          <w:fldChar w:fldCharType="begin"/>
        </w:r>
        <w:r w:rsidR="00A87E9D">
          <w:rPr>
            <w:noProof/>
            <w:webHidden/>
          </w:rPr>
          <w:instrText xml:space="preserve"> PAGEREF _Toc478721487 \h </w:instrText>
        </w:r>
        <w:r w:rsidR="00A87E9D">
          <w:rPr>
            <w:noProof/>
            <w:webHidden/>
          </w:rPr>
        </w:r>
        <w:r w:rsidR="00A87E9D">
          <w:rPr>
            <w:noProof/>
            <w:webHidden/>
          </w:rPr>
          <w:fldChar w:fldCharType="separate"/>
        </w:r>
        <w:r>
          <w:rPr>
            <w:noProof/>
            <w:webHidden/>
          </w:rPr>
          <w:t>6</w:t>
        </w:r>
        <w:r w:rsidR="00A87E9D">
          <w:rPr>
            <w:noProof/>
            <w:webHidden/>
          </w:rPr>
          <w:fldChar w:fldCharType="end"/>
        </w:r>
      </w:hyperlink>
    </w:p>
    <w:p w14:paraId="20097265" w14:textId="7D1C4438" w:rsidR="00A87E9D" w:rsidRDefault="00F2203C">
      <w:pPr>
        <w:pStyle w:val="TOC2"/>
        <w:rPr>
          <w:rFonts w:eastAsiaTheme="minorEastAsia" w:cstheme="minorBidi"/>
          <w:noProof/>
        </w:rPr>
      </w:pPr>
      <w:hyperlink w:anchor="_Toc478721488" w:history="1">
        <w:r w:rsidR="00A87E9D" w:rsidRPr="0004383A">
          <w:rPr>
            <w:rStyle w:val="Hyperlink"/>
            <w:rFonts w:eastAsiaTheme="minorHAnsi"/>
            <w:noProof/>
          </w:rPr>
          <w:t>1.2</w:t>
        </w:r>
        <w:r w:rsidR="00A87E9D">
          <w:rPr>
            <w:rFonts w:eastAsiaTheme="minorEastAsia" w:cstheme="minorBidi"/>
            <w:noProof/>
          </w:rPr>
          <w:tab/>
        </w:r>
        <w:r w:rsidR="00A87E9D" w:rsidRPr="0004383A">
          <w:rPr>
            <w:rStyle w:val="Hyperlink"/>
            <w:rFonts w:eastAsiaTheme="minorHAnsi"/>
            <w:noProof/>
          </w:rPr>
          <w:t>Key recommendations</w:t>
        </w:r>
        <w:r w:rsidR="00A87E9D">
          <w:rPr>
            <w:noProof/>
            <w:webHidden/>
          </w:rPr>
          <w:tab/>
        </w:r>
        <w:r w:rsidR="00A87E9D">
          <w:rPr>
            <w:noProof/>
            <w:webHidden/>
          </w:rPr>
          <w:fldChar w:fldCharType="begin"/>
        </w:r>
        <w:r w:rsidR="00A87E9D">
          <w:rPr>
            <w:noProof/>
            <w:webHidden/>
          </w:rPr>
          <w:instrText xml:space="preserve"> PAGEREF _Toc478721488 \h </w:instrText>
        </w:r>
        <w:r w:rsidR="00A87E9D">
          <w:rPr>
            <w:noProof/>
            <w:webHidden/>
          </w:rPr>
        </w:r>
        <w:r w:rsidR="00A87E9D">
          <w:rPr>
            <w:noProof/>
            <w:webHidden/>
          </w:rPr>
          <w:fldChar w:fldCharType="separate"/>
        </w:r>
        <w:r>
          <w:rPr>
            <w:noProof/>
            <w:webHidden/>
          </w:rPr>
          <w:t>7</w:t>
        </w:r>
        <w:r w:rsidR="00A87E9D">
          <w:rPr>
            <w:noProof/>
            <w:webHidden/>
          </w:rPr>
          <w:fldChar w:fldCharType="end"/>
        </w:r>
      </w:hyperlink>
    </w:p>
    <w:p w14:paraId="25765C91" w14:textId="719801E3" w:rsidR="00A87E9D" w:rsidRDefault="00F2203C">
      <w:pPr>
        <w:pStyle w:val="TOC2"/>
        <w:rPr>
          <w:rFonts w:eastAsiaTheme="minorEastAsia" w:cstheme="minorBidi"/>
          <w:noProof/>
        </w:rPr>
      </w:pPr>
      <w:hyperlink w:anchor="_Toc478721489" w:history="1">
        <w:r w:rsidR="00A87E9D" w:rsidRPr="0004383A">
          <w:rPr>
            <w:rStyle w:val="Hyperlink"/>
            <w:rFonts w:eastAsiaTheme="minorHAnsi"/>
            <w:noProof/>
          </w:rPr>
          <w:t>1.3</w:t>
        </w:r>
        <w:r w:rsidR="00A87E9D">
          <w:rPr>
            <w:rFonts w:eastAsiaTheme="minorEastAsia" w:cstheme="minorBidi"/>
            <w:noProof/>
          </w:rPr>
          <w:tab/>
        </w:r>
        <w:r w:rsidR="00A87E9D" w:rsidRPr="0004383A">
          <w:rPr>
            <w:rStyle w:val="Hyperlink"/>
            <w:rFonts w:eastAsiaTheme="minorHAnsi"/>
            <w:noProof/>
          </w:rPr>
          <w:t>Consumer engagement</w:t>
        </w:r>
        <w:r w:rsidR="00A87E9D">
          <w:rPr>
            <w:noProof/>
            <w:webHidden/>
          </w:rPr>
          <w:tab/>
        </w:r>
        <w:r w:rsidR="00A87E9D">
          <w:rPr>
            <w:noProof/>
            <w:webHidden/>
          </w:rPr>
          <w:fldChar w:fldCharType="begin"/>
        </w:r>
        <w:r w:rsidR="00A87E9D">
          <w:rPr>
            <w:noProof/>
            <w:webHidden/>
          </w:rPr>
          <w:instrText xml:space="preserve"> PAGEREF _Toc478721489 \h </w:instrText>
        </w:r>
        <w:r w:rsidR="00A87E9D">
          <w:rPr>
            <w:noProof/>
            <w:webHidden/>
          </w:rPr>
        </w:r>
        <w:r w:rsidR="00A87E9D">
          <w:rPr>
            <w:noProof/>
            <w:webHidden/>
          </w:rPr>
          <w:fldChar w:fldCharType="separate"/>
        </w:r>
        <w:r>
          <w:rPr>
            <w:noProof/>
            <w:webHidden/>
          </w:rPr>
          <w:t>9</w:t>
        </w:r>
        <w:r w:rsidR="00A87E9D">
          <w:rPr>
            <w:noProof/>
            <w:webHidden/>
          </w:rPr>
          <w:fldChar w:fldCharType="end"/>
        </w:r>
      </w:hyperlink>
    </w:p>
    <w:p w14:paraId="48C9F247" w14:textId="1A4DF876" w:rsidR="00A87E9D" w:rsidRDefault="00F2203C">
      <w:pPr>
        <w:pStyle w:val="TOC1"/>
        <w:tabs>
          <w:tab w:val="right" w:leader="dot" w:pos="9016"/>
        </w:tabs>
        <w:rPr>
          <w:rFonts w:eastAsiaTheme="minorEastAsia" w:cstheme="minorBidi"/>
          <w:b w:val="0"/>
          <w:noProof/>
        </w:rPr>
      </w:pPr>
      <w:hyperlink w:anchor="_Toc478721490" w:history="1">
        <w:r w:rsidR="00A87E9D" w:rsidRPr="0004383A">
          <w:rPr>
            <w:rStyle w:val="Hyperlink"/>
            <w:rFonts w:eastAsiaTheme="minorHAnsi"/>
            <w:noProof/>
          </w:rPr>
          <w:t>2.</w:t>
        </w:r>
        <w:r w:rsidR="00A87E9D">
          <w:rPr>
            <w:rFonts w:eastAsiaTheme="minorEastAsia" w:cstheme="minorBidi"/>
            <w:b w:val="0"/>
            <w:noProof/>
          </w:rPr>
          <w:tab/>
        </w:r>
        <w:r w:rsidR="00A87E9D" w:rsidRPr="0004383A">
          <w:rPr>
            <w:rStyle w:val="Hyperlink"/>
            <w:rFonts w:eastAsiaTheme="minorHAnsi"/>
            <w:noProof/>
          </w:rPr>
          <w:t>About the Medicare Benefits Schedule (MBS) Review</w:t>
        </w:r>
        <w:r w:rsidR="00A87E9D">
          <w:rPr>
            <w:noProof/>
            <w:webHidden/>
          </w:rPr>
          <w:tab/>
        </w:r>
        <w:r w:rsidR="00A87E9D">
          <w:rPr>
            <w:noProof/>
            <w:webHidden/>
          </w:rPr>
          <w:fldChar w:fldCharType="begin"/>
        </w:r>
        <w:r w:rsidR="00A87E9D">
          <w:rPr>
            <w:noProof/>
            <w:webHidden/>
          </w:rPr>
          <w:instrText xml:space="preserve"> PAGEREF _Toc478721490 \h </w:instrText>
        </w:r>
        <w:r w:rsidR="00A87E9D">
          <w:rPr>
            <w:noProof/>
            <w:webHidden/>
          </w:rPr>
        </w:r>
        <w:r w:rsidR="00A87E9D">
          <w:rPr>
            <w:noProof/>
            <w:webHidden/>
          </w:rPr>
          <w:fldChar w:fldCharType="separate"/>
        </w:r>
        <w:r>
          <w:rPr>
            <w:noProof/>
            <w:webHidden/>
          </w:rPr>
          <w:t>10</w:t>
        </w:r>
        <w:r w:rsidR="00A87E9D">
          <w:rPr>
            <w:noProof/>
            <w:webHidden/>
          </w:rPr>
          <w:fldChar w:fldCharType="end"/>
        </w:r>
      </w:hyperlink>
    </w:p>
    <w:p w14:paraId="06607233" w14:textId="360DDE81" w:rsidR="00A87E9D" w:rsidRDefault="00F2203C">
      <w:pPr>
        <w:pStyle w:val="TOC2"/>
        <w:rPr>
          <w:rFonts w:eastAsiaTheme="minorEastAsia" w:cstheme="minorBidi"/>
          <w:noProof/>
        </w:rPr>
      </w:pPr>
      <w:hyperlink w:anchor="_Toc478721491" w:history="1">
        <w:r w:rsidR="00A87E9D" w:rsidRPr="0004383A">
          <w:rPr>
            <w:rStyle w:val="Hyperlink"/>
            <w:rFonts w:eastAsiaTheme="minorHAnsi"/>
            <w:noProof/>
          </w:rPr>
          <w:t>2.1</w:t>
        </w:r>
        <w:r w:rsidR="00A87E9D">
          <w:rPr>
            <w:rFonts w:eastAsiaTheme="minorEastAsia" w:cstheme="minorBidi"/>
            <w:noProof/>
          </w:rPr>
          <w:tab/>
        </w:r>
        <w:r w:rsidR="00A87E9D" w:rsidRPr="0004383A">
          <w:rPr>
            <w:rStyle w:val="Hyperlink"/>
            <w:rFonts w:eastAsiaTheme="minorHAnsi"/>
            <w:noProof/>
          </w:rPr>
          <w:t>Medicare and the MBS</w:t>
        </w:r>
        <w:r w:rsidR="00A87E9D">
          <w:rPr>
            <w:noProof/>
            <w:webHidden/>
          </w:rPr>
          <w:tab/>
        </w:r>
        <w:r w:rsidR="00A87E9D">
          <w:rPr>
            <w:noProof/>
            <w:webHidden/>
          </w:rPr>
          <w:fldChar w:fldCharType="begin"/>
        </w:r>
        <w:r w:rsidR="00A87E9D">
          <w:rPr>
            <w:noProof/>
            <w:webHidden/>
          </w:rPr>
          <w:instrText xml:space="preserve"> PAGEREF _Toc478721491 \h </w:instrText>
        </w:r>
        <w:r w:rsidR="00A87E9D">
          <w:rPr>
            <w:noProof/>
            <w:webHidden/>
          </w:rPr>
        </w:r>
        <w:r w:rsidR="00A87E9D">
          <w:rPr>
            <w:noProof/>
            <w:webHidden/>
          </w:rPr>
          <w:fldChar w:fldCharType="separate"/>
        </w:r>
        <w:r>
          <w:rPr>
            <w:noProof/>
            <w:webHidden/>
          </w:rPr>
          <w:t>10</w:t>
        </w:r>
        <w:r w:rsidR="00A87E9D">
          <w:rPr>
            <w:noProof/>
            <w:webHidden/>
          </w:rPr>
          <w:fldChar w:fldCharType="end"/>
        </w:r>
      </w:hyperlink>
    </w:p>
    <w:p w14:paraId="3D09D14A" w14:textId="0C870E4A" w:rsidR="00A87E9D" w:rsidRDefault="00F2203C">
      <w:pPr>
        <w:pStyle w:val="TOC2"/>
        <w:rPr>
          <w:rFonts w:eastAsiaTheme="minorEastAsia" w:cstheme="minorBidi"/>
          <w:noProof/>
        </w:rPr>
      </w:pPr>
      <w:hyperlink w:anchor="_Toc478721492" w:history="1">
        <w:r w:rsidR="00A87E9D" w:rsidRPr="0004383A">
          <w:rPr>
            <w:rStyle w:val="Hyperlink"/>
            <w:rFonts w:eastAsiaTheme="minorHAnsi"/>
            <w:noProof/>
          </w:rPr>
          <w:t>2.2</w:t>
        </w:r>
        <w:r w:rsidR="00A87E9D">
          <w:rPr>
            <w:rFonts w:eastAsiaTheme="minorEastAsia" w:cstheme="minorBidi"/>
            <w:noProof/>
          </w:rPr>
          <w:tab/>
        </w:r>
        <w:r w:rsidR="00A87E9D" w:rsidRPr="0004383A">
          <w:rPr>
            <w:rStyle w:val="Hyperlink"/>
            <w:rFonts w:eastAsiaTheme="minorHAnsi"/>
            <w:noProof/>
          </w:rPr>
          <w:t>What is the MBS Review Taskforce?</w:t>
        </w:r>
        <w:r w:rsidR="00A87E9D">
          <w:rPr>
            <w:noProof/>
            <w:webHidden/>
          </w:rPr>
          <w:tab/>
        </w:r>
        <w:r w:rsidR="00A87E9D">
          <w:rPr>
            <w:noProof/>
            <w:webHidden/>
          </w:rPr>
          <w:fldChar w:fldCharType="begin"/>
        </w:r>
        <w:r w:rsidR="00A87E9D">
          <w:rPr>
            <w:noProof/>
            <w:webHidden/>
          </w:rPr>
          <w:instrText xml:space="preserve"> PAGEREF _Toc478721492 \h </w:instrText>
        </w:r>
        <w:r w:rsidR="00A87E9D">
          <w:rPr>
            <w:noProof/>
            <w:webHidden/>
          </w:rPr>
        </w:r>
        <w:r w:rsidR="00A87E9D">
          <w:rPr>
            <w:noProof/>
            <w:webHidden/>
          </w:rPr>
          <w:fldChar w:fldCharType="separate"/>
        </w:r>
        <w:r>
          <w:rPr>
            <w:noProof/>
            <w:webHidden/>
          </w:rPr>
          <w:t>10</w:t>
        </w:r>
        <w:r w:rsidR="00A87E9D">
          <w:rPr>
            <w:noProof/>
            <w:webHidden/>
          </w:rPr>
          <w:fldChar w:fldCharType="end"/>
        </w:r>
      </w:hyperlink>
    </w:p>
    <w:p w14:paraId="3CAED7A7" w14:textId="7A14E454" w:rsidR="00A87E9D" w:rsidRDefault="00F2203C">
      <w:pPr>
        <w:pStyle w:val="TOC2"/>
        <w:rPr>
          <w:rFonts w:eastAsiaTheme="minorEastAsia" w:cstheme="minorBidi"/>
          <w:noProof/>
        </w:rPr>
      </w:pPr>
      <w:hyperlink w:anchor="_Toc478721493" w:history="1">
        <w:r w:rsidR="00A87E9D" w:rsidRPr="0004383A">
          <w:rPr>
            <w:rStyle w:val="Hyperlink"/>
            <w:rFonts w:eastAsiaTheme="minorHAnsi"/>
            <w:noProof/>
          </w:rPr>
          <w:t>2.3</w:t>
        </w:r>
        <w:r w:rsidR="00A87E9D">
          <w:rPr>
            <w:rFonts w:eastAsiaTheme="minorEastAsia" w:cstheme="minorBidi"/>
            <w:noProof/>
          </w:rPr>
          <w:tab/>
        </w:r>
        <w:r w:rsidR="00A87E9D" w:rsidRPr="0004383A">
          <w:rPr>
            <w:rStyle w:val="Hyperlink"/>
            <w:rFonts w:eastAsiaTheme="minorHAnsi"/>
            <w:noProof/>
          </w:rPr>
          <w:t>Methods: The Taskforce’s approach</w:t>
        </w:r>
        <w:r w:rsidR="00A87E9D">
          <w:rPr>
            <w:noProof/>
            <w:webHidden/>
          </w:rPr>
          <w:tab/>
        </w:r>
        <w:r w:rsidR="00A87E9D">
          <w:rPr>
            <w:noProof/>
            <w:webHidden/>
          </w:rPr>
          <w:fldChar w:fldCharType="begin"/>
        </w:r>
        <w:r w:rsidR="00A87E9D">
          <w:rPr>
            <w:noProof/>
            <w:webHidden/>
          </w:rPr>
          <w:instrText xml:space="preserve"> PAGEREF _Toc478721493 \h </w:instrText>
        </w:r>
        <w:r w:rsidR="00A87E9D">
          <w:rPr>
            <w:noProof/>
            <w:webHidden/>
          </w:rPr>
        </w:r>
        <w:r w:rsidR="00A87E9D">
          <w:rPr>
            <w:noProof/>
            <w:webHidden/>
          </w:rPr>
          <w:fldChar w:fldCharType="separate"/>
        </w:r>
        <w:r>
          <w:rPr>
            <w:noProof/>
            <w:webHidden/>
          </w:rPr>
          <w:t>11</w:t>
        </w:r>
        <w:r w:rsidR="00A87E9D">
          <w:rPr>
            <w:noProof/>
            <w:webHidden/>
          </w:rPr>
          <w:fldChar w:fldCharType="end"/>
        </w:r>
      </w:hyperlink>
    </w:p>
    <w:p w14:paraId="1A93FE5B" w14:textId="22EBA129" w:rsidR="00A87E9D" w:rsidRDefault="00F2203C">
      <w:pPr>
        <w:pStyle w:val="TOC2"/>
        <w:rPr>
          <w:rFonts w:eastAsiaTheme="minorEastAsia" w:cstheme="minorBidi"/>
          <w:noProof/>
        </w:rPr>
      </w:pPr>
      <w:hyperlink w:anchor="_Toc478721494" w:history="1">
        <w:r w:rsidR="00A87E9D" w:rsidRPr="0004383A">
          <w:rPr>
            <w:rStyle w:val="Hyperlink"/>
            <w:rFonts w:eastAsiaTheme="minorHAnsi"/>
            <w:noProof/>
          </w:rPr>
          <w:t>2.4</w:t>
        </w:r>
        <w:r w:rsidR="00A87E9D">
          <w:rPr>
            <w:rFonts w:eastAsiaTheme="minorEastAsia" w:cstheme="minorBidi"/>
            <w:noProof/>
          </w:rPr>
          <w:tab/>
        </w:r>
        <w:r w:rsidR="00A87E9D" w:rsidRPr="0004383A">
          <w:rPr>
            <w:rStyle w:val="Hyperlink"/>
            <w:rFonts w:eastAsiaTheme="minorHAnsi"/>
            <w:noProof/>
          </w:rPr>
          <w:t>Prioritisation process</w:t>
        </w:r>
        <w:r w:rsidR="00A87E9D">
          <w:rPr>
            <w:noProof/>
            <w:webHidden/>
          </w:rPr>
          <w:tab/>
        </w:r>
        <w:r w:rsidR="00A87E9D">
          <w:rPr>
            <w:noProof/>
            <w:webHidden/>
          </w:rPr>
          <w:fldChar w:fldCharType="begin"/>
        </w:r>
        <w:r w:rsidR="00A87E9D">
          <w:rPr>
            <w:noProof/>
            <w:webHidden/>
          </w:rPr>
          <w:instrText xml:space="preserve"> PAGEREF _Toc478721494 \h </w:instrText>
        </w:r>
        <w:r w:rsidR="00A87E9D">
          <w:rPr>
            <w:noProof/>
            <w:webHidden/>
          </w:rPr>
        </w:r>
        <w:r w:rsidR="00A87E9D">
          <w:rPr>
            <w:noProof/>
            <w:webHidden/>
          </w:rPr>
          <w:fldChar w:fldCharType="separate"/>
        </w:r>
        <w:r>
          <w:rPr>
            <w:noProof/>
            <w:webHidden/>
          </w:rPr>
          <w:t>11</w:t>
        </w:r>
        <w:r w:rsidR="00A87E9D">
          <w:rPr>
            <w:noProof/>
            <w:webHidden/>
          </w:rPr>
          <w:fldChar w:fldCharType="end"/>
        </w:r>
      </w:hyperlink>
    </w:p>
    <w:p w14:paraId="3A91B6FC" w14:textId="40AAA39A" w:rsidR="00A87E9D" w:rsidRDefault="00F2203C">
      <w:pPr>
        <w:pStyle w:val="TOC1"/>
        <w:tabs>
          <w:tab w:val="right" w:leader="dot" w:pos="9016"/>
        </w:tabs>
        <w:rPr>
          <w:rFonts w:eastAsiaTheme="minorEastAsia" w:cstheme="minorBidi"/>
          <w:b w:val="0"/>
          <w:noProof/>
        </w:rPr>
      </w:pPr>
      <w:hyperlink w:anchor="_Toc478721495" w:history="1">
        <w:r w:rsidR="00A87E9D" w:rsidRPr="0004383A">
          <w:rPr>
            <w:rStyle w:val="Hyperlink"/>
            <w:rFonts w:eastAsiaTheme="minorHAnsi"/>
            <w:noProof/>
          </w:rPr>
          <w:t>3.</w:t>
        </w:r>
        <w:r w:rsidR="00A87E9D">
          <w:rPr>
            <w:rFonts w:eastAsiaTheme="minorEastAsia" w:cstheme="minorBidi"/>
            <w:b w:val="0"/>
            <w:noProof/>
          </w:rPr>
          <w:tab/>
        </w:r>
        <w:r w:rsidR="00A87E9D" w:rsidRPr="0004383A">
          <w:rPr>
            <w:rStyle w:val="Hyperlink"/>
            <w:rFonts w:eastAsiaTheme="minorHAnsi"/>
            <w:noProof/>
          </w:rPr>
          <w:t>About the Thoracic Medicine Committee</w:t>
        </w:r>
        <w:r w:rsidR="00A87E9D">
          <w:rPr>
            <w:noProof/>
            <w:webHidden/>
          </w:rPr>
          <w:tab/>
        </w:r>
        <w:r w:rsidR="00A87E9D">
          <w:rPr>
            <w:noProof/>
            <w:webHidden/>
          </w:rPr>
          <w:fldChar w:fldCharType="begin"/>
        </w:r>
        <w:r w:rsidR="00A87E9D">
          <w:rPr>
            <w:noProof/>
            <w:webHidden/>
          </w:rPr>
          <w:instrText xml:space="preserve"> PAGEREF _Toc478721495 \h </w:instrText>
        </w:r>
        <w:r w:rsidR="00A87E9D">
          <w:rPr>
            <w:noProof/>
            <w:webHidden/>
          </w:rPr>
        </w:r>
        <w:r w:rsidR="00A87E9D">
          <w:rPr>
            <w:noProof/>
            <w:webHidden/>
          </w:rPr>
          <w:fldChar w:fldCharType="separate"/>
        </w:r>
        <w:r>
          <w:rPr>
            <w:noProof/>
            <w:webHidden/>
          </w:rPr>
          <w:t>13</w:t>
        </w:r>
        <w:r w:rsidR="00A87E9D">
          <w:rPr>
            <w:noProof/>
            <w:webHidden/>
          </w:rPr>
          <w:fldChar w:fldCharType="end"/>
        </w:r>
      </w:hyperlink>
    </w:p>
    <w:p w14:paraId="0325B7CB" w14:textId="287DB2CA" w:rsidR="00A87E9D" w:rsidRDefault="00F2203C">
      <w:pPr>
        <w:pStyle w:val="TOC2"/>
        <w:rPr>
          <w:rFonts w:eastAsiaTheme="minorEastAsia" w:cstheme="minorBidi"/>
          <w:noProof/>
        </w:rPr>
      </w:pPr>
      <w:hyperlink w:anchor="_Toc478721496" w:history="1">
        <w:r w:rsidR="00A87E9D" w:rsidRPr="0004383A">
          <w:rPr>
            <w:rStyle w:val="Hyperlink"/>
            <w:rFonts w:eastAsiaTheme="minorHAnsi"/>
            <w:noProof/>
          </w:rPr>
          <w:t>3.1</w:t>
        </w:r>
        <w:r w:rsidR="00A87E9D">
          <w:rPr>
            <w:rFonts w:eastAsiaTheme="minorEastAsia" w:cstheme="minorBidi"/>
            <w:noProof/>
          </w:rPr>
          <w:tab/>
        </w:r>
        <w:r w:rsidR="00A87E9D" w:rsidRPr="0004383A">
          <w:rPr>
            <w:rStyle w:val="Hyperlink"/>
            <w:rFonts w:eastAsiaTheme="minorHAnsi"/>
            <w:noProof/>
          </w:rPr>
          <w:t>Thoracic Medicine Clinical Committee members</w:t>
        </w:r>
        <w:r w:rsidR="00A87E9D">
          <w:rPr>
            <w:noProof/>
            <w:webHidden/>
          </w:rPr>
          <w:tab/>
        </w:r>
        <w:r w:rsidR="00A87E9D">
          <w:rPr>
            <w:noProof/>
            <w:webHidden/>
          </w:rPr>
          <w:fldChar w:fldCharType="begin"/>
        </w:r>
        <w:r w:rsidR="00A87E9D">
          <w:rPr>
            <w:noProof/>
            <w:webHidden/>
          </w:rPr>
          <w:instrText xml:space="preserve"> PAGEREF _Toc478721496 \h </w:instrText>
        </w:r>
        <w:r w:rsidR="00A87E9D">
          <w:rPr>
            <w:noProof/>
            <w:webHidden/>
          </w:rPr>
        </w:r>
        <w:r w:rsidR="00A87E9D">
          <w:rPr>
            <w:noProof/>
            <w:webHidden/>
          </w:rPr>
          <w:fldChar w:fldCharType="separate"/>
        </w:r>
        <w:r>
          <w:rPr>
            <w:noProof/>
            <w:webHidden/>
          </w:rPr>
          <w:t>13</w:t>
        </w:r>
        <w:r w:rsidR="00A87E9D">
          <w:rPr>
            <w:noProof/>
            <w:webHidden/>
          </w:rPr>
          <w:fldChar w:fldCharType="end"/>
        </w:r>
      </w:hyperlink>
    </w:p>
    <w:p w14:paraId="59089CD8" w14:textId="43B9B54C" w:rsidR="00A87E9D" w:rsidRDefault="00F2203C">
      <w:pPr>
        <w:pStyle w:val="TOC2"/>
        <w:rPr>
          <w:rFonts w:eastAsiaTheme="minorEastAsia" w:cstheme="minorBidi"/>
          <w:noProof/>
        </w:rPr>
      </w:pPr>
      <w:hyperlink w:anchor="_Toc478721497" w:history="1">
        <w:r w:rsidR="00A87E9D" w:rsidRPr="0004383A">
          <w:rPr>
            <w:rStyle w:val="Hyperlink"/>
            <w:rFonts w:eastAsiaTheme="minorHAnsi"/>
            <w:noProof/>
          </w:rPr>
          <w:t>3.2</w:t>
        </w:r>
        <w:r w:rsidR="00A87E9D">
          <w:rPr>
            <w:rFonts w:eastAsiaTheme="minorEastAsia" w:cstheme="minorBidi"/>
            <w:noProof/>
          </w:rPr>
          <w:tab/>
        </w:r>
        <w:r w:rsidR="00A87E9D" w:rsidRPr="0004383A">
          <w:rPr>
            <w:rStyle w:val="Hyperlink"/>
            <w:rFonts w:eastAsiaTheme="minorHAnsi"/>
            <w:noProof/>
          </w:rPr>
          <w:t>Paediatric Thoracic Working Group members</w:t>
        </w:r>
        <w:r w:rsidR="00A87E9D">
          <w:rPr>
            <w:noProof/>
            <w:webHidden/>
          </w:rPr>
          <w:tab/>
        </w:r>
        <w:r w:rsidR="00A87E9D">
          <w:rPr>
            <w:noProof/>
            <w:webHidden/>
          </w:rPr>
          <w:fldChar w:fldCharType="begin"/>
        </w:r>
        <w:r w:rsidR="00A87E9D">
          <w:rPr>
            <w:noProof/>
            <w:webHidden/>
          </w:rPr>
          <w:instrText xml:space="preserve"> PAGEREF _Toc478721497 \h </w:instrText>
        </w:r>
        <w:r w:rsidR="00A87E9D">
          <w:rPr>
            <w:noProof/>
            <w:webHidden/>
          </w:rPr>
        </w:r>
        <w:r w:rsidR="00A87E9D">
          <w:rPr>
            <w:noProof/>
            <w:webHidden/>
          </w:rPr>
          <w:fldChar w:fldCharType="separate"/>
        </w:r>
        <w:r>
          <w:rPr>
            <w:noProof/>
            <w:webHidden/>
          </w:rPr>
          <w:t>14</w:t>
        </w:r>
        <w:r w:rsidR="00A87E9D">
          <w:rPr>
            <w:noProof/>
            <w:webHidden/>
          </w:rPr>
          <w:fldChar w:fldCharType="end"/>
        </w:r>
      </w:hyperlink>
    </w:p>
    <w:p w14:paraId="3A75E9DB" w14:textId="5BB8727C" w:rsidR="00A87E9D" w:rsidRDefault="00F2203C">
      <w:pPr>
        <w:pStyle w:val="TOC2"/>
        <w:rPr>
          <w:rFonts w:eastAsiaTheme="minorEastAsia" w:cstheme="minorBidi"/>
          <w:noProof/>
        </w:rPr>
      </w:pPr>
      <w:hyperlink w:anchor="_Toc478721498" w:history="1">
        <w:r w:rsidR="00A87E9D" w:rsidRPr="0004383A">
          <w:rPr>
            <w:rStyle w:val="Hyperlink"/>
            <w:rFonts w:eastAsiaTheme="minorHAnsi"/>
            <w:noProof/>
          </w:rPr>
          <w:t>3.3</w:t>
        </w:r>
        <w:r w:rsidR="00A87E9D">
          <w:rPr>
            <w:rFonts w:eastAsiaTheme="minorEastAsia" w:cstheme="minorBidi"/>
            <w:noProof/>
          </w:rPr>
          <w:tab/>
        </w:r>
        <w:r w:rsidR="00A87E9D" w:rsidRPr="0004383A">
          <w:rPr>
            <w:rStyle w:val="Hyperlink"/>
            <w:rFonts w:eastAsiaTheme="minorHAnsi"/>
            <w:noProof/>
          </w:rPr>
          <w:t>Conflicts of interest</w:t>
        </w:r>
        <w:r w:rsidR="00A87E9D">
          <w:rPr>
            <w:noProof/>
            <w:webHidden/>
          </w:rPr>
          <w:tab/>
        </w:r>
        <w:r w:rsidR="00A87E9D">
          <w:rPr>
            <w:noProof/>
            <w:webHidden/>
          </w:rPr>
          <w:fldChar w:fldCharType="begin"/>
        </w:r>
        <w:r w:rsidR="00A87E9D">
          <w:rPr>
            <w:noProof/>
            <w:webHidden/>
          </w:rPr>
          <w:instrText xml:space="preserve"> PAGEREF _Toc478721498 \h </w:instrText>
        </w:r>
        <w:r w:rsidR="00A87E9D">
          <w:rPr>
            <w:noProof/>
            <w:webHidden/>
          </w:rPr>
        </w:r>
        <w:r w:rsidR="00A87E9D">
          <w:rPr>
            <w:noProof/>
            <w:webHidden/>
          </w:rPr>
          <w:fldChar w:fldCharType="separate"/>
        </w:r>
        <w:r>
          <w:rPr>
            <w:noProof/>
            <w:webHidden/>
          </w:rPr>
          <w:t>14</w:t>
        </w:r>
        <w:r w:rsidR="00A87E9D">
          <w:rPr>
            <w:noProof/>
            <w:webHidden/>
          </w:rPr>
          <w:fldChar w:fldCharType="end"/>
        </w:r>
      </w:hyperlink>
    </w:p>
    <w:p w14:paraId="589949CE" w14:textId="6255DB2E" w:rsidR="00A87E9D" w:rsidRDefault="00F2203C">
      <w:pPr>
        <w:pStyle w:val="TOC1"/>
        <w:tabs>
          <w:tab w:val="right" w:leader="dot" w:pos="9016"/>
        </w:tabs>
        <w:rPr>
          <w:rFonts w:eastAsiaTheme="minorEastAsia" w:cstheme="minorBidi"/>
          <w:b w:val="0"/>
          <w:noProof/>
        </w:rPr>
      </w:pPr>
      <w:hyperlink w:anchor="_Toc478721499" w:history="1">
        <w:r w:rsidR="00A87E9D" w:rsidRPr="0004383A">
          <w:rPr>
            <w:rStyle w:val="Hyperlink"/>
            <w:rFonts w:eastAsiaTheme="minorHAnsi"/>
            <w:noProof/>
          </w:rPr>
          <w:t>4.</w:t>
        </w:r>
        <w:r w:rsidR="00A87E9D">
          <w:rPr>
            <w:rFonts w:eastAsiaTheme="minorEastAsia" w:cstheme="minorBidi"/>
            <w:b w:val="0"/>
            <w:noProof/>
          </w:rPr>
          <w:tab/>
        </w:r>
        <w:r w:rsidR="00A87E9D" w:rsidRPr="0004383A">
          <w:rPr>
            <w:rStyle w:val="Hyperlink"/>
            <w:rFonts w:eastAsiaTheme="minorHAnsi"/>
            <w:noProof/>
          </w:rPr>
          <w:t>Respiratory Function Tests – Spirometry</w:t>
        </w:r>
        <w:r w:rsidR="00A87E9D">
          <w:rPr>
            <w:noProof/>
            <w:webHidden/>
          </w:rPr>
          <w:tab/>
        </w:r>
        <w:r w:rsidR="00A87E9D">
          <w:rPr>
            <w:noProof/>
            <w:webHidden/>
          </w:rPr>
          <w:fldChar w:fldCharType="begin"/>
        </w:r>
        <w:r w:rsidR="00A87E9D">
          <w:rPr>
            <w:noProof/>
            <w:webHidden/>
          </w:rPr>
          <w:instrText xml:space="preserve"> PAGEREF _Toc478721499 \h </w:instrText>
        </w:r>
        <w:r w:rsidR="00A87E9D">
          <w:rPr>
            <w:noProof/>
            <w:webHidden/>
          </w:rPr>
        </w:r>
        <w:r w:rsidR="00A87E9D">
          <w:rPr>
            <w:noProof/>
            <w:webHidden/>
          </w:rPr>
          <w:fldChar w:fldCharType="separate"/>
        </w:r>
        <w:r>
          <w:rPr>
            <w:noProof/>
            <w:webHidden/>
          </w:rPr>
          <w:t>15</w:t>
        </w:r>
        <w:r w:rsidR="00A87E9D">
          <w:rPr>
            <w:noProof/>
            <w:webHidden/>
          </w:rPr>
          <w:fldChar w:fldCharType="end"/>
        </w:r>
      </w:hyperlink>
    </w:p>
    <w:p w14:paraId="0BB1361C" w14:textId="606B3FEC" w:rsidR="00A87E9D" w:rsidRDefault="00F2203C">
      <w:pPr>
        <w:pStyle w:val="TOC2"/>
        <w:rPr>
          <w:rFonts w:eastAsiaTheme="minorEastAsia" w:cstheme="minorBidi"/>
          <w:noProof/>
        </w:rPr>
      </w:pPr>
      <w:hyperlink w:anchor="_Toc478721500" w:history="1">
        <w:r w:rsidR="00A87E9D" w:rsidRPr="0004383A">
          <w:rPr>
            <w:rStyle w:val="Hyperlink"/>
            <w:rFonts w:eastAsiaTheme="minorHAnsi"/>
            <w:noProof/>
          </w:rPr>
          <w:t>4.1</w:t>
        </w:r>
        <w:r w:rsidR="00A87E9D">
          <w:rPr>
            <w:rFonts w:eastAsiaTheme="minorEastAsia" w:cstheme="minorBidi"/>
            <w:noProof/>
          </w:rPr>
          <w:tab/>
        </w:r>
        <w:r w:rsidR="00A87E9D" w:rsidRPr="0004383A">
          <w:rPr>
            <w:rStyle w:val="Hyperlink"/>
            <w:rFonts w:eastAsiaTheme="minorHAnsi"/>
            <w:noProof/>
          </w:rPr>
          <w:t>Priority review of respiratory function tests</w:t>
        </w:r>
        <w:r w:rsidR="00A87E9D">
          <w:rPr>
            <w:noProof/>
            <w:webHidden/>
          </w:rPr>
          <w:tab/>
        </w:r>
        <w:r w:rsidR="00A87E9D">
          <w:rPr>
            <w:noProof/>
            <w:webHidden/>
          </w:rPr>
          <w:fldChar w:fldCharType="begin"/>
        </w:r>
        <w:r w:rsidR="00A87E9D">
          <w:rPr>
            <w:noProof/>
            <w:webHidden/>
          </w:rPr>
          <w:instrText xml:space="preserve"> PAGEREF _Toc478721500 \h </w:instrText>
        </w:r>
        <w:r w:rsidR="00A87E9D">
          <w:rPr>
            <w:noProof/>
            <w:webHidden/>
          </w:rPr>
        </w:r>
        <w:r w:rsidR="00A87E9D">
          <w:rPr>
            <w:noProof/>
            <w:webHidden/>
          </w:rPr>
          <w:fldChar w:fldCharType="separate"/>
        </w:r>
        <w:r>
          <w:rPr>
            <w:noProof/>
            <w:webHidden/>
          </w:rPr>
          <w:t>15</w:t>
        </w:r>
        <w:r w:rsidR="00A87E9D">
          <w:rPr>
            <w:noProof/>
            <w:webHidden/>
          </w:rPr>
          <w:fldChar w:fldCharType="end"/>
        </w:r>
      </w:hyperlink>
    </w:p>
    <w:p w14:paraId="28759495" w14:textId="09346C4C" w:rsidR="00A87E9D" w:rsidRDefault="00F2203C">
      <w:pPr>
        <w:pStyle w:val="TOC2"/>
        <w:tabs>
          <w:tab w:val="left" w:pos="2598"/>
        </w:tabs>
        <w:rPr>
          <w:rFonts w:eastAsiaTheme="minorEastAsia" w:cstheme="minorBidi"/>
          <w:noProof/>
        </w:rPr>
      </w:pPr>
      <w:hyperlink w:anchor="_Toc478721501" w:history="1">
        <w:r w:rsidR="00A87E9D" w:rsidRPr="0004383A">
          <w:rPr>
            <w:rStyle w:val="Hyperlink"/>
            <w:rFonts w:eastAsiaTheme="minorHAnsi"/>
            <w:noProof/>
            <w14:scene3d>
              <w14:camera w14:prst="orthographicFront"/>
              <w14:lightRig w14:rig="threePt" w14:dir="t">
                <w14:rot w14:lat="0" w14:lon="0" w14:rev="0"/>
              </w14:lightRig>
            </w14:scene3d>
          </w:rPr>
          <w:t>Recommendation 1:</w:t>
        </w:r>
        <w:r w:rsidR="00A87E9D">
          <w:rPr>
            <w:rFonts w:eastAsiaTheme="minorEastAsia" w:cstheme="minorBidi"/>
            <w:noProof/>
          </w:rPr>
          <w:tab/>
        </w:r>
        <w:r w:rsidR="00A87E9D" w:rsidRPr="0004383A">
          <w:rPr>
            <w:rStyle w:val="Hyperlink"/>
            <w:rFonts w:eastAsiaTheme="minorHAnsi"/>
            <w:noProof/>
          </w:rPr>
          <w:t>Spirometry</w:t>
        </w:r>
        <w:r w:rsidR="00A87E9D">
          <w:rPr>
            <w:noProof/>
            <w:webHidden/>
          </w:rPr>
          <w:tab/>
        </w:r>
        <w:r w:rsidR="00A87E9D">
          <w:rPr>
            <w:noProof/>
            <w:webHidden/>
          </w:rPr>
          <w:fldChar w:fldCharType="begin"/>
        </w:r>
        <w:r w:rsidR="00A87E9D">
          <w:rPr>
            <w:noProof/>
            <w:webHidden/>
          </w:rPr>
          <w:instrText xml:space="preserve"> PAGEREF _Toc478721501 \h </w:instrText>
        </w:r>
        <w:r w:rsidR="00A87E9D">
          <w:rPr>
            <w:noProof/>
            <w:webHidden/>
          </w:rPr>
        </w:r>
        <w:r w:rsidR="00A87E9D">
          <w:rPr>
            <w:noProof/>
            <w:webHidden/>
          </w:rPr>
          <w:fldChar w:fldCharType="separate"/>
        </w:r>
        <w:r>
          <w:rPr>
            <w:noProof/>
            <w:webHidden/>
          </w:rPr>
          <w:t>23</w:t>
        </w:r>
        <w:r w:rsidR="00A87E9D">
          <w:rPr>
            <w:noProof/>
            <w:webHidden/>
          </w:rPr>
          <w:fldChar w:fldCharType="end"/>
        </w:r>
      </w:hyperlink>
    </w:p>
    <w:p w14:paraId="41D1EBC0" w14:textId="0A8C28BC" w:rsidR="00A87E9D" w:rsidRDefault="00F2203C">
      <w:pPr>
        <w:pStyle w:val="TOC1"/>
        <w:tabs>
          <w:tab w:val="right" w:leader="dot" w:pos="9016"/>
        </w:tabs>
        <w:rPr>
          <w:rFonts w:eastAsiaTheme="minorEastAsia" w:cstheme="minorBidi"/>
          <w:b w:val="0"/>
          <w:noProof/>
        </w:rPr>
      </w:pPr>
      <w:hyperlink w:anchor="_Toc478721502" w:history="1">
        <w:r w:rsidR="00A87E9D" w:rsidRPr="0004383A">
          <w:rPr>
            <w:rStyle w:val="Hyperlink"/>
            <w:rFonts w:eastAsiaTheme="minorHAnsi"/>
            <w:noProof/>
          </w:rPr>
          <w:t>5.</w:t>
        </w:r>
        <w:r w:rsidR="00A87E9D">
          <w:rPr>
            <w:rFonts w:eastAsiaTheme="minorEastAsia" w:cstheme="minorBidi"/>
            <w:b w:val="0"/>
            <w:noProof/>
          </w:rPr>
          <w:tab/>
        </w:r>
        <w:r w:rsidR="00A87E9D" w:rsidRPr="0004383A">
          <w:rPr>
            <w:rStyle w:val="Hyperlink"/>
            <w:rFonts w:eastAsiaTheme="minorHAnsi"/>
            <w:noProof/>
          </w:rPr>
          <w:t>Complex respiratory function tests</w:t>
        </w:r>
        <w:r w:rsidR="00A87E9D">
          <w:rPr>
            <w:noProof/>
            <w:webHidden/>
          </w:rPr>
          <w:tab/>
        </w:r>
        <w:r w:rsidR="00A87E9D">
          <w:rPr>
            <w:noProof/>
            <w:webHidden/>
          </w:rPr>
          <w:fldChar w:fldCharType="begin"/>
        </w:r>
        <w:r w:rsidR="00A87E9D">
          <w:rPr>
            <w:noProof/>
            <w:webHidden/>
          </w:rPr>
          <w:instrText xml:space="preserve"> PAGEREF _Toc478721502 \h </w:instrText>
        </w:r>
        <w:r w:rsidR="00A87E9D">
          <w:rPr>
            <w:noProof/>
            <w:webHidden/>
          </w:rPr>
        </w:r>
        <w:r w:rsidR="00A87E9D">
          <w:rPr>
            <w:noProof/>
            <w:webHidden/>
          </w:rPr>
          <w:fldChar w:fldCharType="separate"/>
        </w:r>
        <w:r>
          <w:rPr>
            <w:noProof/>
            <w:webHidden/>
          </w:rPr>
          <w:t>26</w:t>
        </w:r>
        <w:r w:rsidR="00A87E9D">
          <w:rPr>
            <w:noProof/>
            <w:webHidden/>
          </w:rPr>
          <w:fldChar w:fldCharType="end"/>
        </w:r>
      </w:hyperlink>
    </w:p>
    <w:p w14:paraId="2D4DF380" w14:textId="2274B6D4" w:rsidR="00A87E9D" w:rsidRDefault="00F2203C">
      <w:pPr>
        <w:pStyle w:val="TOC2"/>
        <w:rPr>
          <w:rFonts w:eastAsiaTheme="minorEastAsia" w:cstheme="minorBidi"/>
          <w:noProof/>
        </w:rPr>
      </w:pPr>
      <w:hyperlink w:anchor="_Toc478721503" w:history="1">
        <w:r w:rsidR="00A87E9D" w:rsidRPr="0004383A">
          <w:rPr>
            <w:rStyle w:val="Hyperlink"/>
            <w:rFonts w:eastAsiaTheme="minorHAnsi"/>
            <w:noProof/>
          </w:rPr>
          <w:t>5.1</w:t>
        </w:r>
        <w:r w:rsidR="00A87E9D">
          <w:rPr>
            <w:rFonts w:eastAsiaTheme="minorEastAsia" w:cstheme="minorBidi"/>
            <w:noProof/>
          </w:rPr>
          <w:tab/>
        </w:r>
        <w:r w:rsidR="00A87E9D" w:rsidRPr="0004383A">
          <w:rPr>
            <w:rStyle w:val="Hyperlink"/>
            <w:rFonts w:eastAsiaTheme="minorHAnsi"/>
            <w:noProof/>
          </w:rPr>
          <w:t>Item 11503 – Complex respiratory function tests</w:t>
        </w:r>
        <w:r w:rsidR="00A87E9D">
          <w:rPr>
            <w:noProof/>
            <w:webHidden/>
          </w:rPr>
          <w:tab/>
        </w:r>
        <w:r w:rsidR="00A87E9D">
          <w:rPr>
            <w:noProof/>
            <w:webHidden/>
          </w:rPr>
          <w:fldChar w:fldCharType="begin"/>
        </w:r>
        <w:r w:rsidR="00A87E9D">
          <w:rPr>
            <w:noProof/>
            <w:webHidden/>
          </w:rPr>
          <w:instrText xml:space="preserve"> PAGEREF _Toc478721503 \h </w:instrText>
        </w:r>
        <w:r w:rsidR="00A87E9D">
          <w:rPr>
            <w:noProof/>
            <w:webHidden/>
          </w:rPr>
        </w:r>
        <w:r w:rsidR="00A87E9D">
          <w:rPr>
            <w:noProof/>
            <w:webHidden/>
          </w:rPr>
          <w:fldChar w:fldCharType="separate"/>
        </w:r>
        <w:r>
          <w:rPr>
            <w:noProof/>
            <w:webHidden/>
          </w:rPr>
          <w:t>26</w:t>
        </w:r>
        <w:r w:rsidR="00A87E9D">
          <w:rPr>
            <w:noProof/>
            <w:webHidden/>
          </w:rPr>
          <w:fldChar w:fldCharType="end"/>
        </w:r>
      </w:hyperlink>
    </w:p>
    <w:p w14:paraId="22834BAB" w14:textId="1AB87C2A" w:rsidR="00A87E9D" w:rsidRDefault="00F2203C">
      <w:pPr>
        <w:pStyle w:val="TOC2"/>
        <w:tabs>
          <w:tab w:val="left" w:pos="2765"/>
        </w:tabs>
        <w:rPr>
          <w:rFonts w:eastAsiaTheme="minorEastAsia" w:cstheme="minorBidi"/>
          <w:noProof/>
        </w:rPr>
      </w:pPr>
      <w:hyperlink w:anchor="_Toc478721504" w:history="1">
        <w:r w:rsidR="00A87E9D" w:rsidRPr="0004383A">
          <w:rPr>
            <w:rStyle w:val="Hyperlink"/>
            <w:rFonts w:eastAsiaTheme="minorHAnsi"/>
            <w:noProof/>
          </w:rPr>
          <w:t>Recommendation 2.1:</w:t>
        </w:r>
        <w:r w:rsidR="00A87E9D">
          <w:rPr>
            <w:rFonts w:eastAsiaTheme="minorEastAsia" w:cstheme="minorBidi"/>
            <w:noProof/>
          </w:rPr>
          <w:tab/>
        </w:r>
        <w:r w:rsidR="00A87E9D" w:rsidRPr="0004383A">
          <w:rPr>
            <w:rStyle w:val="Hyperlink"/>
            <w:rFonts w:eastAsiaTheme="minorHAnsi"/>
            <w:noProof/>
          </w:rPr>
          <w:t>Complex respiratory tests – new item for FeNO</w:t>
        </w:r>
        <w:r w:rsidR="00A87E9D">
          <w:rPr>
            <w:noProof/>
            <w:webHidden/>
          </w:rPr>
          <w:tab/>
        </w:r>
        <w:r w:rsidR="00A87E9D">
          <w:rPr>
            <w:noProof/>
            <w:webHidden/>
          </w:rPr>
          <w:fldChar w:fldCharType="begin"/>
        </w:r>
        <w:r w:rsidR="00A87E9D">
          <w:rPr>
            <w:noProof/>
            <w:webHidden/>
          </w:rPr>
          <w:instrText xml:space="preserve"> PAGEREF _Toc478721504 \h </w:instrText>
        </w:r>
        <w:r w:rsidR="00A87E9D">
          <w:rPr>
            <w:noProof/>
            <w:webHidden/>
          </w:rPr>
        </w:r>
        <w:r w:rsidR="00A87E9D">
          <w:rPr>
            <w:noProof/>
            <w:webHidden/>
          </w:rPr>
          <w:fldChar w:fldCharType="separate"/>
        </w:r>
        <w:r>
          <w:rPr>
            <w:noProof/>
            <w:webHidden/>
          </w:rPr>
          <w:t>29</w:t>
        </w:r>
        <w:r w:rsidR="00A87E9D">
          <w:rPr>
            <w:noProof/>
            <w:webHidden/>
          </w:rPr>
          <w:fldChar w:fldCharType="end"/>
        </w:r>
      </w:hyperlink>
    </w:p>
    <w:p w14:paraId="21FAB49E" w14:textId="79616F57" w:rsidR="00A87E9D" w:rsidRDefault="00F2203C">
      <w:pPr>
        <w:pStyle w:val="TOC2"/>
        <w:rPr>
          <w:rFonts w:eastAsiaTheme="minorEastAsia" w:cstheme="minorBidi"/>
          <w:noProof/>
        </w:rPr>
      </w:pPr>
      <w:hyperlink w:anchor="_Toc478721505" w:history="1">
        <w:r w:rsidR="00A87E9D" w:rsidRPr="0004383A">
          <w:rPr>
            <w:rStyle w:val="Hyperlink"/>
            <w:rFonts w:eastAsiaTheme="minorHAnsi"/>
            <w:noProof/>
            <w:lang w:val="en-US"/>
          </w:rPr>
          <w:t>The Committee recommends a new item for fractional exhaled nitric oxide (FeNO) as follows:</w:t>
        </w:r>
        <w:r w:rsidR="00A87E9D">
          <w:rPr>
            <w:noProof/>
            <w:webHidden/>
          </w:rPr>
          <w:tab/>
        </w:r>
        <w:r w:rsidR="00A87E9D">
          <w:rPr>
            <w:noProof/>
            <w:webHidden/>
          </w:rPr>
          <w:fldChar w:fldCharType="begin"/>
        </w:r>
        <w:r w:rsidR="00A87E9D">
          <w:rPr>
            <w:noProof/>
            <w:webHidden/>
          </w:rPr>
          <w:instrText xml:space="preserve"> PAGEREF _Toc478721505 \h </w:instrText>
        </w:r>
        <w:r w:rsidR="00A87E9D">
          <w:rPr>
            <w:noProof/>
            <w:webHidden/>
          </w:rPr>
        </w:r>
        <w:r w:rsidR="00A87E9D">
          <w:rPr>
            <w:noProof/>
            <w:webHidden/>
          </w:rPr>
          <w:fldChar w:fldCharType="separate"/>
        </w:r>
        <w:r>
          <w:rPr>
            <w:noProof/>
            <w:webHidden/>
          </w:rPr>
          <w:t>29</w:t>
        </w:r>
        <w:r w:rsidR="00A87E9D">
          <w:rPr>
            <w:noProof/>
            <w:webHidden/>
          </w:rPr>
          <w:fldChar w:fldCharType="end"/>
        </w:r>
      </w:hyperlink>
    </w:p>
    <w:p w14:paraId="29EFCE8B" w14:textId="5C1A1D96" w:rsidR="00A87E9D" w:rsidRDefault="00F2203C">
      <w:pPr>
        <w:pStyle w:val="TOC2"/>
        <w:rPr>
          <w:rFonts w:eastAsiaTheme="minorEastAsia" w:cstheme="minorBidi"/>
          <w:noProof/>
        </w:rPr>
      </w:pPr>
      <w:hyperlink w:anchor="_Toc478721506" w:history="1">
        <w:r w:rsidR="00A87E9D" w:rsidRPr="0004383A">
          <w:rPr>
            <w:rStyle w:val="Hyperlink"/>
            <w:rFonts w:eastAsiaTheme="minorHAnsi"/>
            <w:noProof/>
          </w:rPr>
          <w:t>5.2</w:t>
        </w:r>
        <w:r w:rsidR="00A87E9D">
          <w:rPr>
            <w:rFonts w:eastAsiaTheme="minorEastAsia" w:cstheme="minorBidi"/>
            <w:noProof/>
          </w:rPr>
          <w:tab/>
        </w:r>
        <w:r w:rsidR="00A87E9D" w:rsidRPr="0004383A">
          <w:rPr>
            <w:rStyle w:val="Hyperlink"/>
            <w:rFonts w:eastAsiaTheme="minorHAnsi"/>
            <w:noProof/>
          </w:rPr>
          <w:t>Other Issues</w:t>
        </w:r>
        <w:r w:rsidR="00A87E9D">
          <w:rPr>
            <w:noProof/>
            <w:webHidden/>
          </w:rPr>
          <w:tab/>
        </w:r>
        <w:r w:rsidR="00A87E9D">
          <w:rPr>
            <w:noProof/>
            <w:webHidden/>
          </w:rPr>
          <w:fldChar w:fldCharType="begin"/>
        </w:r>
        <w:r w:rsidR="00A87E9D">
          <w:rPr>
            <w:noProof/>
            <w:webHidden/>
          </w:rPr>
          <w:instrText xml:space="preserve"> PAGEREF _Toc478721506 \h </w:instrText>
        </w:r>
        <w:r w:rsidR="00A87E9D">
          <w:rPr>
            <w:noProof/>
            <w:webHidden/>
          </w:rPr>
        </w:r>
        <w:r w:rsidR="00A87E9D">
          <w:rPr>
            <w:noProof/>
            <w:webHidden/>
          </w:rPr>
          <w:fldChar w:fldCharType="separate"/>
        </w:r>
        <w:r>
          <w:rPr>
            <w:noProof/>
            <w:webHidden/>
          </w:rPr>
          <w:t>30</w:t>
        </w:r>
        <w:r w:rsidR="00A87E9D">
          <w:rPr>
            <w:noProof/>
            <w:webHidden/>
          </w:rPr>
          <w:fldChar w:fldCharType="end"/>
        </w:r>
      </w:hyperlink>
    </w:p>
    <w:p w14:paraId="6FD3665C" w14:textId="7208A3C3" w:rsidR="00A87E9D" w:rsidRDefault="00F2203C">
      <w:pPr>
        <w:pStyle w:val="TOC2"/>
        <w:tabs>
          <w:tab w:val="left" w:pos="2765"/>
        </w:tabs>
        <w:rPr>
          <w:rFonts w:eastAsiaTheme="minorEastAsia" w:cstheme="minorBidi"/>
          <w:noProof/>
        </w:rPr>
      </w:pPr>
      <w:hyperlink w:anchor="_Toc478721507" w:history="1">
        <w:r w:rsidR="00A87E9D" w:rsidRPr="0004383A">
          <w:rPr>
            <w:rStyle w:val="Hyperlink"/>
            <w:rFonts w:eastAsiaTheme="minorHAnsi"/>
            <w:noProof/>
          </w:rPr>
          <w:t>Recommendation 2.2:</w:t>
        </w:r>
        <w:r w:rsidR="00A87E9D">
          <w:rPr>
            <w:rFonts w:eastAsiaTheme="minorEastAsia" w:cstheme="minorBidi"/>
            <w:noProof/>
          </w:rPr>
          <w:tab/>
        </w:r>
        <w:r w:rsidR="00A87E9D" w:rsidRPr="0004383A">
          <w:rPr>
            <w:rStyle w:val="Hyperlink"/>
            <w:rFonts w:eastAsiaTheme="minorHAnsi"/>
            <w:noProof/>
          </w:rPr>
          <w:t>Complex lung function – changes to item 11503</w:t>
        </w:r>
        <w:r w:rsidR="00A87E9D">
          <w:rPr>
            <w:noProof/>
            <w:webHidden/>
          </w:rPr>
          <w:tab/>
        </w:r>
        <w:r w:rsidR="00A87E9D">
          <w:rPr>
            <w:noProof/>
            <w:webHidden/>
          </w:rPr>
          <w:fldChar w:fldCharType="begin"/>
        </w:r>
        <w:r w:rsidR="00A87E9D">
          <w:rPr>
            <w:noProof/>
            <w:webHidden/>
          </w:rPr>
          <w:instrText xml:space="preserve"> PAGEREF _Toc478721507 \h </w:instrText>
        </w:r>
        <w:r w:rsidR="00A87E9D">
          <w:rPr>
            <w:noProof/>
            <w:webHidden/>
          </w:rPr>
        </w:r>
        <w:r w:rsidR="00A87E9D">
          <w:rPr>
            <w:noProof/>
            <w:webHidden/>
          </w:rPr>
          <w:fldChar w:fldCharType="separate"/>
        </w:r>
        <w:r>
          <w:rPr>
            <w:noProof/>
            <w:webHidden/>
          </w:rPr>
          <w:t>31</w:t>
        </w:r>
        <w:r w:rsidR="00A87E9D">
          <w:rPr>
            <w:noProof/>
            <w:webHidden/>
          </w:rPr>
          <w:fldChar w:fldCharType="end"/>
        </w:r>
      </w:hyperlink>
    </w:p>
    <w:p w14:paraId="1C0ADCA6" w14:textId="416AC53B" w:rsidR="00A87E9D" w:rsidRDefault="00F2203C">
      <w:pPr>
        <w:pStyle w:val="TOC2"/>
        <w:rPr>
          <w:rFonts w:eastAsiaTheme="minorEastAsia" w:cstheme="minorBidi"/>
          <w:noProof/>
        </w:rPr>
      </w:pPr>
      <w:hyperlink w:anchor="_Toc478721508" w:history="1">
        <w:r w:rsidR="00A87E9D" w:rsidRPr="0004383A">
          <w:rPr>
            <w:rStyle w:val="Hyperlink"/>
            <w:rFonts w:eastAsiaTheme="minorHAnsi"/>
            <w:noProof/>
          </w:rPr>
          <w:t>5.3</w:t>
        </w:r>
        <w:r w:rsidR="00A87E9D">
          <w:rPr>
            <w:rFonts w:eastAsiaTheme="minorEastAsia" w:cstheme="minorBidi"/>
            <w:noProof/>
          </w:rPr>
          <w:tab/>
        </w:r>
        <w:r w:rsidR="00A87E9D" w:rsidRPr="0004383A">
          <w:rPr>
            <w:rStyle w:val="Hyperlink"/>
            <w:rFonts w:eastAsiaTheme="minorHAnsi"/>
            <w:noProof/>
          </w:rPr>
          <w:t>Proposed new MBS item - Cardiopulmonary Exercise Testing (CPET)</w:t>
        </w:r>
        <w:r w:rsidR="00A87E9D">
          <w:rPr>
            <w:noProof/>
            <w:webHidden/>
          </w:rPr>
          <w:tab/>
        </w:r>
        <w:r w:rsidR="00A87E9D">
          <w:rPr>
            <w:noProof/>
            <w:webHidden/>
          </w:rPr>
          <w:fldChar w:fldCharType="begin"/>
        </w:r>
        <w:r w:rsidR="00A87E9D">
          <w:rPr>
            <w:noProof/>
            <w:webHidden/>
          </w:rPr>
          <w:instrText xml:space="preserve"> PAGEREF _Toc478721508 \h </w:instrText>
        </w:r>
        <w:r w:rsidR="00A87E9D">
          <w:rPr>
            <w:noProof/>
            <w:webHidden/>
          </w:rPr>
        </w:r>
        <w:r w:rsidR="00A87E9D">
          <w:rPr>
            <w:noProof/>
            <w:webHidden/>
          </w:rPr>
          <w:fldChar w:fldCharType="separate"/>
        </w:r>
        <w:r>
          <w:rPr>
            <w:noProof/>
            <w:webHidden/>
          </w:rPr>
          <w:t>33</w:t>
        </w:r>
        <w:r w:rsidR="00A87E9D">
          <w:rPr>
            <w:noProof/>
            <w:webHidden/>
          </w:rPr>
          <w:fldChar w:fldCharType="end"/>
        </w:r>
      </w:hyperlink>
    </w:p>
    <w:p w14:paraId="67BF7E48" w14:textId="5392FF79" w:rsidR="00A87E9D" w:rsidRDefault="00F2203C">
      <w:pPr>
        <w:pStyle w:val="TOC2"/>
        <w:tabs>
          <w:tab w:val="left" w:pos="2765"/>
        </w:tabs>
        <w:rPr>
          <w:rFonts w:eastAsiaTheme="minorEastAsia" w:cstheme="minorBidi"/>
          <w:noProof/>
        </w:rPr>
      </w:pPr>
      <w:hyperlink w:anchor="_Toc478721509" w:history="1">
        <w:r w:rsidR="00A87E9D" w:rsidRPr="0004383A">
          <w:rPr>
            <w:rStyle w:val="Hyperlink"/>
            <w:rFonts w:eastAsiaTheme="minorHAnsi"/>
            <w:noProof/>
          </w:rPr>
          <w:t>Recommendation 2.3:</w:t>
        </w:r>
        <w:r w:rsidR="00A87E9D">
          <w:rPr>
            <w:rFonts w:eastAsiaTheme="minorEastAsia" w:cstheme="minorBidi"/>
            <w:noProof/>
          </w:rPr>
          <w:tab/>
        </w:r>
        <w:r w:rsidR="00A87E9D" w:rsidRPr="0004383A">
          <w:rPr>
            <w:rStyle w:val="Hyperlink"/>
            <w:rFonts w:eastAsiaTheme="minorHAnsi"/>
            <w:noProof/>
          </w:rPr>
          <w:t>Proposed new item - Cardiopulmonary Exercise Testing (CPET)</w:t>
        </w:r>
        <w:r w:rsidR="00A87E9D">
          <w:rPr>
            <w:noProof/>
            <w:webHidden/>
          </w:rPr>
          <w:tab/>
        </w:r>
        <w:r w:rsidR="00A87E9D">
          <w:rPr>
            <w:noProof/>
            <w:webHidden/>
          </w:rPr>
          <w:fldChar w:fldCharType="begin"/>
        </w:r>
        <w:r w:rsidR="00A87E9D">
          <w:rPr>
            <w:noProof/>
            <w:webHidden/>
          </w:rPr>
          <w:instrText xml:space="preserve"> PAGEREF _Toc478721509 \h </w:instrText>
        </w:r>
        <w:r w:rsidR="00A87E9D">
          <w:rPr>
            <w:noProof/>
            <w:webHidden/>
          </w:rPr>
        </w:r>
        <w:r w:rsidR="00A87E9D">
          <w:rPr>
            <w:noProof/>
            <w:webHidden/>
          </w:rPr>
          <w:fldChar w:fldCharType="separate"/>
        </w:r>
        <w:r>
          <w:rPr>
            <w:noProof/>
            <w:webHidden/>
          </w:rPr>
          <w:t>33</w:t>
        </w:r>
        <w:r w:rsidR="00A87E9D">
          <w:rPr>
            <w:noProof/>
            <w:webHidden/>
          </w:rPr>
          <w:fldChar w:fldCharType="end"/>
        </w:r>
      </w:hyperlink>
    </w:p>
    <w:p w14:paraId="385C6FEA" w14:textId="77A603E3" w:rsidR="00A87E9D" w:rsidRDefault="00F2203C">
      <w:pPr>
        <w:pStyle w:val="TOC1"/>
        <w:tabs>
          <w:tab w:val="right" w:leader="dot" w:pos="9016"/>
        </w:tabs>
        <w:rPr>
          <w:rFonts w:eastAsiaTheme="minorEastAsia" w:cstheme="minorBidi"/>
          <w:b w:val="0"/>
          <w:noProof/>
        </w:rPr>
      </w:pPr>
      <w:hyperlink w:anchor="_Toc478721510" w:history="1">
        <w:r w:rsidR="00A87E9D" w:rsidRPr="0004383A">
          <w:rPr>
            <w:rStyle w:val="Hyperlink"/>
            <w:rFonts w:eastAsiaTheme="minorHAnsi"/>
            <w:noProof/>
          </w:rPr>
          <w:t>6.</w:t>
        </w:r>
        <w:r w:rsidR="00A87E9D">
          <w:rPr>
            <w:rFonts w:eastAsiaTheme="minorEastAsia" w:cstheme="minorBidi"/>
            <w:b w:val="0"/>
            <w:noProof/>
          </w:rPr>
          <w:tab/>
        </w:r>
        <w:r w:rsidR="00A87E9D" w:rsidRPr="0004383A">
          <w:rPr>
            <w:rStyle w:val="Hyperlink"/>
            <w:rFonts w:eastAsiaTheme="minorHAnsi"/>
            <w:noProof/>
          </w:rPr>
          <w:t>MBS Item Group Two – Sleep Studies</w:t>
        </w:r>
        <w:r w:rsidR="00A87E9D">
          <w:rPr>
            <w:noProof/>
            <w:webHidden/>
          </w:rPr>
          <w:tab/>
        </w:r>
        <w:r w:rsidR="00A87E9D">
          <w:rPr>
            <w:noProof/>
            <w:webHidden/>
          </w:rPr>
          <w:fldChar w:fldCharType="begin"/>
        </w:r>
        <w:r w:rsidR="00A87E9D">
          <w:rPr>
            <w:noProof/>
            <w:webHidden/>
          </w:rPr>
          <w:instrText xml:space="preserve"> PAGEREF _Toc478721510 \h </w:instrText>
        </w:r>
        <w:r w:rsidR="00A87E9D">
          <w:rPr>
            <w:noProof/>
            <w:webHidden/>
          </w:rPr>
        </w:r>
        <w:r w:rsidR="00A87E9D">
          <w:rPr>
            <w:noProof/>
            <w:webHidden/>
          </w:rPr>
          <w:fldChar w:fldCharType="separate"/>
        </w:r>
        <w:r>
          <w:rPr>
            <w:noProof/>
            <w:webHidden/>
          </w:rPr>
          <w:t>35</w:t>
        </w:r>
        <w:r w:rsidR="00A87E9D">
          <w:rPr>
            <w:noProof/>
            <w:webHidden/>
          </w:rPr>
          <w:fldChar w:fldCharType="end"/>
        </w:r>
      </w:hyperlink>
    </w:p>
    <w:p w14:paraId="4D3E4317" w14:textId="31968125" w:rsidR="00A87E9D" w:rsidRDefault="00F2203C">
      <w:pPr>
        <w:pStyle w:val="TOC2"/>
        <w:rPr>
          <w:rFonts w:eastAsiaTheme="minorEastAsia" w:cstheme="minorBidi"/>
          <w:noProof/>
        </w:rPr>
      </w:pPr>
      <w:hyperlink w:anchor="_Toc478721511" w:history="1">
        <w:r w:rsidR="00A87E9D" w:rsidRPr="0004383A">
          <w:rPr>
            <w:rStyle w:val="Hyperlink"/>
            <w:rFonts w:eastAsiaTheme="minorHAnsi"/>
            <w:noProof/>
          </w:rPr>
          <w:t>6.1</w:t>
        </w:r>
        <w:r w:rsidR="00A87E9D">
          <w:rPr>
            <w:rFonts w:eastAsiaTheme="minorEastAsia" w:cstheme="minorBidi"/>
            <w:noProof/>
          </w:rPr>
          <w:tab/>
        </w:r>
        <w:r w:rsidR="00A87E9D" w:rsidRPr="0004383A">
          <w:rPr>
            <w:rStyle w:val="Hyperlink"/>
            <w:rFonts w:eastAsiaTheme="minorHAnsi"/>
            <w:noProof/>
          </w:rPr>
          <w:t>Sleep studies</w:t>
        </w:r>
        <w:r w:rsidR="00A87E9D">
          <w:rPr>
            <w:noProof/>
            <w:webHidden/>
          </w:rPr>
          <w:tab/>
        </w:r>
        <w:r w:rsidR="00A87E9D">
          <w:rPr>
            <w:noProof/>
            <w:webHidden/>
          </w:rPr>
          <w:fldChar w:fldCharType="begin"/>
        </w:r>
        <w:r w:rsidR="00A87E9D">
          <w:rPr>
            <w:noProof/>
            <w:webHidden/>
          </w:rPr>
          <w:instrText xml:space="preserve"> PAGEREF _Toc478721511 \h </w:instrText>
        </w:r>
        <w:r w:rsidR="00A87E9D">
          <w:rPr>
            <w:noProof/>
            <w:webHidden/>
          </w:rPr>
        </w:r>
        <w:r w:rsidR="00A87E9D">
          <w:rPr>
            <w:noProof/>
            <w:webHidden/>
          </w:rPr>
          <w:fldChar w:fldCharType="separate"/>
        </w:r>
        <w:r>
          <w:rPr>
            <w:noProof/>
            <w:webHidden/>
          </w:rPr>
          <w:t>35</w:t>
        </w:r>
        <w:r w:rsidR="00A87E9D">
          <w:rPr>
            <w:noProof/>
            <w:webHidden/>
          </w:rPr>
          <w:fldChar w:fldCharType="end"/>
        </w:r>
      </w:hyperlink>
    </w:p>
    <w:p w14:paraId="68A0B673" w14:textId="77BF2F3B" w:rsidR="00A87E9D" w:rsidRDefault="00F2203C">
      <w:pPr>
        <w:pStyle w:val="TOC2"/>
        <w:rPr>
          <w:rFonts w:eastAsiaTheme="minorEastAsia" w:cstheme="minorBidi"/>
          <w:noProof/>
        </w:rPr>
      </w:pPr>
      <w:hyperlink w:anchor="_Toc478721512" w:history="1">
        <w:r w:rsidR="00A87E9D" w:rsidRPr="0004383A">
          <w:rPr>
            <w:rStyle w:val="Hyperlink"/>
            <w:rFonts w:eastAsiaTheme="minorHAnsi"/>
            <w:noProof/>
          </w:rPr>
          <w:t>6.2</w:t>
        </w:r>
        <w:r w:rsidR="00A87E9D">
          <w:rPr>
            <w:rFonts w:eastAsiaTheme="minorEastAsia" w:cstheme="minorBidi"/>
            <w:noProof/>
          </w:rPr>
          <w:tab/>
        </w:r>
        <w:r w:rsidR="00A87E9D" w:rsidRPr="0004383A">
          <w:rPr>
            <w:rStyle w:val="Hyperlink"/>
            <w:rFonts w:eastAsiaTheme="minorHAnsi"/>
            <w:noProof/>
          </w:rPr>
          <w:t>Paediatric Sleep Studies</w:t>
        </w:r>
        <w:r w:rsidR="00A87E9D">
          <w:rPr>
            <w:noProof/>
            <w:webHidden/>
          </w:rPr>
          <w:tab/>
        </w:r>
        <w:r w:rsidR="00A87E9D">
          <w:rPr>
            <w:noProof/>
            <w:webHidden/>
          </w:rPr>
          <w:fldChar w:fldCharType="begin"/>
        </w:r>
        <w:r w:rsidR="00A87E9D">
          <w:rPr>
            <w:noProof/>
            <w:webHidden/>
          </w:rPr>
          <w:instrText xml:space="preserve"> PAGEREF _Toc478721512 \h </w:instrText>
        </w:r>
        <w:r w:rsidR="00A87E9D">
          <w:rPr>
            <w:noProof/>
            <w:webHidden/>
          </w:rPr>
        </w:r>
        <w:r w:rsidR="00A87E9D">
          <w:rPr>
            <w:noProof/>
            <w:webHidden/>
          </w:rPr>
          <w:fldChar w:fldCharType="separate"/>
        </w:r>
        <w:r>
          <w:rPr>
            <w:noProof/>
            <w:webHidden/>
          </w:rPr>
          <w:t>46</w:t>
        </w:r>
        <w:r w:rsidR="00A87E9D">
          <w:rPr>
            <w:noProof/>
            <w:webHidden/>
          </w:rPr>
          <w:fldChar w:fldCharType="end"/>
        </w:r>
      </w:hyperlink>
    </w:p>
    <w:p w14:paraId="78844599" w14:textId="68FEA14A" w:rsidR="00A87E9D" w:rsidRDefault="00F2203C">
      <w:pPr>
        <w:pStyle w:val="TOC2"/>
        <w:tabs>
          <w:tab w:val="left" w:pos="2598"/>
        </w:tabs>
        <w:rPr>
          <w:rFonts w:eastAsiaTheme="minorEastAsia" w:cstheme="minorBidi"/>
          <w:noProof/>
        </w:rPr>
      </w:pPr>
      <w:hyperlink w:anchor="_Toc478721513" w:history="1">
        <w:r w:rsidR="00A87E9D" w:rsidRPr="0004383A">
          <w:rPr>
            <w:rStyle w:val="Hyperlink"/>
            <w:rFonts w:eastAsiaTheme="minorHAnsi"/>
            <w:noProof/>
            <w14:scene3d>
              <w14:camera w14:prst="orthographicFront"/>
              <w14:lightRig w14:rig="threePt" w14:dir="t">
                <w14:rot w14:lat="0" w14:lon="0" w14:rev="0"/>
              </w14:lightRig>
            </w14:scene3d>
          </w:rPr>
          <w:t>Recommendation 3:</w:t>
        </w:r>
        <w:r w:rsidR="00A87E9D">
          <w:rPr>
            <w:rFonts w:eastAsiaTheme="minorEastAsia" w:cstheme="minorBidi"/>
            <w:noProof/>
          </w:rPr>
          <w:tab/>
        </w:r>
        <w:r w:rsidR="00A87E9D" w:rsidRPr="0004383A">
          <w:rPr>
            <w:rStyle w:val="Hyperlink"/>
            <w:rFonts w:eastAsiaTheme="minorHAnsi"/>
            <w:noProof/>
          </w:rPr>
          <w:t>Adult sleep study item descriptors and explanatory notes</w:t>
        </w:r>
        <w:r w:rsidR="00A87E9D">
          <w:rPr>
            <w:noProof/>
            <w:webHidden/>
          </w:rPr>
          <w:tab/>
        </w:r>
        <w:r w:rsidR="00A87E9D">
          <w:rPr>
            <w:noProof/>
            <w:webHidden/>
          </w:rPr>
          <w:fldChar w:fldCharType="begin"/>
        </w:r>
        <w:r w:rsidR="00A87E9D">
          <w:rPr>
            <w:noProof/>
            <w:webHidden/>
          </w:rPr>
          <w:instrText xml:space="preserve"> PAGEREF _Toc478721513 \h </w:instrText>
        </w:r>
        <w:r w:rsidR="00A87E9D">
          <w:rPr>
            <w:noProof/>
            <w:webHidden/>
          </w:rPr>
        </w:r>
        <w:r w:rsidR="00A87E9D">
          <w:rPr>
            <w:noProof/>
            <w:webHidden/>
          </w:rPr>
          <w:fldChar w:fldCharType="separate"/>
        </w:r>
        <w:r>
          <w:rPr>
            <w:noProof/>
            <w:webHidden/>
          </w:rPr>
          <w:t>48</w:t>
        </w:r>
        <w:r w:rsidR="00A87E9D">
          <w:rPr>
            <w:noProof/>
            <w:webHidden/>
          </w:rPr>
          <w:fldChar w:fldCharType="end"/>
        </w:r>
      </w:hyperlink>
    </w:p>
    <w:p w14:paraId="056EE709" w14:textId="122C1FDB" w:rsidR="00A87E9D" w:rsidRDefault="00F2203C">
      <w:pPr>
        <w:pStyle w:val="TOC1"/>
        <w:tabs>
          <w:tab w:val="right" w:leader="dot" w:pos="9016"/>
        </w:tabs>
        <w:rPr>
          <w:rFonts w:eastAsiaTheme="minorEastAsia" w:cstheme="minorBidi"/>
          <w:b w:val="0"/>
          <w:noProof/>
        </w:rPr>
      </w:pPr>
      <w:hyperlink w:anchor="_Toc478721514" w:history="1">
        <w:r w:rsidR="00A87E9D" w:rsidRPr="0004383A">
          <w:rPr>
            <w:rStyle w:val="Hyperlink"/>
            <w:rFonts w:eastAsiaTheme="minorHAnsi"/>
            <w:noProof/>
          </w:rPr>
          <w:t>7.</w:t>
        </w:r>
        <w:r w:rsidR="00A87E9D">
          <w:rPr>
            <w:rFonts w:eastAsiaTheme="minorEastAsia" w:cstheme="minorBidi"/>
            <w:b w:val="0"/>
            <w:noProof/>
          </w:rPr>
          <w:tab/>
        </w:r>
        <w:r w:rsidR="00A87E9D" w:rsidRPr="0004383A">
          <w:rPr>
            <w:rStyle w:val="Hyperlink"/>
            <w:rFonts w:eastAsiaTheme="minorHAnsi"/>
            <w:noProof/>
          </w:rPr>
          <w:t>Diagnostic and therapeutic procedures – lung, trachea and bronchus</w:t>
        </w:r>
        <w:r w:rsidR="00A87E9D">
          <w:rPr>
            <w:noProof/>
            <w:webHidden/>
          </w:rPr>
          <w:tab/>
        </w:r>
        <w:r w:rsidR="00A87E9D">
          <w:rPr>
            <w:noProof/>
            <w:webHidden/>
          </w:rPr>
          <w:fldChar w:fldCharType="begin"/>
        </w:r>
        <w:r w:rsidR="00A87E9D">
          <w:rPr>
            <w:noProof/>
            <w:webHidden/>
          </w:rPr>
          <w:instrText xml:space="preserve"> PAGEREF _Toc478721514 \h </w:instrText>
        </w:r>
        <w:r w:rsidR="00A87E9D">
          <w:rPr>
            <w:noProof/>
            <w:webHidden/>
          </w:rPr>
        </w:r>
        <w:r w:rsidR="00A87E9D">
          <w:rPr>
            <w:noProof/>
            <w:webHidden/>
          </w:rPr>
          <w:fldChar w:fldCharType="separate"/>
        </w:r>
        <w:r>
          <w:rPr>
            <w:noProof/>
            <w:webHidden/>
          </w:rPr>
          <w:t>55</w:t>
        </w:r>
        <w:r w:rsidR="00A87E9D">
          <w:rPr>
            <w:noProof/>
            <w:webHidden/>
          </w:rPr>
          <w:fldChar w:fldCharType="end"/>
        </w:r>
      </w:hyperlink>
    </w:p>
    <w:p w14:paraId="0AA1FFD7" w14:textId="37A5B2DF" w:rsidR="00A87E9D" w:rsidRDefault="00F2203C">
      <w:pPr>
        <w:pStyle w:val="TOC2"/>
        <w:rPr>
          <w:rFonts w:eastAsiaTheme="minorEastAsia" w:cstheme="minorBidi"/>
          <w:noProof/>
        </w:rPr>
      </w:pPr>
      <w:hyperlink w:anchor="_Toc478721515" w:history="1">
        <w:r w:rsidR="00A87E9D" w:rsidRPr="0004383A">
          <w:rPr>
            <w:rStyle w:val="Hyperlink"/>
            <w:rFonts w:eastAsiaTheme="minorHAnsi"/>
            <w:noProof/>
          </w:rPr>
          <w:t>7.1</w:t>
        </w:r>
        <w:r w:rsidR="00A87E9D">
          <w:rPr>
            <w:rFonts w:eastAsiaTheme="minorEastAsia" w:cstheme="minorBidi"/>
            <w:noProof/>
          </w:rPr>
          <w:tab/>
        </w:r>
        <w:r w:rsidR="00A87E9D" w:rsidRPr="0004383A">
          <w:rPr>
            <w:rStyle w:val="Hyperlink"/>
            <w:rFonts w:eastAsiaTheme="minorHAnsi"/>
            <w:noProof/>
          </w:rPr>
          <w:t>Therapeutic procedures – bronchus and trachea</w:t>
        </w:r>
        <w:r w:rsidR="00A87E9D">
          <w:rPr>
            <w:noProof/>
            <w:webHidden/>
          </w:rPr>
          <w:tab/>
        </w:r>
        <w:r w:rsidR="00A87E9D">
          <w:rPr>
            <w:noProof/>
            <w:webHidden/>
          </w:rPr>
          <w:fldChar w:fldCharType="begin"/>
        </w:r>
        <w:r w:rsidR="00A87E9D">
          <w:rPr>
            <w:noProof/>
            <w:webHidden/>
          </w:rPr>
          <w:instrText xml:space="preserve"> PAGEREF _Toc478721515 \h </w:instrText>
        </w:r>
        <w:r w:rsidR="00A87E9D">
          <w:rPr>
            <w:noProof/>
            <w:webHidden/>
          </w:rPr>
        </w:r>
        <w:r w:rsidR="00A87E9D">
          <w:rPr>
            <w:noProof/>
            <w:webHidden/>
          </w:rPr>
          <w:fldChar w:fldCharType="separate"/>
        </w:r>
        <w:r>
          <w:rPr>
            <w:noProof/>
            <w:webHidden/>
          </w:rPr>
          <w:t>55</w:t>
        </w:r>
        <w:r w:rsidR="00A87E9D">
          <w:rPr>
            <w:noProof/>
            <w:webHidden/>
          </w:rPr>
          <w:fldChar w:fldCharType="end"/>
        </w:r>
      </w:hyperlink>
    </w:p>
    <w:p w14:paraId="03E09E18" w14:textId="28D6DE10" w:rsidR="00A87E9D" w:rsidRDefault="00F2203C">
      <w:pPr>
        <w:pStyle w:val="TOC2"/>
        <w:rPr>
          <w:rFonts w:eastAsiaTheme="minorEastAsia" w:cstheme="minorBidi"/>
          <w:noProof/>
        </w:rPr>
      </w:pPr>
      <w:hyperlink w:anchor="_Toc478721516" w:history="1">
        <w:r w:rsidR="00A87E9D" w:rsidRPr="0004383A">
          <w:rPr>
            <w:rStyle w:val="Hyperlink"/>
            <w:rFonts w:eastAsiaTheme="minorHAnsi"/>
            <w:noProof/>
          </w:rPr>
          <w:t>7.2</w:t>
        </w:r>
        <w:r w:rsidR="00A87E9D">
          <w:rPr>
            <w:rFonts w:eastAsiaTheme="minorEastAsia" w:cstheme="minorBidi"/>
            <w:noProof/>
          </w:rPr>
          <w:tab/>
        </w:r>
        <w:r w:rsidR="00A87E9D" w:rsidRPr="0004383A">
          <w:rPr>
            <w:rStyle w:val="Hyperlink"/>
            <w:rFonts w:eastAsiaTheme="minorHAnsi"/>
            <w:noProof/>
          </w:rPr>
          <w:t>Lung cancer biopsy items</w:t>
        </w:r>
        <w:r w:rsidR="00A87E9D">
          <w:rPr>
            <w:noProof/>
            <w:webHidden/>
          </w:rPr>
          <w:tab/>
        </w:r>
        <w:r w:rsidR="00A87E9D">
          <w:rPr>
            <w:noProof/>
            <w:webHidden/>
          </w:rPr>
          <w:fldChar w:fldCharType="begin"/>
        </w:r>
        <w:r w:rsidR="00A87E9D">
          <w:rPr>
            <w:noProof/>
            <w:webHidden/>
          </w:rPr>
          <w:instrText xml:space="preserve"> PAGEREF _Toc478721516 \h </w:instrText>
        </w:r>
        <w:r w:rsidR="00A87E9D">
          <w:rPr>
            <w:noProof/>
            <w:webHidden/>
          </w:rPr>
        </w:r>
        <w:r w:rsidR="00A87E9D">
          <w:rPr>
            <w:noProof/>
            <w:webHidden/>
          </w:rPr>
          <w:fldChar w:fldCharType="separate"/>
        </w:r>
        <w:r>
          <w:rPr>
            <w:noProof/>
            <w:webHidden/>
          </w:rPr>
          <w:t>56</w:t>
        </w:r>
        <w:r w:rsidR="00A87E9D">
          <w:rPr>
            <w:noProof/>
            <w:webHidden/>
          </w:rPr>
          <w:fldChar w:fldCharType="end"/>
        </w:r>
      </w:hyperlink>
    </w:p>
    <w:p w14:paraId="5B1DC107" w14:textId="06E09223" w:rsidR="00A87E9D" w:rsidRDefault="00F2203C">
      <w:pPr>
        <w:pStyle w:val="TOC2"/>
        <w:tabs>
          <w:tab w:val="left" w:pos="2598"/>
        </w:tabs>
        <w:rPr>
          <w:rFonts w:eastAsiaTheme="minorEastAsia" w:cstheme="minorBidi"/>
          <w:noProof/>
        </w:rPr>
      </w:pPr>
      <w:hyperlink w:anchor="_Toc478721517" w:history="1">
        <w:r w:rsidR="00A87E9D" w:rsidRPr="0004383A">
          <w:rPr>
            <w:rStyle w:val="Hyperlink"/>
            <w:rFonts w:eastAsiaTheme="minorHAnsi"/>
            <w:noProof/>
            <w14:scene3d>
              <w14:camera w14:prst="orthographicFront"/>
              <w14:lightRig w14:rig="threePt" w14:dir="t">
                <w14:rot w14:lat="0" w14:lon="0" w14:rev="0"/>
              </w14:lightRig>
            </w14:scene3d>
          </w:rPr>
          <w:t>Recommendation 4:</w:t>
        </w:r>
        <w:r w:rsidR="00A87E9D">
          <w:rPr>
            <w:rFonts w:eastAsiaTheme="minorEastAsia" w:cstheme="minorBidi"/>
            <w:noProof/>
          </w:rPr>
          <w:tab/>
        </w:r>
        <w:r w:rsidR="00A87E9D" w:rsidRPr="0004383A">
          <w:rPr>
            <w:rStyle w:val="Hyperlink"/>
            <w:rFonts w:eastAsiaTheme="minorHAnsi"/>
            <w:noProof/>
          </w:rPr>
          <w:t>Diagnostic and therapeutic procedures – lung, trachea and bronchus</w:t>
        </w:r>
        <w:r w:rsidR="00A87E9D">
          <w:rPr>
            <w:noProof/>
            <w:webHidden/>
          </w:rPr>
          <w:tab/>
        </w:r>
        <w:r w:rsidR="00A87E9D">
          <w:rPr>
            <w:noProof/>
            <w:webHidden/>
          </w:rPr>
          <w:fldChar w:fldCharType="begin"/>
        </w:r>
        <w:r w:rsidR="00A87E9D">
          <w:rPr>
            <w:noProof/>
            <w:webHidden/>
          </w:rPr>
          <w:instrText xml:space="preserve"> PAGEREF _Toc478721517 \h </w:instrText>
        </w:r>
        <w:r w:rsidR="00A87E9D">
          <w:rPr>
            <w:noProof/>
            <w:webHidden/>
          </w:rPr>
        </w:r>
        <w:r w:rsidR="00A87E9D">
          <w:rPr>
            <w:noProof/>
            <w:webHidden/>
          </w:rPr>
          <w:fldChar w:fldCharType="separate"/>
        </w:r>
        <w:r>
          <w:rPr>
            <w:noProof/>
            <w:webHidden/>
          </w:rPr>
          <w:t>57</w:t>
        </w:r>
        <w:r w:rsidR="00A87E9D">
          <w:rPr>
            <w:noProof/>
            <w:webHidden/>
          </w:rPr>
          <w:fldChar w:fldCharType="end"/>
        </w:r>
      </w:hyperlink>
    </w:p>
    <w:p w14:paraId="1F83203B" w14:textId="3C50E213" w:rsidR="00A87E9D" w:rsidRDefault="00F2203C">
      <w:pPr>
        <w:pStyle w:val="TOC1"/>
        <w:tabs>
          <w:tab w:val="right" w:leader="dot" w:pos="9016"/>
        </w:tabs>
        <w:rPr>
          <w:rFonts w:eastAsiaTheme="minorEastAsia" w:cstheme="minorBidi"/>
          <w:b w:val="0"/>
          <w:noProof/>
        </w:rPr>
      </w:pPr>
      <w:hyperlink w:anchor="_Toc478721518" w:history="1">
        <w:r w:rsidR="00A87E9D" w:rsidRPr="0004383A">
          <w:rPr>
            <w:rStyle w:val="Hyperlink"/>
            <w:rFonts w:eastAsiaTheme="minorHAnsi"/>
            <w:noProof/>
          </w:rPr>
          <w:t>8.</w:t>
        </w:r>
        <w:r w:rsidR="00A87E9D">
          <w:rPr>
            <w:rFonts w:eastAsiaTheme="minorEastAsia" w:cstheme="minorBidi"/>
            <w:b w:val="0"/>
            <w:noProof/>
          </w:rPr>
          <w:tab/>
        </w:r>
        <w:r w:rsidR="00A87E9D" w:rsidRPr="0004383A">
          <w:rPr>
            <w:rStyle w:val="Hyperlink"/>
            <w:rFonts w:eastAsiaTheme="minorHAnsi"/>
            <w:noProof/>
          </w:rPr>
          <w:t>Obsolete items</w:t>
        </w:r>
        <w:r w:rsidR="00A87E9D">
          <w:rPr>
            <w:noProof/>
            <w:webHidden/>
          </w:rPr>
          <w:tab/>
        </w:r>
        <w:r w:rsidR="00A87E9D">
          <w:rPr>
            <w:noProof/>
            <w:webHidden/>
          </w:rPr>
          <w:fldChar w:fldCharType="begin"/>
        </w:r>
        <w:r w:rsidR="00A87E9D">
          <w:rPr>
            <w:noProof/>
            <w:webHidden/>
          </w:rPr>
          <w:instrText xml:space="preserve"> PAGEREF _Toc478721518 \h </w:instrText>
        </w:r>
        <w:r w:rsidR="00A87E9D">
          <w:rPr>
            <w:noProof/>
            <w:webHidden/>
          </w:rPr>
        </w:r>
        <w:r w:rsidR="00A87E9D">
          <w:rPr>
            <w:noProof/>
            <w:webHidden/>
          </w:rPr>
          <w:fldChar w:fldCharType="separate"/>
        </w:r>
        <w:r>
          <w:rPr>
            <w:noProof/>
            <w:webHidden/>
          </w:rPr>
          <w:t>58</w:t>
        </w:r>
        <w:r w:rsidR="00A87E9D">
          <w:rPr>
            <w:noProof/>
            <w:webHidden/>
          </w:rPr>
          <w:fldChar w:fldCharType="end"/>
        </w:r>
      </w:hyperlink>
    </w:p>
    <w:p w14:paraId="0478467D" w14:textId="73EC6EF8" w:rsidR="00A87E9D" w:rsidRDefault="00F2203C">
      <w:pPr>
        <w:pStyle w:val="TOC2"/>
        <w:rPr>
          <w:rFonts w:eastAsiaTheme="minorEastAsia" w:cstheme="minorBidi"/>
          <w:noProof/>
        </w:rPr>
      </w:pPr>
      <w:hyperlink w:anchor="_Toc478721519" w:history="1">
        <w:r w:rsidR="00A87E9D" w:rsidRPr="0004383A">
          <w:rPr>
            <w:rStyle w:val="Hyperlink"/>
            <w:rFonts w:eastAsiaTheme="minorHAnsi"/>
            <w:noProof/>
          </w:rPr>
          <w:t>8.1</w:t>
        </w:r>
        <w:r w:rsidR="00A87E9D">
          <w:rPr>
            <w:rFonts w:eastAsiaTheme="minorEastAsia" w:cstheme="minorBidi"/>
            <w:noProof/>
          </w:rPr>
          <w:tab/>
        </w:r>
        <w:r w:rsidR="00A87E9D" w:rsidRPr="0004383A">
          <w:rPr>
            <w:rStyle w:val="Hyperlink"/>
            <w:rFonts w:eastAsiaTheme="minorHAnsi"/>
            <w:noProof/>
          </w:rPr>
          <w:t>Item 11500 – Bronchospirometry, including gas analysis</w:t>
        </w:r>
        <w:r w:rsidR="00A87E9D">
          <w:rPr>
            <w:noProof/>
            <w:webHidden/>
          </w:rPr>
          <w:tab/>
        </w:r>
        <w:r w:rsidR="00A87E9D">
          <w:rPr>
            <w:noProof/>
            <w:webHidden/>
          </w:rPr>
          <w:fldChar w:fldCharType="begin"/>
        </w:r>
        <w:r w:rsidR="00A87E9D">
          <w:rPr>
            <w:noProof/>
            <w:webHidden/>
          </w:rPr>
          <w:instrText xml:space="preserve"> PAGEREF _Toc478721519 \h </w:instrText>
        </w:r>
        <w:r w:rsidR="00A87E9D">
          <w:rPr>
            <w:noProof/>
            <w:webHidden/>
          </w:rPr>
        </w:r>
        <w:r w:rsidR="00A87E9D">
          <w:rPr>
            <w:noProof/>
            <w:webHidden/>
          </w:rPr>
          <w:fldChar w:fldCharType="separate"/>
        </w:r>
        <w:r>
          <w:rPr>
            <w:noProof/>
            <w:webHidden/>
          </w:rPr>
          <w:t>58</w:t>
        </w:r>
        <w:r w:rsidR="00A87E9D">
          <w:rPr>
            <w:noProof/>
            <w:webHidden/>
          </w:rPr>
          <w:fldChar w:fldCharType="end"/>
        </w:r>
      </w:hyperlink>
    </w:p>
    <w:p w14:paraId="1534CEBA" w14:textId="119C9E6A" w:rsidR="00A87E9D" w:rsidRDefault="00F2203C">
      <w:pPr>
        <w:pStyle w:val="TOC2"/>
        <w:rPr>
          <w:rFonts w:eastAsiaTheme="minorEastAsia" w:cstheme="minorBidi"/>
          <w:noProof/>
        </w:rPr>
      </w:pPr>
      <w:hyperlink w:anchor="_Toc478721520" w:history="1">
        <w:r w:rsidR="00A87E9D" w:rsidRPr="0004383A">
          <w:rPr>
            <w:rStyle w:val="Hyperlink"/>
            <w:rFonts w:eastAsiaTheme="minorHAnsi"/>
            <w:noProof/>
          </w:rPr>
          <w:t>8.2</w:t>
        </w:r>
        <w:r w:rsidR="00A87E9D">
          <w:rPr>
            <w:rFonts w:eastAsiaTheme="minorEastAsia" w:cstheme="minorBidi"/>
            <w:noProof/>
          </w:rPr>
          <w:tab/>
        </w:r>
        <w:r w:rsidR="00A87E9D" w:rsidRPr="0004383A">
          <w:rPr>
            <w:rStyle w:val="Hyperlink"/>
            <w:rFonts w:eastAsiaTheme="minorHAnsi"/>
            <w:noProof/>
          </w:rPr>
          <w:t>Item 11509 – Spirometry in a respiratory laboratory</w:t>
        </w:r>
        <w:r w:rsidR="00A87E9D">
          <w:rPr>
            <w:noProof/>
            <w:webHidden/>
          </w:rPr>
          <w:tab/>
        </w:r>
        <w:r w:rsidR="00A87E9D">
          <w:rPr>
            <w:noProof/>
            <w:webHidden/>
          </w:rPr>
          <w:fldChar w:fldCharType="begin"/>
        </w:r>
        <w:r w:rsidR="00A87E9D">
          <w:rPr>
            <w:noProof/>
            <w:webHidden/>
          </w:rPr>
          <w:instrText xml:space="preserve"> PAGEREF _Toc478721520 \h </w:instrText>
        </w:r>
        <w:r w:rsidR="00A87E9D">
          <w:rPr>
            <w:noProof/>
            <w:webHidden/>
          </w:rPr>
        </w:r>
        <w:r w:rsidR="00A87E9D">
          <w:rPr>
            <w:noProof/>
            <w:webHidden/>
          </w:rPr>
          <w:fldChar w:fldCharType="separate"/>
        </w:r>
        <w:r>
          <w:rPr>
            <w:noProof/>
            <w:webHidden/>
          </w:rPr>
          <w:t>58</w:t>
        </w:r>
        <w:r w:rsidR="00A87E9D">
          <w:rPr>
            <w:noProof/>
            <w:webHidden/>
          </w:rPr>
          <w:fldChar w:fldCharType="end"/>
        </w:r>
      </w:hyperlink>
    </w:p>
    <w:p w14:paraId="25EB7A95" w14:textId="0787B8C9" w:rsidR="00A87E9D" w:rsidRDefault="00F2203C">
      <w:pPr>
        <w:pStyle w:val="TOC2"/>
        <w:tabs>
          <w:tab w:val="left" w:pos="2598"/>
        </w:tabs>
        <w:rPr>
          <w:rFonts w:eastAsiaTheme="minorEastAsia" w:cstheme="minorBidi"/>
          <w:noProof/>
        </w:rPr>
      </w:pPr>
      <w:hyperlink w:anchor="_Toc478721521" w:history="1">
        <w:r w:rsidR="00A87E9D" w:rsidRPr="0004383A">
          <w:rPr>
            <w:rStyle w:val="Hyperlink"/>
            <w:rFonts w:eastAsiaTheme="minorHAnsi"/>
            <w:noProof/>
            <w14:scene3d>
              <w14:camera w14:prst="orthographicFront"/>
              <w14:lightRig w14:rig="threePt" w14:dir="t">
                <w14:rot w14:lat="0" w14:lon="0" w14:rev="0"/>
              </w14:lightRig>
            </w14:scene3d>
          </w:rPr>
          <w:t>Recommendation 5:</w:t>
        </w:r>
        <w:r w:rsidR="00A87E9D">
          <w:rPr>
            <w:rFonts w:eastAsiaTheme="minorEastAsia" w:cstheme="minorBidi"/>
            <w:noProof/>
          </w:rPr>
          <w:tab/>
        </w:r>
        <w:r w:rsidR="00A87E9D" w:rsidRPr="0004383A">
          <w:rPr>
            <w:rStyle w:val="Hyperlink"/>
            <w:rFonts w:eastAsiaTheme="minorHAnsi"/>
            <w:noProof/>
          </w:rPr>
          <w:t>Obsolete items</w:t>
        </w:r>
        <w:r w:rsidR="00A87E9D">
          <w:rPr>
            <w:noProof/>
            <w:webHidden/>
          </w:rPr>
          <w:tab/>
        </w:r>
        <w:r w:rsidR="00A87E9D">
          <w:rPr>
            <w:noProof/>
            <w:webHidden/>
          </w:rPr>
          <w:fldChar w:fldCharType="begin"/>
        </w:r>
        <w:r w:rsidR="00A87E9D">
          <w:rPr>
            <w:noProof/>
            <w:webHidden/>
          </w:rPr>
          <w:instrText xml:space="preserve"> PAGEREF _Toc478721521 \h </w:instrText>
        </w:r>
        <w:r w:rsidR="00A87E9D">
          <w:rPr>
            <w:noProof/>
            <w:webHidden/>
          </w:rPr>
        </w:r>
        <w:r w:rsidR="00A87E9D">
          <w:rPr>
            <w:noProof/>
            <w:webHidden/>
          </w:rPr>
          <w:fldChar w:fldCharType="separate"/>
        </w:r>
        <w:r>
          <w:rPr>
            <w:noProof/>
            <w:webHidden/>
          </w:rPr>
          <w:t>59</w:t>
        </w:r>
        <w:r w:rsidR="00A87E9D">
          <w:rPr>
            <w:noProof/>
            <w:webHidden/>
          </w:rPr>
          <w:fldChar w:fldCharType="end"/>
        </w:r>
      </w:hyperlink>
    </w:p>
    <w:p w14:paraId="55CA64C5" w14:textId="39A63748" w:rsidR="00A87E9D" w:rsidRDefault="00F2203C">
      <w:pPr>
        <w:pStyle w:val="TOC1"/>
        <w:tabs>
          <w:tab w:val="right" w:leader="dot" w:pos="9016"/>
        </w:tabs>
        <w:rPr>
          <w:rFonts w:eastAsiaTheme="minorEastAsia" w:cstheme="minorBidi"/>
          <w:b w:val="0"/>
          <w:noProof/>
        </w:rPr>
      </w:pPr>
      <w:hyperlink w:anchor="_Toc478721522" w:history="1">
        <w:r w:rsidR="00A87E9D" w:rsidRPr="0004383A">
          <w:rPr>
            <w:rStyle w:val="Hyperlink"/>
            <w:rFonts w:eastAsiaTheme="minorHAnsi"/>
            <w:noProof/>
          </w:rPr>
          <w:t>9.</w:t>
        </w:r>
        <w:r w:rsidR="00A87E9D">
          <w:rPr>
            <w:rFonts w:eastAsiaTheme="minorEastAsia" w:cstheme="minorBidi"/>
            <w:b w:val="0"/>
            <w:noProof/>
          </w:rPr>
          <w:tab/>
        </w:r>
        <w:r w:rsidR="00A87E9D" w:rsidRPr="0004383A">
          <w:rPr>
            <w:rStyle w:val="Hyperlink"/>
            <w:rFonts w:eastAsiaTheme="minorHAnsi"/>
            <w:noProof/>
          </w:rPr>
          <w:t>Generic issues</w:t>
        </w:r>
        <w:r w:rsidR="00A87E9D">
          <w:rPr>
            <w:noProof/>
            <w:webHidden/>
          </w:rPr>
          <w:tab/>
        </w:r>
        <w:r w:rsidR="00A87E9D">
          <w:rPr>
            <w:noProof/>
            <w:webHidden/>
          </w:rPr>
          <w:fldChar w:fldCharType="begin"/>
        </w:r>
        <w:r w:rsidR="00A87E9D">
          <w:rPr>
            <w:noProof/>
            <w:webHidden/>
          </w:rPr>
          <w:instrText xml:space="preserve"> PAGEREF _Toc478721522 \h </w:instrText>
        </w:r>
        <w:r w:rsidR="00A87E9D">
          <w:rPr>
            <w:noProof/>
            <w:webHidden/>
          </w:rPr>
        </w:r>
        <w:r w:rsidR="00A87E9D">
          <w:rPr>
            <w:noProof/>
            <w:webHidden/>
          </w:rPr>
          <w:fldChar w:fldCharType="separate"/>
        </w:r>
        <w:r>
          <w:rPr>
            <w:noProof/>
            <w:webHidden/>
          </w:rPr>
          <w:t>60</w:t>
        </w:r>
        <w:r w:rsidR="00A87E9D">
          <w:rPr>
            <w:noProof/>
            <w:webHidden/>
          </w:rPr>
          <w:fldChar w:fldCharType="end"/>
        </w:r>
      </w:hyperlink>
    </w:p>
    <w:p w14:paraId="5088ADB6" w14:textId="796A9F0C" w:rsidR="00A87E9D" w:rsidRDefault="00F2203C">
      <w:pPr>
        <w:pStyle w:val="TOC2"/>
        <w:tabs>
          <w:tab w:val="left" w:pos="2598"/>
        </w:tabs>
        <w:rPr>
          <w:rFonts w:eastAsiaTheme="minorEastAsia" w:cstheme="minorBidi"/>
          <w:noProof/>
        </w:rPr>
      </w:pPr>
      <w:hyperlink w:anchor="_Toc478721523" w:history="1">
        <w:r w:rsidR="00A87E9D" w:rsidRPr="0004383A">
          <w:rPr>
            <w:rStyle w:val="Hyperlink"/>
            <w:rFonts w:eastAsiaTheme="minorHAnsi"/>
            <w:noProof/>
            <w14:scene3d>
              <w14:camera w14:prst="orthographicFront"/>
              <w14:lightRig w14:rig="threePt" w14:dir="t">
                <w14:rot w14:lat="0" w14:lon="0" w14:rev="0"/>
              </w14:lightRig>
            </w14:scene3d>
          </w:rPr>
          <w:t>Recommendation 6:</w:t>
        </w:r>
        <w:r w:rsidR="00A87E9D">
          <w:rPr>
            <w:rFonts w:eastAsiaTheme="minorEastAsia" w:cstheme="minorBidi"/>
            <w:noProof/>
          </w:rPr>
          <w:tab/>
        </w:r>
        <w:r w:rsidR="00A87E9D" w:rsidRPr="0004383A">
          <w:rPr>
            <w:rStyle w:val="Hyperlink"/>
            <w:rFonts w:eastAsiaTheme="minorHAnsi"/>
            <w:noProof/>
          </w:rPr>
          <w:t>Generic issues</w:t>
        </w:r>
        <w:r w:rsidR="00A87E9D">
          <w:rPr>
            <w:noProof/>
            <w:webHidden/>
          </w:rPr>
          <w:tab/>
        </w:r>
        <w:r w:rsidR="00A87E9D">
          <w:rPr>
            <w:noProof/>
            <w:webHidden/>
          </w:rPr>
          <w:fldChar w:fldCharType="begin"/>
        </w:r>
        <w:r w:rsidR="00A87E9D">
          <w:rPr>
            <w:noProof/>
            <w:webHidden/>
          </w:rPr>
          <w:instrText xml:space="preserve"> PAGEREF _Toc478721523 \h </w:instrText>
        </w:r>
        <w:r w:rsidR="00A87E9D">
          <w:rPr>
            <w:noProof/>
            <w:webHidden/>
          </w:rPr>
        </w:r>
        <w:r w:rsidR="00A87E9D">
          <w:rPr>
            <w:noProof/>
            <w:webHidden/>
          </w:rPr>
          <w:fldChar w:fldCharType="separate"/>
        </w:r>
        <w:r>
          <w:rPr>
            <w:noProof/>
            <w:webHidden/>
          </w:rPr>
          <w:t>60</w:t>
        </w:r>
        <w:r w:rsidR="00A87E9D">
          <w:rPr>
            <w:noProof/>
            <w:webHidden/>
          </w:rPr>
          <w:fldChar w:fldCharType="end"/>
        </w:r>
      </w:hyperlink>
    </w:p>
    <w:p w14:paraId="267CF849" w14:textId="4AF08695" w:rsidR="00A87E9D" w:rsidRDefault="00F2203C">
      <w:pPr>
        <w:pStyle w:val="TOC1"/>
        <w:tabs>
          <w:tab w:val="right" w:leader="dot" w:pos="9016"/>
        </w:tabs>
        <w:rPr>
          <w:rFonts w:eastAsiaTheme="minorEastAsia" w:cstheme="minorBidi"/>
          <w:b w:val="0"/>
          <w:noProof/>
        </w:rPr>
      </w:pPr>
      <w:hyperlink w:anchor="_Toc478721524" w:history="1">
        <w:r w:rsidR="00A87E9D" w:rsidRPr="0004383A">
          <w:rPr>
            <w:rStyle w:val="Hyperlink"/>
            <w:rFonts w:eastAsiaTheme="minorHAnsi"/>
            <w:noProof/>
          </w:rPr>
          <w:t>10.</w:t>
        </w:r>
        <w:r w:rsidR="00A87E9D">
          <w:rPr>
            <w:rFonts w:eastAsiaTheme="minorEastAsia" w:cstheme="minorBidi"/>
            <w:b w:val="0"/>
            <w:noProof/>
          </w:rPr>
          <w:tab/>
        </w:r>
        <w:r w:rsidR="00A87E9D" w:rsidRPr="0004383A">
          <w:rPr>
            <w:rStyle w:val="Hyperlink"/>
            <w:rFonts w:eastAsiaTheme="minorHAnsi"/>
            <w:noProof/>
          </w:rPr>
          <w:t>Recommendations Impact Statement</w:t>
        </w:r>
        <w:r w:rsidR="00A87E9D">
          <w:rPr>
            <w:noProof/>
            <w:webHidden/>
          </w:rPr>
          <w:tab/>
        </w:r>
        <w:r w:rsidR="00A87E9D">
          <w:rPr>
            <w:noProof/>
            <w:webHidden/>
          </w:rPr>
          <w:fldChar w:fldCharType="begin"/>
        </w:r>
        <w:r w:rsidR="00A87E9D">
          <w:rPr>
            <w:noProof/>
            <w:webHidden/>
          </w:rPr>
          <w:instrText xml:space="preserve"> PAGEREF _Toc478721524 \h </w:instrText>
        </w:r>
        <w:r w:rsidR="00A87E9D">
          <w:rPr>
            <w:noProof/>
            <w:webHidden/>
          </w:rPr>
        </w:r>
        <w:r w:rsidR="00A87E9D">
          <w:rPr>
            <w:noProof/>
            <w:webHidden/>
          </w:rPr>
          <w:fldChar w:fldCharType="separate"/>
        </w:r>
        <w:r>
          <w:rPr>
            <w:noProof/>
            <w:webHidden/>
          </w:rPr>
          <w:t>61</w:t>
        </w:r>
        <w:r w:rsidR="00A87E9D">
          <w:rPr>
            <w:noProof/>
            <w:webHidden/>
          </w:rPr>
          <w:fldChar w:fldCharType="end"/>
        </w:r>
      </w:hyperlink>
    </w:p>
    <w:p w14:paraId="234DC1D7" w14:textId="1354ABEF" w:rsidR="00A87E9D" w:rsidRDefault="00F2203C">
      <w:pPr>
        <w:pStyle w:val="TOC1"/>
        <w:tabs>
          <w:tab w:val="right" w:leader="dot" w:pos="9016"/>
        </w:tabs>
        <w:rPr>
          <w:rFonts w:eastAsiaTheme="minorEastAsia" w:cstheme="minorBidi"/>
          <w:b w:val="0"/>
          <w:noProof/>
        </w:rPr>
      </w:pPr>
      <w:hyperlink w:anchor="_Toc478721525" w:history="1">
        <w:r w:rsidR="00A87E9D" w:rsidRPr="0004383A">
          <w:rPr>
            <w:rStyle w:val="Hyperlink"/>
            <w:rFonts w:eastAsiaTheme="minorHAnsi"/>
            <w:noProof/>
          </w:rPr>
          <w:t>11.</w:t>
        </w:r>
        <w:r w:rsidR="00A87E9D">
          <w:rPr>
            <w:rFonts w:eastAsiaTheme="minorEastAsia" w:cstheme="minorBidi"/>
            <w:b w:val="0"/>
            <w:noProof/>
          </w:rPr>
          <w:tab/>
        </w:r>
        <w:r w:rsidR="00A87E9D" w:rsidRPr="0004383A">
          <w:rPr>
            <w:rStyle w:val="Hyperlink"/>
            <w:rFonts w:eastAsiaTheme="minorHAnsi"/>
            <w:noProof/>
          </w:rPr>
          <w:t>References</w:t>
        </w:r>
        <w:r w:rsidR="00A87E9D">
          <w:rPr>
            <w:noProof/>
            <w:webHidden/>
          </w:rPr>
          <w:tab/>
        </w:r>
        <w:r w:rsidR="00A87E9D">
          <w:rPr>
            <w:noProof/>
            <w:webHidden/>
          </w:rPr>
          <w:fldChar w:fldCharType="begin"/>
        </w:r>
        <w:r w:rsidR="00A87E9D">
          <w:rPr>
            <w:noProof/>
            <w:webHidden/>
          </w:rPr>
          <w:instrText xml:space="preserve"> PAGEREF _Toc478721525 \h </w:instrText>
        </w:r>
        <w:r w:rsidR="00A87E9D">
          <w:rPr>
            <w:noProof/>
            <w:webHidden/>
          </w:rPr>
        </w:r>
        <w:r w:rsidR="00A87E9D">
          <w:rPr>
            <w:noProof/>
            <w:webHidden/>
          </w:rPr>
          <w:fldChar w:fldCharType="separate"/>
        </w:r>
        <w:r>
          <w:rPr>
            <w:noProof/>
            <w:webHidden/>
          </w:rPr>
          <w:t>62</w:t>
        </w:r>
        <w:r w:rsidR="00A87E9D">
          <w:rPr>
            <w:noProof/>
            <w:webHidden/>
          </w:rPr>
          <w:fldChar w:fldCharType="end"/>
        </w:r>
      </w:hyperlink>
    </w:p>
    <w:p w14:paraId="79122D38" w14:textId="73C7759E" w:rsidR="00A87E9D" w:rsidRDefault="00F2203C">
      <w:pPr>
        <w:pStyle w:val="TOC1"/>
        <w:tabs>
          <w:tab w:val="right" w:leader="dot" w:pos="9016"/>
        </w:tabs>
        <w:rPr>
          <w:rFonts w:eastAsiaTheme="minorEastAsia" w:cstheme="minorBidi"/>
          <w:b w:val="0"/>
          <w:noProof/>
        </w:rPr>
      </w:pPr>
      <w:hyperlink w:anchor="_Toc478721526" w:history="1">
        <w:r w:rsidR="00A87E9D" w:rsidRPr="0004383A">
          <w:rPr>
            <w:rStyle w:val="Hyperlink"/>
            <w:rFonts w:eastAsiaTheme="minorHAnsi"/>
            <w:noProof/>
          </w:rPr>
          <w:t>12.</w:t>
        </w:r>
        <w:r w:rsidR="00A87E9D">
          <w:rPr>
            <w:rFonts w:eastAsiaTheme="minorEastAsia" w:cstheme="minorBidi"/>
            <w:b w:val="0"/>
            <w:noProof/>
          </w:rPr>
          <w:tab/>
        </w:r>
        <w:r w:rsidR="00A87E9D" w:rsidRPr="0004383A">
          <w:rPr>
            <w:rStyle w:val="Hyperlink"/>
            <w:rFonts w:eastAsiaTheme="minorHAnsi"/>
            <w:noProof/>
          </w:rPr>
          <w:t>Acronyms and Abbreviation</w:t>
        </w:r>
        <w:r w:rsidR="00A87E9D">
          <w:rPr>
            <w:noProof/>
            <w:webHidden/>
          </w:rPr>
          <w:tab/>
        </w:r>
        <w:r w:rsidR="00A87E9D">
          <w:rPr>
            <w:noProof/>
            <w:webHidden/>
          </w:rPr>
          <w:fldChar w:fldCharType="begin"/>
        </w:r>
        <w:r w:rsidR="00A87E9D">
          <w:rPr>
            <w:noProof/>
            <w:webHidden/>
          </w:rPr>
          <w:instrText xml:space="preserve"> PAGEREF _Toc478721526 \h </w:instrText>
        </w:r>
        <w:r w:rsidR="00A87E9D">
          <w:rPr>
            <w:noProof/>
            <w:webHidden/>
          </w:rPr>
        </w:r>
        <w:r w:rsidR="00A87E9D">
          <w:rPr>
            <w:noProof/>
            <w:webHidden/>
          </w:rPr>
          <w:fldChar w:fldCharType="separate"/>
        </w:r>
        <w:r>
          <w:rPr>
            <w:noProof/>
            <w:webHidden/>
          </w:rPr>
          <w:t>63</w:t>
        </w:r>
        <w:r w:rsidR="00A87E9D">
          <w:rPr>
            <w:noProof/>
            <w:webHidden/>
          </w:rPr>
          <w:fldChar w:fldCharType="end"/>
        </w:r>
      </w:hyperlink>
    </w:p>
    <w:p w14:paraId="495DAE8F" w14:textId="5A045F97" w:rsidR="00A87E9D" w:rsidRDefault="00F2203C">
      <w:pPr>
        <w:pStyle w:val="TOC1"/>
        <w:tabs>
          <w:tab w:val="right" w:leader="dot" w:pos="9016"/>
        </w:tabs>
        <w:rPr>
          <w:rFonts w:eastAsiaTheme="minorEastAsia" w:cstheme="minorBidi"/>
          <w:b w:val="0"/>
          <w:noProof/>
        </w:rPr>
      </w:pPr>
      <w:hyperlink w:anchor="_Toc478721527" w:history="1">
        <w:r w:rsidR="00A87E9D" w:rsidRPr="0004383A">
          <w:rPr>
            <w:rStyle w:val="Hyperlink"/>
            <w:rFonts w:eastAsiaTheme="minorHAnsi"/>
            <w:noProof/>
          </w:rPr>
          <w:t>13.</w:t>
        </w:r>
        <w:r w:rsidR="00A87E9D">
          <w:rPr>
            <w:rFonts w:eastAsiaTheme="minorEastAsia" w:cstheme="minorBidi"/>
            <w:b w:val="0"/>
            <w:noProof/>
          </w:rPr>
          <w:tab/>
        </w:r>
        <w:r w:rsidR="00A87E9D" w:rsidRPr="0004383A">
          <w:rPr>
            <w:rStyle w:val="Hyperlink"/>
            <w:rFonts w:eastAsiaTheme="minorHAnsi"/>
            <w:noProof/>
          </w:rPr>
          <w:t>Glossary</w:t>
        </w:r>
        <w:r w:rsidR="00A87E9D">
          <w:rPr>
            <w:noProof/>
            <w:webHidden/>
          </w:rPr>
          <w:tab/>
        </w:r>
        <w:r w:rsidR="00A87E9D">
          <w:rPr>
            <w:noProof/>
            <w:webHidden/>
          </w:rPr>
          <w:fldChar w:fldCharType="begin"/>
        </w:r>
        <w:r w:rsidR="00A87E9D">
          <w:rPr>
            <w:noProof/>
            <w:webHidden/>
          </w:rPr>
          <w:instrText xml:space="preserve"> PAGEREF _Toc478721527 \h </w:instrText>
        </w:r>
        <w:r w:rsidR="00A87E9D">
          <w:rPr>
            <w:noProof/>
            <w:webHidden/>
          </w:rPr>
        </w:r>
        <w:r w:rsidR="00A87E9D">
          <w:rPr>
            <w:noProof/>
            <w:webHidden/>
          </w:rPr>
          <w:fldChar w:fldCharType="separate"/>
        </w:r>
        <w:r>
          <w:rPr>
            <w:noProof/>
            <w:webHidden/>
          </w:rPr>
          <w:t>64</w:t>
        </w:r>
        <w:r w:rsidR="00A87E9D">
          <w:rPr>
            <w:noProof/>
            <w:webHidden/>
          </w:rPr>
          <w:fldChar w:fldCharType="end"/>
        </w:r>
      </w:hyperlink>
    </w:p>
    <w:p w14:paraId="29FE8F79" w14:textId="0456803A" w:rsidR="00A87E9D" w:rsidRDefault="00F2203C">
      <w:pPr>
        <w:pStyle w:val="TOC1"/>
        <w:tabs>
          <w:tab w:val="left" w:pos="1320"/>
          <w:tab w:val="right" w:leader="dot" w:pos="9016"/>
        </w:tabs>
        <w:rPr>
          <w:rFonts w:eastAsiaTheme="minorEastAsia" w:cstheme="minorBidi"/>
          <w:b w:val="0"/>
          <w:noProof/>
        </w:rPr>
      </w:pPr>
      <w:hyperlink w:anchor="_Toc478721528" w:history="1">
        <w:r w:rsidR="00A87E9D" w:rsidRPr="0004383A">
          <w:rPr>
            <w:rStyle w:val="Hyperlink"/>
            <w:rFonts w:eastAsiaTheme="minorHAnsi"/>
            <w:noProof/>
            <w14:scene3d>
              <w14:camera w14:prst="orthographicFront"/>
              <w14:lightRig w14:rig="threePt" w14:dir="t">
                <w14:rot w14:lat="0" w14:lon="0" w14:rev="0"/>
              </w14:lightRig>
            </w14:scene3d>
          </w:rPr>
          <w:t>Appendix A</w:t>
        </w:r>
        <w:r w:rsidR="00A87E9D">
          <w:rPr>
            <w:rFonts w:eastAsiaTheme="minorEastAsia" w:cstheme="minorBidi"/>
            <w:b w:val="0"/>
            <w:noProof/>
          </w:rPr>
          <w:tab/>
        </w:r>
        <w:r w:rsidR="00A87E9D" w:rsidRPr="0004383A">
          <w:rPr>
            <w:rStyle w:val="Hyperlink"/>
            <w:rFonts w:eastAsiaTheme="minorHAnsi"/>
            <w:noProof/>
          </w:rPr>
          <w:t>MBS items, Descriptors and Explanatory Notes</w:t>
        </w:r>
        <w:r w:rsidR="00A87E9D">
          <w:rPr>
            <w:noProof/>
            <w:webHidden/>
          </w:rPr>
          <w:tab/>
        </w:r>
        <w:r w:rsidR="00A87E9D">
          <w:rPr>
            <w:noProof/>
            <w:webHidden/>
          </w:rPr>
          <w:fldChar w:fldCharType="begin"/>
        </w:r>
        <w:r w:rsidR="00A87E9D">
          <w:rPr>
            <w:noProof/>
            <w:webHidden/>
          </w:rPr>
          <w:instrText xml:space="preserve"> PAGEREF _Toc478721528 \h </w:instrText>
        </w:r>
        <w:r w:rsidR="00A87E9D">
          <w:rPr>
            <w:noProof/>
            <w:webHidden/>
          </w:rPr>
        </w:r>
        <w:r w:rsidR="00A87E9D">
          <w:rPr>
            <w:noProof/>
            <w:webHidden/>
          </w:rPr>
          <w:fldChar w:fldCharType="separate"/>
        </w:r>
        <w:r>
          <w:rPr>
            <w:noProof/>
            <w:webHidden/>
          </w:rPr>
          <w:t>65</w:t>
        </w:r>
        <w:r w:rsidR="00A87E9D">
          <w:rPr>
            <w:noProof/>
            <w:webHidden/>
          </w:rPr>
          <w:fldChar w:fldCharType="end"/>
        </w:r>
      </w:hyperlink>
    </w:p>
    <w:p w14:paraId="25D2E189" w14:textId="63A25B19" w:rsidR="00A87E9D" w:rsidRDefault="00F2203C">
      <w:pPr>
        <w:pStyle w:val="TOC1"/>
        <w:tabs>
          <w:tab w:val="left" w:pos="1320"/>
          <w:tab w:val="right" w:leader="dot" w:pos="9016"/>
        </w:tabs>
        <w:rPr>
          <w:rFonts w:eastAsiaTheme="minorEastAsia" w:cstheme="minorBidi"/>
          <w:b w:val="0"/>
          <w:noProof/>
        </w:rPr>
      </w:pPr>
      <w:hyperlink w:anchor="_Toc478721529" w:history="1">
        <w:r w:rsidR="00A87E9D" w:rsidRPr="0004383A">
          <w:rPr>
            <w:rStyle w:val="Hyperlink"/>
            <w:rFonts w:eastAsiaTheme="minorHAnsi"/>
            <w:noProof/>
            <w14:scene3d>
              <w14:camera w14:prst="orthographicFront"/>
              <w14:lightRig w14:rig="threePt" w14:dir="t">
                <w14:rot w14:lat="0" w14:lon="0" w14:rev="0"/>
              </w14:lightRig>
            </w14:scene3d>
          </w:rPr>
          <w:t>Appendix B</w:t>
        </w:r>
        <w:r w:rsidR="00A87E9D">
          <w:rPr>
            <w:rFonts w:eastAsiaTheme="minorEastAsia" w:cstheme="minorBidi"/>
            <w:b w:val="0"/>
            <w:noProof/>
          </w:rPr>
          <w:tab/>
        </w:r>
        <w:r w:rsidR="00A87E9D" w:rsidRPr="0004383A">
          <w:rPr>
            <w:rStyle w:val="Hyperlink"/>
            <w:rFonts w:eastAsiaTheme="minorHAnsi"/>
            <w:noProof/>
          </w:rPr>
          <w:t>Obsolete Items Data</w:t>
        </w:r>
        <w:r w:rsidR="00A87E9D">
          <w:rPr>
            <w:noProof/>
            <w:webHidden/>
          </w:rPr>
          <w:tab/>
        </w:r>
        <w:r w:rsidR="00A87E9D">
          <w:rPr>
            <w:noProof/>
            <w:webHidden/>
          </w:rPr>
          <w:fldChar w:fldCharType="begin"/>
        </w:r>
        <w:r w:rsidR="00A87E9D">
          <w:rPr>
            <w:noProof/>
            <w:webHidden/>
          </w:rPr>
          <w:instrText xml:space="preserve"> PAGEREF _Toc478721529 \h </w:instrText>
        </w:r>
        <w:r w:rsidR="00A87E9D">
          <w:rPr>
            <w:noProof/>
            <w:webHidden/>
          </w:rPr>
        </w:r>
        <w:r w:rsidR="00A87E9D">
          <w:rPr>
            <w:noProof/>
            <w:webHidden/>
          </w:rPr>
          <w:fldChar w:fldCharType="separate"/>
        </w:r>
        <w:r>
          <w:rPr>
            <w:noProof/>
            <w:webHidden/>
          </w:rPr>
          <w:t>76</w:t>
        </w:r>
        <w:r w:rsidR="00A87E9D">
          <w:rPr>
            <w:noProof/>
            <w:webHidden/>
          </w:rPr>
          <w:fldChar w:fldCharType="end"/>
        </w:r>
      </w:hyperlink>
    </w:p>
    <w:p w14:paraId="262310AC" w14:textId="662D3AD9" w:rsidR="00A87E9D" w:rsidRDefault="00F2203C">
      <w:pPr>
        <w:pStyle w:val="TOC1"/>
        <w:tabs>
          <w:tab w:val="left" w:pos="1320"/>
          <w:tab w:val="right" w:leader="dot" w:pos="9016"/>
        </w:tabs>
        <w:rPr>
          <w:rFonts w:eastAsiaTheme="minorEastAsia" w:cstheme="minorBidi"/>
          <w:b w:val="0"/>
          <w:noProof/>
        </w:rPr>
      </w:pPr>
      <w:hyperlink w:anchor="_Toc478721530" w:history="1">
        <w:r w:rsidR="00A87E9D" w:rsidRPr="0004383A">
          <w:rPr>
            <w:rStyle w:val="Hyperlink"/>
            <w:rFonts w:eastAsiaTheme="minorHAnsi"/>
            <w:noProof/>
            <w14:scene3d>
              <w14:camera w14:prst="orthographicFront"/>
              <w14:lightRig w14:rig="threePt" w14:dir="t">
                <w14:rot w14:lat="0" w14:lon="0" w14:rev="0"/>
              </w14:lightRig>
            </w14:scene3d>
          </w:rPr>
          <w:t>Appendix C</w:t>
        </w:r>
        <w:r w:rsidR="00A87E9D">
          <w:rPr>
            <w:rFonts w:eastAsiaTheme="minorEastAsia" w:cstheme="minorBidi"/>
            <w:b w:val="0"/>
            <w:noProof/>
          </w:rPr>
          <w:tab/>
        </w:r>
        <w:r w:rsidR="00A87E9D" w:rsidRPr="0004383A">
          <w:rPr>
            <w:rStyle w:val="Hyperlink"/>
            <w:rFonts w:eastAsiaTheme="minorHAnsi"/>
            <w:noProof/>
          </w:rPr>
          <w:t>Spirometry Rapid Review Report</w:t>
        </w:r>
        <w:r w:rsidR="00A87E9D">
          <w:rPr>
            <w:noProof/>
            <w:webHidden/>
          </w:rPr>
          <w:tab/>
        </w:r>
        <w:r w:rsidR="00A87E9D">
          <w:rPr>
            <w:noProof/>
            <w:webHidden/>
          </w:rPr>
          <w:fldChar w:fldCharType="begin"/>
        </w:r>
        <w:r w:rsidR="00A87E9D">
          <w:rPr>
            <w:noProof/>
            <w:webHidden/>
          </w:rPr>
          <w:instrText xml:space="preserve"> PAGEREF _Toc478721530 \h </w:instrText>
        </w:r>
        <w:r w:rsidR="00A87E9D">
          <w:rPr>
            <w:noProof/>
            <w:webHidden/>
          </w:rPr>
        </w:r>
        <w:r w:rsidR="00A87E9D">
          <w:rPr>
            <w:noProof/>
            <w:webHidden/>
          </w:rPr>
          <w:fldChar w:fldCharType="separate"/>
        </w:r>
        <w:r>
          <w:rPr>
            <w:noProof/>
            <w:webHidden/>
          </w:rPr>
          <w:t>80</w:t>
        </w:r>
        <w:r w:rsidR="00A87E9D">
          <w:rPr>
            <w:noProof/>
            <w:webHidden/>
          </w:rPr>
          <w:fldChar w:fldCharType="end"/>
        </w:r>
      </w:hyperlink>
    </w:p>
    <w:p w14:paraId="2A437066" w14:textId="1E6254B0" w:rsidR="00A87E9D" w:rsidRDefault="00F2203C">
      <w:pPr>
        <w:pStyle w:val="TOC1"/>
        <w:tabs>
          <w:tab w:val="left" w:pos="1320"/>
          <w:tab w:val="right" w:leader="dot" w:pos="9016"/>
        </w:tabs>
        <w:rPr>
          <w:rFonts w:eastAsiaTheme="minorEastAsia" w:cstheme="minorBidi"/>
          <w:b w:val="0"/>
          <w:noProof/>
        </w:rPr>
      </w:pPr>
      <w:hyperlink w:anchor="_Toc478721531" w:history="1">
        <w:r w:rsidR="00A87E9D" w:rsidRPr="0004383A">
          <w:rPr>
            <w:rStyle w:val="Hyperlink"/>
            <w:rFonts w:eastAsiaTheme="minorHAnsi"/>
            <w:noProof/>
            <w14:scene3d>
              <w14:camera w14:prst="orthographicFront"/>
              <w14:lightRig w14:rig="threePt" w14:dir="t">
                <w14:rot w14:lat="0" w14:lon="0" w14:rev="0"/>
              </w14:lightRig>
            </w14:scene3d>
          </w:rPr>
          <w:t>Appendix D</w:t>
        </w:r>
        <w:r w:rsidR="00A87E9D">
          <w:rPr>
            <w:rFonts w:eastAsiaTheme="minorEastAsia" w:cstheme="minorBidi"/>
            <w:b w:val="0"/>
            <w:noProof/>
          </w:rPr>
          <w:tab/>
        </w:r>
        <w:r w:rsidR="00A87E9D" w:rsidRPr="0004383A">
          <w:rPr>
            <w:rStyle w:val="Hyperlink"/>
            <w:rFonts w:eastAsiaTheme="minorHAnsi"/>
            <w:noProof/>
          </w:rPr>
          <w:t>Spirometry data</w:t>
        </w:r>
        <w:r w:rsidR="00A87E9D">
          <w:rPr>
            <w:noProof/>
            <w:webHidden/>
          </w:rPr>
          <w:tab/>
        </w:r>
        <w:r w:rsidR="00A87E9D">
          <w:rPr>
            <w:noProof/>
            <w:webHidden/>
          </w:rPr>
          <w:fldChar w:fldCharType="begin"/>
        </w:r>
        <w:r w:rsidR="00A87E9D">
          <w:rPr>
            <w:noProof/>
            <w:webHidden/>
          </w:rPr>
          <w:instrText xml:space="preserve"> PAGEREF _Toc478721531 \h </w:instrText>
        </w:r>
        <w:r w:rsidR="00A87E9D">
          <w:rPr>
            <w:noProof/>
            <w:webHidden/>
          </w:rPr>
        </w:r>
        <w:r w:rsidR="00A87E9D">
          <w:rPr>
            <w:noProof/>
            <w:webHidden/>
          </w:rPr>
          <w:fldChar w:fldCharType="separate"/>
        </w:r>
        <w:r>
          <w:rPr>
            <w:noProof/>
            <w:webHidden/>
          </w:rPr>
          <w:t>192</w:t>
        </w:r>
        <w:r w:rsidR="00A87E9D">
          <w:rPr>
            <w:noProof/>
            <w:webHidden/>
          </w:rPr>
          <w:fldChar w:fldCharType="end"/>
        </w:r>
      </w:hyperlink>
    </w:p>
    <w:p w14:paraId="783BD1B1" w14:textId="65B17FA9" w:rsidR="00A87E9D" w:rsidRDefault="00F2203C">
      <w:pPr>
        <w:pStyle w:val="TOC1"/>
        <w:tabs>
          <w:tab w:val="left" w:pos="1320"/>
          <w:tab w:val="right" w:leader="dot" w:pos="9016"/>
        </w:tabs>
        <w:rPr>
          <w:rFonts w:eastAsiaTheme="minorEastAsia" w:cstheme="minorBidi"/>
          <w:b w:val="0"/>
          <w:noProof/>
        </w:rPr>
      </w:pPr>
      <w:hyperlink w:anchor="_Toc478721532" w:history="1">
        <w:r w:rsidR="00A87E9D" w:rsidRPr="0004383A">
          <w:rPr>
            <w:rStyle w:val="Hyperlink"/>
            <w:rFonts w:eastAsiaTheme="minorHAnsi"/>
            <w:noProof/>
            <w14:scene3d>
              <w14:camera w14:prst="orthographicFront"/>
              <w14:lightRig w14:rig="threePt" w14:dir="t">
                <w14:rot w14:lat="0" w14:lon="0" w14:rev="0"/>
              </w14:lightRig>
            </w14:scene3d>
          </w:rPr>
          <w:t>Appendix E</w:t>
        </w:r>
        <w:r w:rsidR="00A87E9D">
          <w:rPr>
            <w:rFonts w:eastAsiaTheme="minorEastAsia" w:cstheme="minorBidi"/>
            <w:b w:val="0"/>
            <w:noProof/>
          </w:rPr>
          <w:tab/>
        </w:r>
        <w:r w:rsidR="00A87E9D" w:rsidRPr="0004383A">
          <w:rPr>
            <w:rStyle w:val="Hyperlink"/>
            <w:rFonts w:eastAsiaTheme="minorHAnsi"/>
            <w:noProof/>
          </w:rPr>
          <w:t>Summary for consumers</w:t>
        </w:r>
        <w:r w:rsidR="00A87E9D">
          <w:rPr>
            <w:noProof/>
            <w:webHidden/>
          </w:rPr>
          <w:tab/>
        </w:r>
        <w:r w:rsidR="00A87E9D">
          <w:rPr>
            <w:noProof/>
            <w:webHidden/>
          </w:rPr>
          <w:fldChar w:fldCharType="begin"/>
        </w:r>
        <w:r w:rsidR="00A87E9D">
          <w:rPr>
            <w:noProof/>
            <w:webHidden/>
          </w:rPr>
          <w:instrText xml:space="preserve"> PAGEREF _Toc478721532 \h </w:instrText>
        </w:r>
        <w:r w:rsidR="00A87E9D">
          <w:rPr>
            <w:noProof/>
            <w:webHidden/>
          </w:rPr>
        </w:r>
        <w:r w:rsidR="00A87E9D">
          <w:rPr>
            <w:noProof/>
            <w:webHidden/>
          </w:rPr>
          <w:fldChar w:fldCharType="separate"/>
        </w:r>
        <w:r>
          <w:rPr>
            <w:noProof/>
            <w:webHidden/>
          </w:rPr>
          <w:t>198</w:t>
        </w:r>
        <w:r w:rsidR="00A87E9D">
          <w:rPr>
            <w:noProof/>
            <w:webHidden/>
          </w:rPr>
          <w:fldChar w:fldCharType="end"/>
        </w:r>
      </w:hyperlink>
    </w:p>
    <w:p w14:paraId="29E86EEF" w14:textId="47519901" w:rsidR="00A87E9D" w:rsidRDefault="00F2203C">
      <w:pPr>
        <w:pStyle w:val="TOC1"/>
        <w:tabs>
          <w:tab w:val="left" w:pos="1320"/>
          <w:tab w:val="right" w:leader="dot" w:pos="9016"/>
        </w:tabs>
        <w:rPr>
          <w:rFonts w:eastAsiaTheme="minorEastAsia" w:cstheme="minorBidi"/>
          <w:b w:val="0"/>
          <w:noProof/>
        </w:rPr>
      </w:pPr>
      <w:hyperlink w:anchor="_Toc478721533" w:history="1">
        <w:r w:rsidR="00A87E9D" w:rsidRPr="0004383A">
          <w:rPr>
            <w:rStyle w:val="Hyperlink"/>
            <w:rFonts w:eastAsiaTheme="minorHAnsi"/>
            <w:noProof/>
            <w14:scene3d>
              <w14:camera w14:prst="orthographicFront"/>
              <w14:lightRig w14:rig="threePt" w14:dir="t">
                <w14:rot w14:lat="0" w14:lon="0" w14:rev="0"/>
              </w14:lightRig>
            </w14:scene3d>
          </w:rPr>
          <w:t>Appendix F</w:t>
        </w:r>
        <w:r w:rsidR="00A87E9D">
          <w:rPr>
            <w:rFonts w:eastAsiaTheme="minorEastAsia" w:cstheme="minorBidi"/>
            <w:b w:val="0"/>
            <w:noProof/>
          </w:rPr>
          <w:tab/>
        </w:r>
        <w:r w:rsidR="00A87E9D" w:rsidRPr="0004383A">
          <w:rPr>
            <w:rStyle w:val="Hyperlink"/>
            <w:rFonts w:eastAsiaTheme="minorHAnsi"/>
            <w:noProof/>
          </w:rPr>
          <w:t>High level review of Cardiopulmonary Exercise Testing (CPET)</w:t>
        </w:r>
        <w:r w:rsidR="00A87E9D">
          <w:rPr>
            <w:noProof/>
            <w:webHidden/>
          </w:rPr>
          <w:tab/>
        </w:r>
        <w:r w:rsidR="00A87E9D">
          <w:rPr>
            <w:noProof/>
            <w:webHidden/>
          </w:rPr>
          <w:fldChar w:fldCharType="begin"/>
        </w:r>
        <w:r w:rsidR="00A87E9D">
          <w:rPr>
            <w:noProof/>
            <w:webHidden/>
          </w:rPr>
          <w:instrText xml:space="preserve"> PAGEREF _Toc478721533 \h </w:instrText>
        </w:r>
        <w:r w:rsidR="00A87E9D">
          <w:rPr>
            <w:noProof/>
            <w:webHidden/>
          </w:rPr>
        </w:r>
        <w:r w:rsidR="00A87E9D">
          <w:rPr>
            <w:noProof/>
            <w:webHidden/>
          </w:rPr>
          <w:fldChar w:fldCharType="separate"/>
        </w:r>
        <w:r>
          <w:rPr>
            <w:noProof/>
            <w:webHidden/>
          </w:rPr>
          <w:t>203</w:t>
        </w:r>
        <w:r w:rsidR="00A87E9D">
          <w:rPr>
            <w:noProof/>
            <w:webHidden/>
          </w:rPr>
          <w:fldChar w:fldCharType="end"/>
        </w:r>
      </w:hyperlink>
    </w:p>
    <w:p w14:paraId="54F49593" w14:textId="3EA056E9" w:rsidR="00A87E9D" w:rsidRDefault="00F2203C">
      <w:pPr>
        <w:pStyle w:val="TOC1"/>
        <w:tabs>
          <w:tab w:val="left" w:pos="1320"/>
          <w:tab w:val="right" w:leader="dot" w:pos="9016"/>
        </w:tabs>
        <w:rPr>
          <w:rFonts w:eastAsiaTheme="minorEastAsia" w:cstheme="minorBidi"/>
          <w:b w:val="0"/>
          <w:noProof/>
        </w:rPr>
      </w:pPr>
      <w:hyperlink w:anchor="_Toc478721534" w:history="1">
        <w:r w:rsidR="00A87E9D" w:rsidRPr="0004383A">
          <w:rPr>
            <w:rStyle w:val="Hyperlink"/>
            <w:rFonts w:eastAsiaTheme="minorHAnsi"/>
            <w:noProof/>
            <w14:scene3d>
              <w14:camera w14:prst="orthographicFront"/>
              <w14:lightRig w14:rig="threePt" w14:dir="t">
                <w14:rot w14:lat="0" w14:lon="0" w14:rev="0"/>
              </w14:lightRig>
            </w14:scene3d>
          </w:rPr>
          <w:t>Appendix G</w:t>
        </w:r>
        <w:r w:rsidR="00A87E9D">
          <w:rPr>
            <w:rFonts w:eastAsiaTheme="minorEastAsia" w:cstheme="minorBidi"/>
            <w:b w:val="0"/>
            <w:noProof/>
          </w:rPr>
          <w:tab/>
        </w:r>
        <w:r w:rsidR="00A87E9D" w:rsidRPr="0004383A">
          <w:rPr>
            <w:rStyle w:val="Hyperlink"/>
            <w:rFonts w:eastAsiaTheme="minorHAnsi"/>
            <w:noProof/>
          </w:rPr>
          <w:t>Addendum</w:t>
        </w:r>
        <w:r w:rsidR="00A87E9D">
          <w:rPr>
            <w:noProof/>
            <w:webHidden/>
          </w:rPr>
          <w:tab/>
        </w:r>
        <w:r w:rsidR="00A87E9D">
          <w:rPr>
            <w:noProof/>
            <w:webHidden/>
          </w:rPr>
          <w:fldChar w:fldCharType="begin"/>
        </w:r>
        <w:r w:rsidR="00A87E9D">
          <w:rPr>
            <w:noProof/>
            <w:webHidden/>
          </w:rPr>
          <w:instrText xml:space="preserve"> PAGEREF _Toc478721534 \h </w:instrText>
        </w:r>
        <w:r w:rsidR="00A87E9D">
          <w:rPr>
            <w:noProof/>
            <w:webHidden/>
          </w:rPr>
        </w:r>
        <w:r w:rsidR="00A87E9D">
          <w:rPr>
            <w:noProof/>
            <w:webHidden/>
          </w:rPr>
          <w:fldChar w:fldCharType="separate"/>
        </w:r>
        <w:r>
          <w:rPr>
            <w:noProof/>
            <w:webHidden/>
          </w:rPr>
          <w:t>215</w:t>
        </w:r>
        <w:r w:rsidR="00A87E9D">
          <w:rPr>
            <w:noProof/>
            <w:webHidden/>
          </w:rPr>
          <w:fldChar w:fldCharType="end"/>
        </w:r>
      </w:hyperlink>
    </w:p>
    <w:p w14:paraId="461AFE92" w14:textId="77777777" w:rsidR="00A32201" w:rsidRDefault="00253B22" w:rsidP="00D42B5C">
      <w:pPr>
        <w:rPr>
          <w:noProof/>
        </w:rPr>
      </w:pPr>
      <w:r>
        <w:rPr>
          <w:noProof/>
        </w:rPr>
        <w:fldChar w:fldCharType="end"/>
      </w:r>
      <w:r w:rsidR="00A32201">
        <w:rPr>
          <w:noProof/>
        </w:rPr>
        <w:br w:type="page"/>
      </w:r>
    </w:p>
    <w:p w14:paraId="14A4FC89" w14:textId="77777777" w:rsidR="00A87E9D" w:rsidRDefault="0011166D" w:rsidP="00253B22">
      <w:pPr>
        <w:tabs>
          <w:tab w:val="right" w:leader="dot" w:pos="9016"/>
        </w:tabs>
        <w:ind w:right="-46"/>
        <w:rPr>
          <w:noProof/>
        </w:rPr>
      </w:pPr>
      <w:r w:rsidRPr="003B1222">
        <w:rPr>
          <w:b/>
          <w:bCs/>
          <w:noProof/>
          <w:color w:val="01653F"/>
          <w:sz w:val="32"/>
          <w:szCs w:val="32"/>
        </w:rPr>
        <w:lastRenderedPageBreak/>
        <w:t>List of Tables</w:t>
      </w:r>
      <w:r w:rsidR="00253B22">
        <w:rPr>
          <w:noProof/>
        </w:rPr>
        <w:fldChar w:fldCharType="begin"/>
      </w:r>
      <w:r w:rsidR="00253B22">
        <w:rPr>
          <w:noProof/>
        </w:rPr>
        <w:instrText xml:space="preserve"> TOC \h \z \t "Caption,2" </w:instrText>
      </w:r>
      <w:r w:rsidR="00253B22">
        <w:rPr>
          <w:noProof/>
        </w:rPr>
        <w:fldChar w:fldCharType="separate"/>
      </w:r>
    </w:p>
    <w:p w14:paraId="1878D0EA" w14:textId="6F7A11BE" w:rsidR="00A87E9D" w:rsidRDefault="00F2203C">
      <w:pPr>
        <w:pStyle w:val="TOC2"/>
        <w:rPr>
          <w:rFonts w:eastAsiaTheme="minorEastAsia" w:cstheme="minorBidi"/>
          <w:noProof/>
        </w:rPr>
      </w:pPr>
      <w:hyperlink w:anchor="_Toc478721535" w:history="1">
        <w:r w:rsidR="00A87E9D" w:rsidRPr="00823EB0">
          <w:rPr>
            <w:rStyle w:val="Hyperlink"/>
            <w:rFonts w:eastAsiaTheme="minorHAnsi"/>
            <w:noProof/>
          </w:rPr>
          <w:t>Table 1:</w:t>
        </w:r>
        <w:r w:rsidR="00A87E9D">
          <w:rPr>
            <w:rFonts w:eastAsiaTheme="minorEastAsia" w:cstheme="minorBidi"/>
            <w:noProof/>
          </w:rPr>
          <w:tab/>
        </w:r>
        <w:r w:rsidR="00A87E9D" w:rsidRPr="00823EB0">
          <w:rPr>
            <w:rStyle w:val="Hyperlink"/>
            <w:rFonts w:eastAsiaTheme="minorHAnsi"/>
            <w:noProof/>
          </w:rPr>
          <w:t>Thoracic Medicine Clinical Committee members</w:t>
        </w:r>
        <w:r w:rsidR="00A87E9D">
          <w:rPr>
            <w:noProof/>
            <w:webHidden/>
          </w:rPr>
          <w:tab/>
        </w:r>
        <w:r w:rsidR="00A87E9D">
          <w:rPr>
            <w:noProof/>
            <w:webHidden/>
          </w:rPr>
          <w:fldChar w:fldCharType="begin"/>
        </w:r>
        <w:r w:rsidR="00A87E9D">
          <w:rPr>
            <w:noProof/>
            <w:webHidden/>
          </w:rPr>
          <w:instrText xml:space="preserve"> PAGEREF _Toc478721535 \h </w:instrText>
        </w:r>
        <w:r w:rsidR="00A87E9D">
          <w:rPr>
            <w:noProof/>
            <w:webHidden/>
          </w:rPr>
        </w:r>
        <w:r w:rsidR="00A87E9D">
          <w:rPr>
            <w:noProof/>
            <w:webHidden/>
          </w:rPr>
          <w:fldChar w:fldCharType="separate"/>
        </w:r>
        <w:r>
          <w:rPr>
            <w:noProof/>
            <w:webHidden/>
          </w:rPr>
          <w:t>13</w:t>
        </w:r>
        <w:r w:rsidR="00A87E9D">
          <w:rPr>
            <w:noProof/>
            <w:webHidden/>
          </w:rPr>
          <w:fldChar w:fldCharType="end"/>
        </w:r>
      </w:hyperlink>
    </w:p>
    <w:p w14:paraId="6DF35CDF" w14:textId="713C81F5" w:rsidR="00A87E9D" w:rsidRDefault="00F2203C">
      <w:pPr>
        <w:pStyle w:val="TOC2"/>
        <w:rPr>
          <w:rFonts w:eastAsiaTheme="minorEastAsia" w:cstheme="minorBidi"/>
          <w:noProof/>
        </w:rPr>
      </w:pPr>
      <w:hyperlink w:anchor="_Toc478721536" w:history="1">
        <w:r w:rsidR="00A87E9D" w:rsidRPr="00823EB0">
          <w:rPr>
            <w:rStyle w:val="Hyperlink"/>
            <w:rFonts w:eastAsiaTheme="minorHAnsi"/>
            <w:noProof/>
          </w:rPr>
          <w:t>Table 2:</w:t>
        </w:r>
        <w:r w:rsidR="00A87E9D">
          <w:rPr>
            <w:rFonts w:eastAsiaTheme="minorEastAsia" w:cstheme="minorBidi"/>
            <w:noProof/>
          </w:rPr>
          <w:tab/>
        </w:r>
        <w:r w:rsidR="00A87E9D" w:rsidRPr="00823EB0">
          <w:rPr>
            <w:rStyle w:val="Hyperlink"/>
            <w:rFonts w:eastAsiaTheme="minorHAnsi"/>
            <w:noProof/>
          </w:rPr>
          <w:t>Paediatric Thoracic Working Group members</w:t>
        </w:r>
        <w:r w:rsidR="00A87E9D">
          <w:rPr>
            <w:noProof/>
            <w:webHidden/>
          </w:rPr>
          <w:tab/>
        </w:r>
        <w:r w:rsidR="00A87E9D">
          <w:rPr>
            <w:noProof/>
            <w:webHidden/>
          </w:rPr>
          <w:fldChar w:fldCharType="begin"/>
        </w:r>
        <w:r w:rsidR="00A87E9D">
          <w:rPr>
            <w:noProof/>
            <w:webHidden/>
          </w:rPr>
          <w:instrText xml:space="preserve"> PAGEREF _Toc478721536 \h </w:instrText>
        </w:r>
        <w:r w:rsidR="00A87E9D">
          <w:rPr>
            <w:noProof/>
            <w:webHidden/>
          </w:rPr>
        </w:r>
        <w:r w:rsidR="00A87E9D">
          <w:rPr>
            <w:noProof/>
            <w:webHidden/>
          </w:rPr>
          <w:fldChar w:fldCharType="separate"/>
        </w:r>
        <w:r>
          <w:rPr>
            <w:noProof/>
            <w:webHidden/>
          </w:rPr>
          <w:t>14</w:t>
        </w:r>
        <w:r w:rsidR="00A87E9D">
          <w:rPr>
            <w:noProof/>
            <w:webHidden/>
          </w:rPr>
          <w:fldChar w:fldCharType="end"/>
        </w:r>
      </w:hyperlink>
    </w:p>
    <w:p w14:paraId="2C3EDC3C" w14:textId="2FFE27B9" w:rsidR="00A87E9D" w:rsidRDefault="00F2203C">
      <w:pPr>
        <w:pStyle w:val="TOC2"/>
        <w:rPr>
          <w:rFonts w:eastAsiaTheme="minorEastAsia" w:cstheme="minorBidi"/>
          <w:noProof/>
        </w:rPr>
      </w:pPr>
      <w:hyperlink w:anchor="_Toc478721537" w:history="1">
        <w:r w:rsidR="00A87E9D" w:rsidRPr="00823EB0">
          <w:rPr>
            <w:rStyle w:val="Hyperlink"/>
            <w:rFonts w:eastAsiaTheme="minorHAnsi"/>
            <w:noProof/>
          </w:rPr>
          <w:t>Table 3:</w:t>
        </w:r>
        <w:r w:rsidR="00A87E9D">
          <w:rPr>
            <w:rFonts w:eastAsiaTheme="minorEastAsia" w:cstheme="minorBidi"/>
            <w:noProof/>
          </w:rPr>
          <w:tab/>
        </w:r>
        <w:r w:rsidR="00A87E9D" w:rsidRPr="00823EB0">
          <w:rPr>
            <w:rStyle w:val="Hyperlink"/>
            <w:rFonts w:eastAsiaTheme="minorHAnsi"/>
            <w:noProof/>
          </w:rPr>
          <w:t>High level MBS data on spirometry item 11509, 2014-15 (date of processing)</w:t>
        </w:r>
        <w:r w:rsidR="00A87E9D">
          <w:rPr>
            <w:noProof/>
            <w:webHidden/>
          </w:rPr>
          <w:tab/>
        </w:r>
        <w:r w:rsidR="00A87E9D">
          <w:rPr>
            <w:noProof/>
            <w:webHidden/>
          </w:rPr>
          <w:fldChar w:fldCharType="begin"/>
        </w:r>
        <w:r w:rsidR="00A87E9D">
          <w:rPr>
            <w:noProof/>
            <w:webHidden/>
          </w:rPr>
          <w:instrText xml:space="preserve"> PAGEREF _Toc478721537 \h </w:instrText>
        </w:r>
        <w:r w:rsidR="00A87E9D">
          <w:rPr>
            <w:noProof/>
            <w:webHidden/>
          </w:rPr>
        </w:r>
        <w:r w:rsidR="00A87E9D">
          <w:rPr>
            <w:noProof/>
            <w:webHidden/>
          </w:rPr>
          <w:fldChar w:fldCharType="separate"/>
        </w:r>
        <w:r>
          <w:rPr>
            <w:noProof/>
            <w:webHidden/>
          </w:rPr>
          <w:t>16</w:t>
        </w:r>
        <w:r w:rsidR="00A87E9D">
          <w:rPr>
            <w:noProof/>
            <w:webHidden/>
          </w:rPr>
          <w:fldChar w:fldCharType="end"/>
        </w:r>
      </w:hyperlink>
    </w:p>
    <w:p w14:paraId="0293C224" w14:textId="6851CB67" w:rsidR="00A87E9D" w:rsidRDefault="00F2203C">
      <w:pPr>
        <w:pStyle w:val="TOC2"/>
        <w:rPr>
          <w:rFonts w:eastAsiaTheme="minorEastAsia" w:cstheme="minorBidi"/>
          <w:noProof/>
        </w:rPr>
      </w:pPr>
      <w:hyperlink w:anchor="_Toc478721538" w:history="1">
        <w:r w:rsidR="00A87E9D" w:rsidRPr="00823EB0">
          <w:rPr>
            <w:rStyle w:val="Hyperlink"/>
            <w:rFonts w:eastAsiaTheme="minorHAnsi"/>
            <w:noProof/>
          </w:rPr>
          <w:t>Table 4:</w:t>
        </w:r>
        <w:r w:rsidR="00A87E9D">
          <w:rPr>
            <w:rFonts w:eastAsiaTheme="minorEastAsia" w:cstheme="minorBidi"/>
            <w:noProof/>
          </w:rPr>
          <w:tab/>
        </w:r>
        <w:r w:rsidR="00A87E9D" w:rsidRPr="00823EB0">
          <w:rPr>
            <w:rStyle w:val="Hyperlink"/>
            <w:rFonts w:eastAsiaTheme="minorHAnsi"/>
            <w:noProof/>
          </w:rPr>
          <w:t>Number of services by jurisdiction, item 11506, 2014-15</w:t>
        </w:r>
        <w:r w:rsidR="00A87E9D">
          <w:rPr>
            <w:noProof/>
            <w:webHidden/>
          </w:rPr>
          <w:tab/>
        </w:r>
        <w:r w:rsidR="00A87E9D">
          <w:rPr>
            <w:noProof/>
            <w:webHidden/>
          </w:rPr>
          <w:fldChar w:fldCharType="begin"/>
        </w:r>
        <w:r w:rsidR="00A87E9D">
          <w:rPr>
            <w:noProof/>
            <w:webHidden/>
          </w:rPr>
          <w:instrText xml:space="preserve"> PAGEREF _Toc478721538 \h </w:instrText>
        </w:r>
        <w:r w:rsidR="00A87E9D">
          <w:rPr>
            <w:noProof/>
            <w:webHidden/>
          </w:rPr>
        </w:r>
        <w:r w:rsidR="00A87E9D">
          <w:rPr>
            <w:noProof/>
            <w:webHidden/>
          </w:rPr>
          <w:fldChar w:fldCharType="separate"/>
        </w:r>
        <w:r>
          <w:rPr>
            <w:noProof/>
            <w:webHidden/>
          </w:rPr>
          <w:t>16</w:t>
        </w:r>
        <w:r w:rsidR="00A87E9D">
          <w:rPr>
            <w:noProof/>
            <w:webHidden/>
          </w:rPr>
          <w:fldChar w:fldCharType="end"/>
        </w:r>
      </w:hyperlink>
    </w:p>
    <w:p w14:paraId="798B9878" w14:textId="67EE7646" w:rsidR="00A87E9D" w:rsidRDefault="00F2203C">
      <w:pPr>
        <w:pStyle w:val="TOC2"/>
        <w:rPr>
          <w:rFonts w:eastAsiaTheme="minorEastAsia" w:cstheme="minorBidi"/>
          <w:noProof/>
        </w:rPr>
      </w:pPr>
      <w:hyperlink w:anchor="_Toc478721539" w:history="1">
        <w:r w:rsidR="00A87E9D" w:rsidRPr="00823EB0">
          <w:rPr>
            <w:rStyle w:val="Hyperlink"/>
            <w:rFonts w:eastAsiaTheme="minorHAnsi"/>
            <w:noProof/>
          </w:rPr>
          <w:t>Table 5:</w:t>
        </w:r>
        <w:r w:rsidR="00A87E9D">
          <w:rPr>
            <w:rFonts w:eastAsiaTheme="minorEastAsia" w:cstheme="minorBidi"/>
            <w:noProof/>
          </w:rPr>
          <w:tab/>
        </w:r>
        <w:r w:rsidR="00A87E9D" w:rsidRPr="00823EB0">
          <w:rPr>
            <w:rStyle w:val="Hyperlink"/>
            <w:rFonts w:eastAsiaTheme="minorHAnsi"/>
            <w:noProof/>
          </w:rPr>
          <w:t>High level MBS data on spirometry item 11512, 2014-15 (date of processing)</w:t>
        </w:r>
        <w:r w:rsidR="00A87E9D">
          <w:rPr>
            <w:noProof/>
            <w:webHidden/>
          </w:rPr>
          <w:tab/>
        </w:r>
        <w:r w:rsidR="00A87E9D">
          <w:rPr>
            <w:noProof/>
            <w:webHidden/>
          </w:rPr>
          <w:fldChar w:fldCharType="begin"/>
        </w:r>
        <w:r w:rsidR="00A87E9D">
          <w:rPr>
            <w:noProof/>
            <w:webHidden/>
          </w:rPr>
          <w:instrText xml:space="preserve"> PAGEREF _Toc478721539 \h </w:instrText>
        </w:r>
        <w:r w:rsidR="00A87E9D">
          <w:rPr>
            <w:noProof/>
            <w:webHidden/>
          </w:rPr>
        </w:r>
        <w:r w:rsidR="00A87E9D">
          <w:rPr>
            <w:noProof/>
            <w:webHidden/>
          </w:rPr>
          <w:fldChar w:fldCharType="separate"/>
        </w:r>
        <w:r>
          <w:rPr>
            <w:noProof/>
            <w:webHidden/>
          </w:rPr>
          <w:t>17</w:t>
        </w:r>
        <w:r w:rsidR="00A87E9D">
          <w:rPr>
            <w:noProof/>
            <w:webHidden/>
          </w:rPr>
          <w:fldChar w:fldCharType="end"/>
        </w:r>
      </w:hyperlink>
    </w:p>
    <w:p w14:paraId="7B65390A" w14:textId="1FCDD073" w:rsidR="00A87E9D" w:rsidRDefault="00F2203C">
      <w:pPr>
        <w:pStyle w:val="TOC2"/>
        <w:rPr>
          <w:rFonts w:eastAsiaTheme="minorEastAsia" w:cstheme="minorBidi"/>
          <w:noProof/>
        </w:rPr>
      </w:pPr>
      <w:hyperlink w:anchor="_Toc478721540" w:history="1">
        <w:r w:rsidR="00A87E9D" w:rsidRPr="00823EB0">
          <w:rPr>
            <w:rStyle w:val="Hyperlink"/>
            <w:rFonts w:eastAsiaTheme="minorHAnsi"/>
            <w:noProof/>
          </w:rPr>
          <w:t>Table 6:</w:t>
        </w:r>
        <w:r w:rsidR="00A87E9D">
          <w:rPr>
            <w:rFonts w:eastAsiaTheme="minorEastAsia" w:cstheme="minorBidi"/>
            <w:noProof/>
          </w:rPr>
          <w:tab/>
        </w:r>
        <w:r w:rsidR="00A87E9D" w:rsidRPr="00823EB0">
          <w:rPr>
            <w:rStyle w:val="Hyperlink"/>
            <w:rFonts w:eastAsiaTheme="minorHAnsi"/>
            <w:noProof/>
          </w:rPr>
          <w:t>Number of services by jurisdiction, item 11512, 2014-15</w:t>
        </w:r>
        <w:r w:rsidR="00A87E9D">
          <w:rPr>
            <w:noProof/>
            <w:webHidden/>
          </w:rPr>
          <w:tab/>
        </w:r>
        <w:r w:rsidR="00A87E9D">
          <w:rPr>
            <w:noProof/>
            <w:webHidden/>
          </w:rPr>
          <w:fldChar w:fldCharType="begin"/>
        </w:r>
        <w:r w:rsidR="00A87E9D">
          <w:rPr>
            <w:noProof/>
            <w:webHidden/>
          </w:rPr>
          <w:instrText xml:space="preserve"> PAGEREF _Toc478721540 \h </w:instrText>
        </w:r>
        <w:r w:rsidR="00A87E9D">
          <w:rPr>
            <w:noProof/>
            <w:webHidden/>
          </w:rPr>
        </w:r>
        <w:r w:rsidR="00A87E9D">
          <w:rPr>
            <w:noProof/>
            <w:webHidden/>
          </w:rPr>
          <w:fldChar w:fldCharType="separate"/>
        </w:r>
        <w:r>
          <w:rPr>
            <w:noProof/>
            <w:webHidden/>
          </w:rPr>
          <w:t>17</w:t>
        </w:r>
        <w:r w:rsidR="00A87E9D">
          <w:rPr>
            <w:noProof/>
            <w:webHidden/>
          </w:rPr>
          <w:fldChar w:fldCharType="end"/>
        </w:r>
      </w:hyperlink>
    </w:p>
    <w:p w14:paraId="754A38BA" w14:textId="03E5F7C7" w:rsidR="00A87E9D" w:rsidRDefault="00F2203C">
      <w:pPr>
        <w:pStyle w:val="TOC2"/>
        <w:rPr>
          <w:rFonts w:eastAsiaTheme="minorEastAsia" w:cstheme="minorBidi"/>
          <w:noProof/>
        </w:rPr>
      </w:pPr>
      <w:hyperlink w:anchor="_Toc478721541" w:history="1">
        <w:r w:rsidR="00A87E9D" w:rsidRPr="00823EB0">
          <w:rPr>
            <w:rStyle w:val="Hyperlink"/>
            <w:rFonts w:eastAsiaTheme="minorHAnsi"/>
            <w:noProof/>
          </w:rPr>
          <w:t>Table 7:</w:t>
        </w:r>
        <w:r w:rsidR="00A87E9D">
          <w:rPr>
            <w:rFonts w:eastAsiaTheme="minorEastAsia" w:cstheme="minorBidi"/>
            <w:noProof/>
          </w:rPr>
          <w:tab/>
        </w:r>
        <w:r w:rsidR="00A87E9D" w:rsidRPr="00823EB0">
          <w:rPr>
            <w:rStyle w:val="Hyperlink"/>
            <w:rFonts w:eastAsiaTheme="minorHAnsi"/>
            <w:noProof/>
          </w:rPr>
          <w:t>Estimate of the cost of pre and post bronchodilator spirometry in primary care for South</w:t>
        </w:r>
        <w:r w:rsidR="00A87E9D">
          <w:rPr>
            <w:noProof/>
            <w:webHidden/>
          </w:rPr>
          <w:tab/>
        </w:r>
        <w:r w:rsidR="00A87E9D">
          <w:rPr>
            <w:noProof/>
            <w:webHidden/>
          </w:rPr>
          <w:fldChar w:fldCharType="begin"/>
        </w:r>
        <w:r w:rsidR="00A87E9D">
          <w:rPr>
            <w:noProof/>
            <w:webHidden/>
          </w:rPr>
          <w:instrText xml:space="preserve"> PAGEREF _Toc478721541 \h </w:instrText>
        </w:r>
        <w:r w:rsidR="00A87E9D">
          <w:rPr>
            <w:noProof/>
            <w:webHidden/>
          </w:rPr>
        </w:r>
        <w:r w:rsidR="00A87E9D">
          <w:rPr>
            <w:noProof/>
            <w:webHidden/>
          </w:rPr>
          <w:fldChar w:fldCharType="separate"/>
        </w:r>
        <w:r>
          <w:rPr>
            <w:noProof/>
            <w:webHidden/>
          </w:rPr>
          <w:t>21</w:t>
        </w:r>
        <w:r w:rsidR="00A87E9D">
          <w:rPr>
            <w:noProof/>
            <w:webHidden/>
          </w:rPr>
          <w:fldChar w:fldCharType="end"/>
        </w:r>
      </w:hyperlink>
    </w:p>
    <w:p w14:paraId="3B6F40C4" w14:textId="6913B96F" w:rsidR="00A87E9D" w:rsidRDefault="00F2203C">
      <w:pPr>
        <w:pStyle w:val="TOC2"/>
        <w:rPr>
          <w:rFonts w:eastAsiaTheme="minorEastAsia" w:cstheme="minorBidi"/>
          <w:noProof/>
        </w:rPr>
      </w:pPr>
      <w:hyperlink w:anchor="_Toc478721542" w:history="1">
        <w:r w:rsidR="00A87E9D" w:rsidRPr="00823EB0">
          <w:rPr>
            <w:rStyle w:val="Hyperlink"/>
            <w:rFonts w:eastAsiaTheme="minorHAnsi"/>
            <w:noProof/>
          </w:rPr>
          <w:t>Table 8:</w:t>
        </w:r>
        <w:r w:rsidR="00A87E9D">
          <w:rPr>
            <w:rFonts w:eastAsiaTheme="minorEastAsia" w:cstheme="minorBidi"/>
            <w:noProof/>
          </w:rPr>
          <w:tab/>
        </w:r>
        <w:r w:rsidR="00A87E9D" w:rsidRPr="00823EB0">
          <w:rPr>
            <w:rStyle w:val="Hyperlink"/>
            <w:rFonts w:eastAsiaTheme="minorHAnsi"/>
            <w:noProof/>
          </w:rPr>
          <w:t>Estimate of the cost of pre or post bronchodilator spirometry in primary care for South</w:t>
        </w:r>
        <w:r w:rsidR="00A87E9D">
          <w:rPr>
            <w:noProof/>
            <w:webHidden/>
          </w:rPr>
          <w:tab/>
        </w:r>
        <w:r w:rsidR="00A87E9D">
          <w:rPr>
            <w:noProof/>
            <w:webHidden/>
          </w:rPr>
          <w:fldChar w:fldCharType="begin"/>
        </w:r>
        <w:r w:rsidR="00A87E9D">
          <w:rPr>
            <w:noProof/>
            <w:webHidden/>
          </w:rPr>
          <w:instrText xml:space="preserve"> PAGEREF _Toc478721542 \h </w:instrText>
        </w:r>
        <w:r w:rsidR="00A87E9D">
          <w:rPr>
            <w:noProof/>
            <w:webHidden/>
          </w:rPr>
        </w:r>
        <w:r w:rsidR="00A87E9D">
          <w:rPr>
            <w:noProof/>
            <w:webHidden/>
          </w:rPr>
          <w:fldChar w:fldCharType="separate"/>
        </w:r>
        <w:r>
          <w:rPr>
            <w:noProof/>
            <w:webHidden/>
          </w:rPr>
          <w:t>22</w:t>
        </w:r>
        <w:r w:rsidR="00A87E9D">
          <w:rPr>
            <w:noProof/>
            <w:webHidden/>
          </w:rPr>
          <w:fldChar w:fldCharType="end"/>
        </w:r>
      </w:hyperlink>
    </w:p>
    <w:p w14:paraId="36146929" w14:textId="70F11400" w:rsidR="00A87E9D" w:rsidRDefault="00F2203C">
      <w:pPr>
        <w:pStyle w:val="TOC2"/>
        <w:rPr>
          <w:rFonts w:eastAsiaTheme="minorEastAsia" w:cstheme="minorBidi"/>
          <w:noProof/>
        </w:rPr>
      </w:pPr>
      <w:hyperlink w:anchor="_Toc478721543" w:history="1">
        <w:r w:rsidR="00A87E9D" w:rsidRPr="00823EB0">
          <w:rPr>
            <w:rStyle w:val="Hyperlink"/>
            <w:rFonts w:eastAsiaTheme="minorHAnsi"/>
            <w:noProof/>
          </w:rPr>
          <w:t>Table 9:</w:t>
        </w:r>
        <w:r w:rsidR="00A87E9D">
          <w:rPr>
            <w:rFonts w:eastAsiaTheme="minorEastAsia" w:cstheme="minorBidi"/>
            <w:noProof/>
          </w:rPr>
          <w:tab/>
        </w:r>
        <w:r w:rsidR="00A87E9D" w:rsidRPr="00823EB0">
          <w:rPr>
            <w:rStyle w:val="Hyperlink"/>
            <w:rFonts w:eastAsiaTheme="minorHAnsi"/>
            <w:noProof/>
          </w:rPr>
          <w:t>High level MBS data on respiratory function test item 11503, 2014-15 (date of processing)</w:t>
        </w:r>
        <w:r w:rsidR="00A87E9D">
          <w:rPr>
            <w:noProof/>
            <w:webHidden/>
          </w:rPr>
          <w:tab/>
        </w:r>
        <w:r w:rsidR="00A87E9D">
          <w:rPr>
            <w:noProof/>
            <w:webHidden/>
          </w:rPr>
          <w:fldChar w:fldCharType="begin"/>
        </w:r>
        <w:r w:rsidR="00A87E9D">
          <w:rPr>
            <w:noProof/>
            <w:webHidden/>
          </w:rPr>
          <w:instrText xml:space="preserve"> PAGEREF _Toc478721543 \h </w:instrText>
        </w:r>
        <w:r w:rsidR="00A87E9D">
          <w:rPr>
            <w:noProof/>
            <w:webHidden/>
          </w:rPr>
        </w:r>
        <w:r w:rsidR="00A87E9D">
          <w:rPr>
            <w:noProof/>
            <w:webHidden/>
          </w:rPr>
          <w:fldChar w:fldCharType="separate"/>
        </w:r>
        <w:r>
          <w:rPr>
            <w:noProof/>
            <w:webHidden/>
          </w:rPr>
          <w:t>26</w:t>
        </w:r>
        <w:r w:rsidR="00A87E9D">
          <w:rPr>
            <w:noProof/>
            <w:webHidden/>
          </w:rPr>
          <w:fldChar w:fldCharType="end"/>
        </w:r>
      </w:hyperlink>
    </w:p>
    <w:p w14:paraId="48130816" w14:textId="6D37261F" w:rsidR="00A87E9D" w:rsidRDefault="00F2203C">
      <w:pPr>
        <w:pStyle w:val="TOC2"/>
        <w:rPr>
          <w:rFonts w:eastAsiaTheme="minorEastAsia" w:cstheme="minorBidi"/>
          <w:noProof/>
        </w:rPr>
      </w:pPr>
      <w:hyperlink w:anchor="_Toc478721544" w:history="1">
        <w:r w:rsidR="00A87E9D" w:rsidRPr="00823EB0">
          <w:rPr>
            <w:rStyle w:val="Hyperlink"/>
            <w:rFonts w:eastAsiaTheme="minorHAnsi"/>
            <w:noProof/>
          </w:rPr>
          <w:t>Table 10:</w:t>
        </w:r>
        <w:r w:rsidR="00A87E9D">
          <w:rPr>
            <w:rFonts w:eastAsiaTheme="minorEastAsia" w:cstheme="minorBidi"/>
            <w:noProof/>
          </w:rPr>
          <w:tab/>
        </w:r>
        <w:r w:rsidR="00A87E9D" w:rsidRPr="00823EB0">
          <w:rPr>
            <w:rStyle w:val="Hyperlink"/>
            <w:rFonts w:eastAsiaTheme="minorHAnsi"/>
            <w:noProof/>
          </w:rPr>
          <w:t>High level MBS data on sleep studies – items 12203, 12207 and 12250 (by date of processing)</w:t>
        </w:r>
        <w:r w:rsidR="00A87E9D">
          <w:rPr>
            <w:noProof/>
            <w:webHidden/>
          </w:rPr>
          <w:tab/>
        </w:r>
        <w:r w:rsidR="00A87E9D">
          <w:rPr>
            <w:noProof/>
            <w:webHidden/>
          </w:rPr>
          <w:fldChar w:fldCharType="begin"/>
        </w:r>
        <w:r w:rsidR="00A87E9D">
          <w:rPr>
            <w:noProof/>
            <w:webHidden/>
          </w:rPr>
          <w:instrText xml:space="preserve"> PAGEREF _Toc478721544 \h </w:instrText>
        </w:r>
        <w:r w:rsidR="00A87E9D">
          <w:rPr>
            <w:noProof/>
            <w:webHidden/>
          </w:rPr>
        </w:r>
        <w:r w:rsidR="00A87E9D">
          <w:rPr>
            <w:noProof/>
            <w:webHidden/>
          </w:rPr>
          <w:fldChar w:fldCharType="separate"/>
        </w:r>
        <w:r>
          <w:rPr>
            <w:noProof/>
            <w:webHidden/>
          </w:rPr>
          <w:t>36</w:t>
        </w:r>
        <w:r w:rsidR="00A87E9D">
          <w:rPr>
            <w:noProof/>
            <w:webHidden/>
          </w:rPr>
          <w:fldChar w:fldCharType="end"/>
        </w:r>
      </w:hyperlink>
    </w:p>
    <w:p w14:paraId="1D2A04B1" w14:textId="5EC28099" w:rsidR="00A87E9D" w:rsidRDefault="00F2203C">
      <w:pPr>
        <w:pStyle w:val="TOC2"/>
        <w:rPr>
          <w:rFonts w:eastAsiaTheme="minorEastAsia" w:cstheme="minorBidi"/>
          <w:noProof/>
        </w:rPr>
      </w:pPr>
      <w:hyperlink w:anchor="_Toc478721545" w:history="1">
        <w:r w:rsidR="00A87E9D" w:rsidRPr="00823EB0">
          <w:rPr>
            <w:rStyle w:val="Hyperlink"/>
            <w:rFonts w:eastAsiaTheme="minorHAnsi"/>
            <w:noProof/>
          </w:rPr>
          <w:t>Table 11:</w:t>
        </w:r>
        <w:r w:rsidR="00A87E9D">
          <w:rPr>
            <w:rFonts w:eastAsiaTheme="minorEastAsia" w:cstheme="minorBidi"/>
            <w:noProof/>
          </w:rPr>
          <w:tab/>
        </w:r>
        <w:r w:rsidR="00A87E9D" w:rsidRPr="00823EB0">
          <w:rPr>
            <w:rStyle w:val="Hyperlink"/>
            <w:rFonts w:eastAsiaTheme="minorHAnsi"/>
            <w:bCs/>
            <w:noProof/>
            <w:lang w:val="en-US"/>
          </w:rPr>
          <w:t>Benefits, average fee charged and service growth (2013-14) – Items 12203, 12250 and 12210</w:t>
        </w:r>
        <w:r w:rsidR="00A87E9D">
          <w:rPr>
            <w:noProof/>
            <w:webHidden/>
          </w:rPr>
          <w:tab/>
        </w:r>
        <w:r w:rsidR="00A87E9D">
          <w:rPr>
            <w:noProof/>
            <w:webHidden/>
          </w:rPr>
          <w:fldChar w:fldCharType="begin"/>
        </w:r>
        <w:r w:rsidR="00A87E9D">
          <w:rPr>
            <w:noProof/>
            <w:webHidden/>
          </w:rPr>
          <w:instrText xml:space="preserve"> PAGEREF _Toc478721545 \h </w:instrText>
        </w:r>
        <w:r w:rsidR="00A87E9D">
          <w:rPr>
            <w:noProof/>
            <w:webHidden/>
          </w:rPr>
        </w:r>
        <w:r w:rsidR="00A87E9D">
          <w:rPr>
            <w:noProof/>
            <w:webHidden/>
          </w:rPr>
          <w:fldChar w:fldCharType="separate"/>
        </w:r>
        <w:r>
          <w:rPr>
            <w:noProof/>
            <w:webHidden/>
          </w:rPr>
          <w:t>37</w:t>
        </w:r>
        <w:r w:rsidR="00A87E9D">
          <w:rPr>
            <w:noProof/>
            <w:webHidden/>
          </w:rPr>
          <w:fldChar w:fldCharType="end"/>
        </w:r>
      </w:hyperlink>
    </w:p>
    <w:p w14:paraId="7002C5D3" w14:textId="498BA17D" w:rsidR="00A87E9D" w:rsidRDefault="00F2203C">
      <w:pPr>
        <w:pStyle w:val="TOC2"/>
        <w:rPr>
          <w:rFonts w:eastAsiaTheme="minorEastAsia" w:cstheme="minorBidi"/>
          <w:noProof/>
        </w:rPr>
      </w:pPr>
      <w:hyperlink w:anchor="_Toc478721546" w:history="1">
        <w:r w:rsidR="00A87E9D" w:rsidRPr="00823EB0">
          <w:rPr>
            <w:rStyle w:val="Hyperlink"/>
            <w:rFonts w:eastAsiaTheme="minorHAnsi"/>
            <w:noProof/>
          </w:rPr>
          <w:t>Table12:</w:t>
        </w:r>
        <w:r w:rsidR="00A87E9D">
          <w:rPr>
            <w:rFonts w:eastAsiaTheme="minorEastAsia" w:cstheme="minorBidi"/>
            <w:noProof/>
          </w:rPr>
          <w:tab/>
        </w:r>
        <w:r w:rsidR="00A87E9D" w:rsidRPr="00823EB0">
          <w:rPr>
            <w:rStyle w:val="Hyperlink"/>
            <w:rFonts w:eastAsiaTheme="minorHAnsi"/>
            <w:noProof/>
          </w:rPr>
          <w:t>Number of patients who received an adult lab-based sleep study (12203) and also an adult home-based sleep study (12250) in Financial Year 2012-13</w:t>
        </w:r>
        <w:r w:rsidR="00A87E9D">
          <w:rPr>
            <w:noProof/>
            <w:webHidden/>
          </w:rPr>
          <w:tab/>
        </w:r>
        <w:r w:rsidR="00A87E9D">
          <w:rPr>
            <w:noProof/>
            <w:webHidden/>
          </w:rPr>
          <w:fldChar w:fldCharType="begin"/>
        </w:r>
        <w:r w:rsidR="00A87E9D">
          <w:rPr>
            <w:noProof/>
            <w:webHidden/>
          </w:rPr>
          <w:instrText xml:space="preserve"> PAGEREF _Toc478721546 \h </w:instrText>
        </w:r>
        <w:r w:rsidR="00A87E9D">
          <w:rPr>
            <w:noProof/>
            <w:webHidden/>
          </w:rPr>
        </w:r>
        <w:r w:rsidR="00A87E9D">
          <w:rPr>
            <w:noProof/>
            <w:webHidden/>
          </w:rPr>
          <w:fldChar w:fldCharType="separate"/>
        </w:r>
        <w:r>
          <w:rPr>
            <w:noProof/>
            <w:webHidden/>
          </w:rPr>
          <w:t>38</w:t>
        </w:r>
        <w:r w:rsidR="00A87E9D">
          <w:rPr>
            <w:noProof/>
            <w:webHidden/>
          </w:rPr>
          <w:fldChar w:fldCharType="end"/>
        </w:r>
      </w:hyperlink>
    </w:p>
    <w:p w14:paraId="356C3374" w14:textId="17C1C338" w:rsidR="00A87E9D" w:rsidRDefault="00F2203C">
      <w:pPr>
        <w:pStyle w:val="TOC2"/>
        <w:rPr>
          <w:rFonts w:eastAsiaTheme="minorEastAsia" w:cstheme="minorBidi"/>
          <w:noProof/>
        </w:rPr>
      </w:pPr>
      <w:hyperlink w:anchor="_Toc478721547" w:history="1">
        <w:r w:rsidR="00A87E9D" w:rsidRPr="00823EB0">
          <w:rPr>
            <w:rStyle w:val="Hyperlink"/>
            <w:rFonts w:eastAsiaTheme="minorHAnsi"/>
            <w:noProof/>
          </w:rPr>
          <w:t>Table 13:</w:t>
        </w:r>
        <w:r w:rsidR="00A87E9D">
          <w:rPr>
            <w:rFonts w:eastAsiaTheme="minorEastAsia" w:cstheme="minorBidi"/>
            <w:noProof/>
          </w:rPr>
          <w:tab/>
        </w:r>
        <w:r w:rsidR="00A87E9D" w:rsidRPr="00823EB0">
          <w:rPr>
            <w:rStyle w:val="Hyperlink"/>
            <w:rFonts w:eastAsiaTheme="minorHAnsi"/>
            <w:noProof/>
          </w:rPr>
          <w:t>Lab-based sleep study item 12203: Number of services per patient (2012-13)</w:t>
        </w:r>
        <w:r w:rsidR="00A87E9D">
          <w:rPr>
            <w:noProof/>
            <w:webHidden/>
          </w:rPr>
          <w:tab/>
        </w:r>
        <w:r w:rsidR="00A87E9D">
          <w:rPr>
            <w:noProof/>
            <w:webHidden/>
          </w:rPr>
          <w:fldChar w:fldCharType="begin"/>
        </w:r>
        <w:r w:rsidR="00A87E9D">
          <w:rPr>
            <w:noProof/>
            <w:webHidden/>
          </w:rPr>
          <w:instrText xml:space="preserve"> PAGEREF _Toc478721547 \h </w:instrText>
        </w:r>
        <w:r w:rsidR="00A87E9D">
          <w:rPr>
            <w:noProof/>
            <w:webHidden/>
          </w:rPr>
        </w:r>
        <w:r w:rsidR="00A87E9D">
          <w:rPr>
            <w:noProof/>
            <w:webHidden/>
          </w:rPr>
          <w:fldChar w:fldCharType="separate"/>
        </w:r>
        <w:r>
          <w:rPr>
            <w:noProof/>
            <w:webHidden/>
          </w:rPr>
          <w:t>38</w:t>
        </w:r>
        <w:r w:rsidR="00A87E9D">
          <w:rPr>
            <w:noProof/>
            <w:webHidden/>
          </w:rPr>
          <w:fldChar w:fldCharType="end"/>
        </w:r>
      </w:hyperlink>
    </w:p>
    <w:p w14:paraId="12FEB01A" w14:textId="475B1D4D" w:rsidR="00A87E9D" w:rsidRDefault="00F2203C">
      <w:pPr>
        <w:pStyle w:val="TOC2"/>
        <w:rPr>
          <w:rFonts w:eastAsiaTheme="minorEastAsia" w:cstheme="minorBidi"/>
          <w:noProof/>
        </w:rPr>
      </w:pPr>
      <w:hyperlink w:anchor="_Toc478721548" w:history="1">
        <w:r w:rsidR="00A87E9D" w:rsidRPr="00823EB0">
          <w:rPr>
            <w:rStyle w:val="Hyperlink"/>
            <w:rFonts w:eastAsiaTheme="minorHAnsi"/>
            <w:noProof/>
          </w:rPr>
          <w:t>Table 14:</w:t>
        </w:r>
        <w:r w:rsidR="00A87E9D">
          <w:rPr>
            <w:rFonts w:eastAsiaTheme="minorEastAsia" w:cstheme="minorBidi"/>
            <w:noProof/>
          </w:rPr>
          <w:tab/>
        </w:r>
        <w:r w:rsidR="00A87E9D" w:rsidRPr="00823EB0">
          <w:rPr>
            <w:rStyle w:val="Hyperlink"/>
            <w:rFonts w:eastAsiaTheme="minorHAnsi"/>
            <w:noProof/>
          </w:rPr>
          <w:t>Lab-based sleep study items 12203 and 12250: Services per 1,000 population</w:t>
        </w:r>
        <w:r w:rsidR="00A87E9D">
          <w:rPr>
            <w:noProof/>
            <w:webHidden/>
          </w:rPr>
          <w:tab/>
        </w:r>
        <w:r w:rsidR="00A87E9D">
          <w:rPr>
            <w:noProof/>
            <w:webHidden/>
          </w:rPr>
          <w:fldChar w:fldCharType="begin"/>
        </w:r>
        <w:r w:rsidR="00A87E9D">
          <w:rPr>
            <w:noProof/>
            <w:webHidden/>
          </w:rPr>
          <w:instrText xml:space="preserve"> PAGEREF _Toc478721548 \h </w:instrText>
        </w:r>
        <w:r w:rsidR="00A87E9D">
          <w:rPr>
            <w:noProof/>
            <w:webHidden/>
          </w:rPr>
        </w:r>
        <w:r w:rsidR="00A87E9D">
          <w:rPr>
            <w:noProof/>
            <w:webHidden/>
          </w:rPr>
          <w:fldChar w:fldCharType="separate"/>
        </w:r>
        <w:r>
          <w:rPr>
            <w:noProof/>
            <w:webHidden/>
          </w:rPr>
          <w:t>39</w:t>
        </w:r>
        <w:r w:rsidR="00A87E9D">
          <w:rPr>
            <w:noProof/>
            <w:webHidden/>
          </w:rPr>
          <w:fldChar w:fldCharType="end"/>
        </w:r>
      </w:hyperlink>
    </w:p>
    <w:p w14:paraId="4FB68972" w14:textId="00D7ABCA" w:rsidR="00A87E9D" w:rsidRDefault="00F2203C">
      <w:pPr>
        <w:pStyle w:val="TOC2"/>
        <w:rPr>
          <w:rFonts w:eastAsiaTheme="minorEastAsia" w:cstheme="minorBidi"/>
          <w:noProof/>
        </w:rPr>
      </w:pPr>
      <w:hyperlink w:anchor="_Toc478721549" w:history="1">
        <w:r w:rsidR="00A87E9D" w:rsidRPr="00823EB0">
          <w:rPr>
            <w:rStyle w:val="Hyperlink"/>
            <w:rFonts w:eastAsiaTheme="minorHAnsi"/>
            <w:noProof/>
          </w:rPr>
          <w:t>Table 15</w:t>
        </w:r>
        <w:r w:rsidR="00A87E9D">
          <w:rPr>
            <w:rFonts w:eastAsiaTheme="minorEastAsia" w:cstheme="minorBidi"/>
            <w:noProof/>
          </w:rPr>
          <w:tab/>
        </w:r>
        <w:r w:rsidR="00A87E9D" w:rsidRPr="00823EB0">
          <w:rPr>
            <w:rStyle w:val="Hyperlink"/>
            <w:rFonts w:eastAsiaTheme="minorHAnsi"/>
            <w:noProof/>
          </w:rPr>
          <w:t>Patients who received a MBS funded consultation (from a sleep and respiratory specialist) up to 3 weeks prior to a service under item 12250 for home-based studies (2012-13)</w:t>
        </w:r>
        <w:r w:rsidR="00A87E9D">
          <w:rPr>
            <w:noProof/>
            <w:webHidden/>
          </w:rPr>
          <w:tab/>
        </w:r>
        <w:r w:rsidR="00A87E9D">
          <w:rPr>
            <w:noProof/>
            <w:webHidden/>
          </w:rPr>
          <w:fldChar w:fldCharType="begin"/>
        </w:r>
        <w:r w:rsidR="00A87E9D">
          <w:rPr>
            <w:noProof/>
            <w:webHidden/>
          </w:rPr>
          <w:instrText xml:space="preserve"> PAGEREF _Toc478721549 \h </w:instrText>
        </w:r>
        <w:r w:rsidR="00A87E9D">
          <w:rPr>
            <w:noProof/>
            <w:webHidden/>
          </w:rPr>
        </w:r>
        <w:r w:rsidR="00A87E9D">
          <w:rPr>
            <w:noProof/>
            <w:webHidden/>
          </w:rPr>
          <w:fldChar w:fldCharType="separate"/>
        </w:r>
        <w:r>
          <w:rPr>
            <w:noProof/>
            <w:webHidden/>
          </w:rPr>
          <w:t>39</w:t>
        </w:r>
        <w:r w:rsidR="00A87E9D">
          <w:rPr>
            <w:noProof/>
            <w:webHidden/>
          </w:rPr>
          <w:fldChar w:fldCharType="end"/>
        </w:r>
      </w:hyperlink>
    </w:p>
    <w:p w14:paraId="28C3B681" w14:textId="511FF0C0" w:rsidR="00A87E9D" w:rsidRDefault="00F2203C">
      <w:pPr>
        <w:pStyle w:val="TOC2"/>
        <w:rPr>
          <w:rFonts w:eastAsiaTheme="minorEastAsia" w:cstheme="minorBidi"/>
          <w:noProof/>
        </w:rPr>
      </w:pPr>
      <w:hyperlink w:anchor="_Toc478721550" w:history="1">
        <w:r w:rsidR="00A87E9D" w:rsidRPr="00823EB0">
          <w:rPr>
            <w:rStyle w:val="Hyperlink"/>
            <w:rFonts w:eastAsiaTheme="minorHAnsi"/>
            <w:noProof/>
          </w:rPr>
          <w:t>Table 16:</w:t>
        </w:r>
        <w:r w:rsidR="00A87E9D">
          <w:rPr>
            <w:rFonts w:eastAsiaTheme="minorEastAsia" w:cstheme="minorBidi"/>
            <w:noProof/>
          </w:rPr>
          <w:tab/>
        </w:r>
        <w:r w:rsidR="00A87E9D" w:rsidRPr="00823EB0">
          <w:rPr>
            <w:rStyle w:val="Hyperlink"/>
            <w:rFonts w:eastAsiaTheme="minorHAnsi"/>
            <w:noProof/>
          </w:rPr>
          <w:t>Patients who received a MBS rebated consultation (from a sleep and respiratory specialist) up to 12 months before and/or after a service under item 12250 for home-based studies (2012-13)</w:t>
        </w:r>
        <w:r w:rsidR="00A87E9D">
          <w:rPr>
            <w:noProof/>
            <w:webHidden/>
          </w:rPr>
          <w:tab/>
        </w:r>
        <w:r w:rsidR="00A87E9D">
          <w:rPr>
            <w:noProof/>
            <w:webHidden/>
          </w:rPr>
          <w:fldChar w:fldCharType="begin"/>
        </w:r>
        <w:r w:rsidR="00A87E9D">
          <w:rPr>
            <w:noProof/>
            <w:webHidden/>
          </w:rPr>
          <w:instrText xml:space="preserve"> PAGEREF _Toc478721550 \h </w:instrText>
        </w:r>
        <w:r w:rsidR="00A87E9D">
          <w:rPr>
            <w:noProof/>
            <w:webHidden/>
          </w:rPr>
        </w:r>
        <w:r w:rsidR="00A87E9D">
          <w:rPr>
            <w:noProof/>
            <w:webHidden/>
          </w:rPr>
          <w:fldChar w:fldCharType="separate"/>
        </w:r>
        <w:r>
          <w:rPr>
            <w:noProof/>
            <w:webHidden/>
          </w:rPr>
          <w:t>40</w:t>
        </w:r>
        <w:r w:rsidR="00A87E9D">
          <w:rPr>
            <w:noProof/>
            <w:webHidden/>
          </w:rPr>
          <w:fldChar w:fldCharType="end"/>
        </w:r>
      </w:hyperlink>
    </w:p>
    <w:p w14:paraId="773D2F67" w14:textId="7F58CBEB" w:rsidR="00A87E9D" w:rsidRDefault="00F2203C">
      <w:pPr>
        <w:pStyle w:val="TOC2"/>
        <w:rPr>
          <w:rFonts w:eastAsiaTheme="minorEastAsia" w:cstheme="minorBidi"/>
          <w:noProof/>
        </w:rPr>
      </w:pPr>
      <w:hyperlink w:anchor="_Toc478721551" w:history="1">
        <w:r w:rsidR="00A87E9D" w:rsidRPr="00823EB0">
          <w:rPr>
            <w:rStyle w:val="Hyperlink"/>
            <w:rFonts w:eastAsiaTheme="minorHAnsi"/>
            <w:noProof/>
          </w:rPr>
          <w:t>Table 17</w:t>
        </w:r>
        <w:r w:rsidR="00A87E9D">
          <w:rPr>
            <w:rFonts w:eastAsiaTheme="minorEastAsia" w:cstheme="minorBidi"/>
            <w:noProof/>
          </w:rPr>
          <w:tab/>
        </w:r>
        <w:r w:rsidR="00A87E9D" w:rsidRPr="00823EB0">
          <w:rPr>
            <w:rStyle w:val="Hyperlink"/>
            <w:rFonts w:eastAsiaTheme="minorHAnsi"/>
            <w:noProof/>
          </w:rPr>
          <w:t>Patients who received a MBS rebated consultation (from a sleep and respiratory specialist) up to 12 months before and/or after a service under item 12203 for adult lab-based studies (2012-13)</w:t>
        </w:r>
        <w:r w:rsidR="00A87E9D">
          <w:rPr>
            <w:noProof/>
            <w:webHidden/>
          </w:rPr>
          <w:tab/>
        </w:r>
        <w:r w:rsidR="00A87E9D">
          <w:rPr>
            <w:noProof/>
            <w:webHidden/>
          </w:rPr>
          <w:fldChar w:fldCharType="begin"/>
        </w:r>
        <w:r w:rsidR="00A87E9D">
          <w:rPr>
            <w:noProof/>
            <w:webHidden/>
          </w:rPr>
          <w:instrText xml:space="preserve"> PAGEREF _Toc478721551 \h </w:instrText>
        </w:r>
        <w:r w:rsidR="00A87E9D">
          <w:rPr>
            <w:noProof/>
            <w:webHidden/>
          </w:rPr>
        </w:r>
        <w:r w:rsidR="00A87E9D">
          <w:rPr>
            <w:noProof/>
            <w:webHidden/>
          </w:rPr>
          <w:fldChar w:fldCharType="separate"/>
        </w:r>
        <w:r>
          <w:rPr>
            <w:noProof/>
            <w:webHidden/>
          </w:rPr>
          <w:t>40</w:t>
        </w:r>
        <w:r w:rsidR="00A87E9D">
          <w:rPr>
            <w:noProof/>
            <w:webHidden/>
          </w:rPr>
          <w:fldChar w:fldCharType="end"/>
        </w:r>
      </w:hyperlink>
    </w:p>
    <w:p w14:paraId="015079A2" w14:textId="21C949C6" w:rsidR="00A87E9D" w:rsidRDefault="00F2203C">
      <w:pPr>
        <w:pStyle w:val="TOC2"/>
        <w:rPr>
          <w:rFonts w:eastAsiaTheme="minorEastAsia" w:cstheme="minorBidi"/>
          <w:noProof/>
        </w:rPr>
      </w:pPr>
      <w:hyperlink w:anchor="_Toc478721552" w:history="1">
        <w:r w:rsidR="00A87E9D" w:rsidRPr="00823EB0">
          <w:rPr>
            <w:rStyle w:val="Hyperlink"/>
            <w:rFonts w:eastAsiaTheme="minorHAnsi"/>
            <w:noProof/>
          </w:rPr>
          <w:t>Table 18:</w:t>
        </w:r>
        <w:r w:rsidR="00A87E9D">
          <w:rPr>
            <w:rFonts w:eastAsiaTheme="minorEastAsia" w:cstheme="minorBidi"/>
            <w:noProof/>
          </w:rPr>
          <w:tab/>
        </w:r>
        <w:r w:rsidR="00A87E9D" w:rsidRPr="00823EB0">
          <w:rPr>
            <w:rStyle w:val="Hyperlink"/>
            <w:rFonts w:eastAsiaTheme="minorHAnsi"/>
            <w:noProof/>
          </w:rPr>
          <w:t>Patients who received a MBS rebated consultation (from a sleep and respiratory specialist) up to 12 months before and/or after a service under item 12210 for paediatric lab-based studies (2012-13)</w:t>
        </w:r>
        <w:r w:rsidR="00A87E9D">
          <w:rPr>
            <w:noProof/>
            <w:webHidden/>
          </w:rPr>
          <w:tab/>
        </w:r>
        <w:r w:rsidR="00A87E9D">
          <w:rPr>
            <w:noProof/>
            <w:webHidden/>
          </w:rPr>
          <w:fldChar w:fldCharType="begin"/>
        </w:r>
        <w:r w:rsidR="00A87E9D">
          <w:rPr>
            <w:noProof/>
            <w:webHidden/>
          </w:rPr>
          <w:instrText xml:space="preserve"> PAGEREF _Toc478721552 \h </w:instrText>
        </w:r>
        <w:r w:rsidR="00A87E9D">
          <w:rPr>
            <w:noProof/>
            <w:webHidden/>
          </w:rPr>
        </w:r>
        <w:r w:rsidR="00A87E9D">
          <w:rPr>
            <w:noProof/>
            <w:webHidden/>
          </w:rPr>
          <w:fldChar w:fldCharType="separate"/>
        </w:r>
        <w:r>
          <w:rPr>
            <w:noProof/>
            <w:webHidden/>
          </w:rPr>
          <w:t>40</w:t>
        </w:r>
        <w:r w:rsidR="00A87E9D">
          <w:rPr>
            <w:noProof/>
            <w:webHidden/>
          </w:rPr>
          <w:fldChar w:fldCharType="end"/>
        </w:r>
      </w:hyperlink>
    </w:p>
    <w:p w14:paraId="0756EF08" w14:textId="60363129" w:rsidR="00A87E9D" w:rsidRDefault="00F2203C">
      <w:pPr>
        <w:pStyle w:val="TOC2"/>
        <w:rPr>
          <w:rFonts w:eastAsiaTheme="minorEastAsia" w:cstheme="minorBidi"/>
          <w:noProof/>
        </w:rPr>
      </w:pPr>
      <w:hyperlink w:anchor="_Toc478721553" w:history="1">
        <w:r w:rsidR="00A87E9D" w:rsidRPr="00823EB0">
          <w:rPr>
            <w:rStyle w:val="Hyperlink"/>
            <w:rFonts w:eastAsiaTheme="minorHAnsi"/>
            <w:noProof/>
          </w:rPr>
          <w:t>Table 19:</w:t>
        </w:r>
        <w:r w:rsidR="00A87E9D">
          <w:rPr>
            <w:rFonts w:eastAsiaTheme="minorEastAsia" w:cstheme="minorBidi"/>
            <w:noProof/>
          </w:rPr>
          <w:tab/>
        </w:r>
        <w:r w:rsidR="00A87E9D" w:rsidRPr="00823EB0">
          <w:rPr>
            <w:rStyle w:val="Hyperlink"/>
            <w:rFonts w:eastAsiaTheme="minorHAnsi"/>
            <w:noProof/>
          </w:rPr>
          <w:t>Number of sleep providers who billed item 12203 and/or item 12250 (2012-13)</w:t>
        </w:r>
        <w:r w:rsidR="00A87E9D">
          <w:rPr>
            <w:noProof/>
            <w:webHidden/>
          </w:rPr>
          <w:tab/>
        </w:r>
        <w:r w:rsidR="00A87E9D">
          <w:rPr>
            <w:noProof/>
            <w:webHidden/>
          </w:rPr>
          <w:fldChar w:fldCharType="begin"/>
        </w:r>
        <w:r w:rsidR="00A87E9D">
          <w:rPr>
            <w:noProof/>
            <w:webHidden/>
          </w:rPr>
          <w:instrText xml:space="preserve"> PAGEREF _Toc478721553 \h </w:instrText>
        </w:r>
        <w:r w:rsidR="00A87E9D">
          <w:rPr>
            <w:noProof/>
            <w:webHidden/>
          </w:rPr>
        </w:r>
        <w:r w:rsidR="00A87E9D">
          <w:rPr>
            <w:noProof/>
            <w:webHidden/>
          </w:rPr>
          <w:fldChar w:fldCharType="separate"/>
        </w:r>
        <w:r>
          <w:rPr>
            <w:noProof/>
            <w:webHidden/>
          </w:rPr>
          <w:t>41</w:t>
        </w:r>
        <w:r w:rsidR="00A87E9D">
          <w:rPr>
            <w:noProof/>
            <w:webHidden/>
          </w:rPr>
          <w:fldChar w:fldCharType="end"/>
        </w:r>
      </w:hyperlink>
    </w:p>
    <w:p w14:paraId="2D1CBBB5" w14:textId="637063EF" w:rsidR="00A87E9D" w:rsidRDefault="00F2203C">
      <w:pPr>
        <w:pStyle w:val="TOC2"/>
        <w:rPr>
          <w:rFonts w:eastAsiaTheme="minorEastAsia" w:cstheme="minorBidi"/>
          <w:noProof/>
        </w:rPr>
      </w:pPr>
      <w:hyperlink w:anchor="_Toc478721554" w:history="1">
        <w:r w:rsidR="00A87E9D" w:rsidRPr="00823EB0">
          <w:rPr>
            <w:rStyle w:val="Hyperlink"/>
            <w:rFonts w:eastAsiaTheme="minorHAnsi"/>
            <w:noProof/>
          </w:rPr>
          <w:t>Table 20:</w:t>
        </w:r>
        <w:r w:rsidR="00A87E9D">
          <w:rPr>
            <w:rFonts w:eastAsiaTheme="minorEastAsia" w:cstheme="minorBidi"/>
            <w:noProof/>
          </w:rPr>
          <w:tab/>
        </w:r>
        <w:r w:rsidR="00A87E9D" w:rsidRPr="00823EB0">
          <w:rPr>
            <w:rStyle w:val="Hyperlink"/>
            <w:rFonts w:eastAsiaTheme="minorHAnsi"/>
            <w:noProof/>
          </w:rPr>
          <w:t>Key statistics for items 12210, 12213, 12215 and 12217 (by date of processing)</w:t>
        </w:r>
        <w:r w:rsidR="00A87E9D">
          <w:rPr>
            <w:noProof/>
            <w:webHidden/>
          </w:rPr>
          <w:tab/>
        </w:r>
        <w:r w:rsidR="00A87E9D">
          <w:rPr>
            <w:noProof/>
            <w:webHidden/>
          </w:rPr>
          <w:fldChar w:fldCharType="begin"/>
        </w:r>
        <w:r w:rsidR="00A87E9D">
          <w:rPr>
            <w:noProof/>
            <w:webHidden/>
          </w:rPr>
          <w:instrText xml:space="preserve"> PAGEREF _Toc478721554 \h </w:instrText>
        </w:r>
        <w:r w:rsidR="00A87E9D">
          <w:rPr>
            <w:noProof/>
            <w:webHidden/>
          </w:rPr>
        </w:r>
        <w:r w:rsidR="00A87E9D">
          <w:rPr>
            <w:noProof/>
            <w:webHidden/>
          </w:rPr>
          <w:fldChar w:fldCharType="separate"/>
        </w:r>
        <w:r>
          <w:rPr>
            <w:noProof/>
            <w:webHidden/>
          </w:rPr>
          <w:t>46</w:t>
        </w:r>
        <w:r w:rsidR="00A87E9D">
          <w:rPr>
            <w:noProof/>
            <w:webHidden/>
          </w:rPr>
          <w:fldChar w:fldCharType="end"/>
        </w:r>
      </w:hyperlink>
    </w:p>
    <w:p w14:paraId="4259DDC4" w14:textId="21EE3FB2" w:rsidR="00A87E9D" w:rsidRDefault="00F2203C">
      <w:pPr>
        <w:pStyle w:val="TOC2"/>
        <w:rPr>
          <w:rFonts w:eastAsiaTheme="minorEastAsia" w:cstheme="minorBidi"/>
          <w:noProof/>
        </w:rPr>
      </w:pPr>
      <w:hyperlink w:anchor="_Toc478721555" w:history="1">
        <w:r w:rsidR="00A87E9D" w:rsidRPr="00823EB0">
          <w:rPr>
            <w:rStyle w:val="Hyperlink"/>
            <w:rFonts w:eastAsiaTheme="minorHAnsi"/>
            <w:noProof/>
          </w:rPr>
          <w:t>Table 21:</w:t>
        </w:r>
        <w:r w:rsidR="00A87E9D">
          <w:rPr>
            <w:rFonts w:eastAsiaTheme="minorEastAsia" w:cstheme="minorBidi"/>
            <w:noProof/>
          </w:rPr>
          <w:tab/>
        </w:r>
        <w:r w:rsidR="00A87E9D" w:rsidRPr="00823EB0">
          <w:rPr>
            <w:rStyle w:val="Hyperlink"/>
            <w:rFonts w:eastAsiaTheme="minorHAnsi"/>
            <w:noProof/>
          </w:rPr>
          <w:t>High level MBS data on therapeutic procedures - items 41889, 41892, 41895, 41898 and 41905 2014-15</w:t>
        </w:r>
        <w:r w:rsidR="00A87E9D">
          <w:rPr>
            <w:noProof/>
            <w:webHidden/>
          </w:rPr>
          <w:tab/>
        </w:r>
        <w:r w:rsidR="00A87E9D">
          <w:rPr>
            <w:noProof/>
            <w:webHidden/>
          </w:rPr>
          <w:fldChar w:fldCharType="begin"/>
        </w:r>
        <w:r w:rsidR="00A87E9D">
          <w:rPr>
            <w:noProof/>
            <w:webHidden/>
          </w:rPr>
          <w:instrText xml:space="preserve"> PAGEREF _Toc478721555 \h </w:instrText>
        </w:r>
        <w:r w:rsidR="00A87E9D">
          <w:rPr>
            <w:noProof/>
            <w:webHidden/>
          </w:rPr>
        </w:r>
        <w:r w:rsidR="00A87E9D">
          <w:rPr>
            <w:noProof/>
            <w:webHidden/>
          </w:rPr>
          <w:fldChar w:fldCharType="separate"/>
        </w:r>
        <w:r>
          <w:rPr>
            <w:noProof/>
            <w:webHidden/>
          </w:rPr>
          <w:t>55</w:t>
        </w:r>
        <w:r w:rsidR="00A87E9D">
          <w:rPr>
            <w:noProof/>
            <w:webHidden/>
          </w:rPr>
          <w:fldChar w:fldCharType="end"/>
        </w:r>
      </w:hyperlink>
    </w:p>
    <w:p w14:paraId="0C9D8395" w14:textId="5B0FE3CA" w:rsidR="00A87E9D" w:rsidRDefault="00F2203C">
      <w:pPr>
        <w:pStyle w:val="TOC2"/>
        <w:rPr>
          <w:rFonts w:eastAsiaTheme="minorEastAsia" w:cstheme="minorBidi"/>
          <w:noProof/>
        </w:rPr>
      </w:pPr>
      <w:hyperlink w:anchor="_Toc478721556" w:history="1">
        <w:r w:rsidR="00A87E9D" w:rsidRPr="00823EB0">
          <w:rPr>
            <w:rStyle w:val="Hyperlink"/>
            <w:rFonts w:eastAsiaTheme="minorHAnsi"/>
            <w:noProof/>
          </w:rPr>
          <w:t>Table 22</w:t>
        </w:r>
        <w:r w:rsidR="00A87E9D">
          <w:rPr>
            <w:rFonts w:eastAsiaTheme="minorEastAsia" w:cstheme="minorBidi"/>
            <w:noProof/>
          </w:rPr>
          <w:tab/>
        </w:r>
        <w:r w:rsidR="00A87E9D" w:rsidRPr="00823EB0">
          <w:rPr>
            <w:rStyle w:val="Hyperlink"/>
            <w:rFonts w:eastAsiaTheme="minorHAnsi"/>
            <w:noProof/>
          </w:rPr>
          <w:t>Key statistics on therapeutic procedures - items 41889, 41892, 41895, 41898 &amp; 41905</w:t>
        </w:r>
        <w:r w:rsidR="00A87E9D">
          <w:rPr>
            <w:noProof/>
            <w:webHidden/>
          </w:rPr>
          <w:tab/>
        </w:r>
        <w:r w:rsidR="00A87E9D">
          <w:rPr>
            <w:noProof/>
            <w:webHidden/>
          </w:rPr>
          <w:fldChar w:fldCharType="begin"/>
        </w:r>
        <w:r w:rsidR="00A87E9D">
          <w:rPr>
            <w:noProof/>
            <w:webHidden/>
          </w:rPr>
          <w:instrText xml:space="preserve"> PAGEREF _Toc478721556 \h </w:instrText>
        </w:r>
        <w:r w:rsidR="00A87E9D">
          <w:rPr>
            <w:noProof/>
            <w:webHidden/>
          </w:rPr>
        </w:r>
        <w:r w:rsidR="00A87E9D">
          <w:rPr>
            <w:noProof/>
            <w:webHidden/>
          </w:rPr>
          <w:fldChar w:fldCharType="separate"/>
        </w:r>
        <w:r>
          <w:rPr>
            <w:noProof/>
            <w:webHidden/>
          </w:rPr>
          <w:t>56</w:t>
        </w:r>
        <w:r w:rsidR="00A87E9D">
          <w:rPr>
            <w:noProof/>
            <w:webHidden/>
          </w:rPr>
          <w:fldChar w:fldCharType="end"/>
        </w:r>
      </w:hyperlink>
    </w:p>
    <w:p w14:paraId="11CD9EFC" w14:textId="7B88CAEA" w:rsidR="00A87E9D" w:rsidRDefault="00F2203C">
      <w:pPr>
        <w:pStyle w:val="TOC2"/>
        <w:rPr>
          <w:rFonts w:eastAsiaTheme="minorEastAsia" w:cstheme="minorBidi"/>
          <w:noProof/>
        </w:rPr>
      </w:pPr>
      <w:hyperlink w:anchor="_Toc478721557" w:history="1">
        <w:r w:rsidR="00A87E9D" w:rsidRPr="00823EB0">
          <w:rPr>
            <w:rStyle w:val="Hyperlink"/>
            <w:rFonts w:eastAsiaTheme="minorHAnsi"/>
            <w:noProof/>
          </w:rPr>
          <w:t>Table 23:</w:t>
        </w:r>
        <w:r w:rsidR="00A87E9D">
          <w:rPr>
            <w:rFonts w:eastAsiaTheme="minorEastAsia" w:cstheme="minorBidi"/>
            <w:noProof/>
          </w:rPr>
          <w:tab/>
        </w:r>
        <w:r w:rsidR="00A87E9D" w:rsidRPr="00823EB0">
          <w:rPr>
            <w:rStyle w:val="Hyperlink"/>
            <w:rFonts w:eastAsiaTheme="minorHAnsi"/>
            <w:noProof/>
          </w:rPr>
          <w:t>High level MBS data on biopsy of lung cancer items 30696 and 30710, 2014-15</w:t>
        </w:r>
        <w:r w:rsidR="00A87E9D">
          <w:rPr>
            <w:noProof/>
            <w:webHidden/>
          </w:rPr>
          <w:tab/>
        </w:r>
        <w:r w:rsidR="00A87E9D">
          <w:rPr>
            <w:noProof/>
            <w:webHidden/>
          </w:rPr>
          <w:fldChar w:fldCharType="begin"/>
        </w:r>
        <w:r w:rsidR="00A87E9D">
          <w:rPr>
            <w:noProof/>
            <w:webHidden/>
          </w:rPr>
          <w:instrText xml:space="preserve"> PAGEREF _Toc478721557 \h </w:instrText>
        </w:r>
        <w:r w:rsidR="00A87E9D">
          <w:rPr>
            <w:noProof/>
            <w:webHidden/>
          </w:rPr>
        </w:r>
        <w:r w:rsidR="00A87E9D">
          <w:rPr>
            <w:noProof/>
            <w:webHidden/>
          </w:rPr>
          <w:fldChar w:fldCharType="separate"/>
        </w:r>
        <w:r>
          <w:rPr>
            <w:noProof/>
            <w:webHidden/>
          </w:rPr>
          <w:t>56</w:t>
        </w:r>
        <w:r w:rsidR="00A87E9D">
          <w:rPr>
            <w:noProof/>
            <w:webHidden/>
          </w:rPr>
          <w:fldChar w:fldCharType="end"/>
        </w:r>
      </w:hyperlink>
    </w:p>
    <w:p w14:paraId="1858D156" w14:textId="4D18AD21" w:rsidR="00A87E9D" w:rsidRDefault="00F2203C">
      <w:pPr>
        <w:pStyle w:val="TOC2"/>
        <w:rPr>
          <w:rFonts w:eastAsiaTheme="minorEastAsia" w:cstheme="minorBidi"/>
          <w:noProof/>
        </w:rPr>
      </w:pPr>
      <w:hyperlink w:anchor="_Toc478721558" w:history="1">
        <w:r w:rsidR="00A87E9D" w:rsidRPr="00823EB0">
          <w:rPr>
            <w:rStyle w:val="Hyperlink"/>
            <w:rFonts w:eastAsiaTheme="minorHAnsi"/>
            <w:noProof/>
          </w:rPr>
          <w:t>Table 24:</w:t>
        </w:r>
        <w:r w:rsidR="00A87E9D">
          <w:rPr>
            <w:rFonts w:eastAsiaTheme="minorEastAsia" w:cstheme="minorBidi"/>
            <w:noProof/>
          </w:rPr>
          <w:tab/>
        </w:r>
        <w:r w:rsidR="00A87E9D" w:rsidRPr="00823EB0">
          <w:rPr>
            <w:rStyle w:val="Hyperlink"/>
            <w:rFonts w:eastAsiaTheme="minorHAnsi"/>
            <w:noProof/>
          </w:rPr>
          <w:t>High level MBS data on bronchospirometry item 11500, 2014-15 (date of processing)</w:t>
        </w:r>
        <w:r w:rsidR="00A87E9D">
          <w:rPr>
            <w:noProof/>
            <w:webHidden/>
          </w:rPr>
          <w:tab/>
        </w:r>
        <w:r w:rsidR="00A87E9D">
          <w:rPr>
            <w:noProof/>
            <w:webHidden/>
          </w:rPr>
          <w:fldChar w:fldCharType="begin"/>
        </w:r>
        <w:r w:rsidR="00A87E9D">
          <w:rPr>
            <w:noProof/>
            <w:webHidden/>
          </w:rPr>
          <w:instrText xml:space="preserve"> PAGEREF _Toc478721558 \h </w:instrText>
        </w:r>
        <w:r w:rsidR="00A87E9D">
          <w:rPr>
            <w:noProof/>
            <w:webHidden/>
          </w:rPr>
        </w:r>
        <w:r w:rsidR="00A87E9D">
          <w:rPr>
            <w:noProof/>
            <w:webHidden/>
          </w:rPr>
          <w:fldChar w:fldCharType="separate"/>
        </w:r>
        <w:r>
          <w:rPr>
            <w:noProof/>
            <w:webHidden/>
          </w:rPr>
          <w:t>58</w:t>
        </w:r>
        <w:r w:rsidR="00A87E9D">
          <w:rPr>
            <w:noProof/>
            <w:webHidden/>
          </w:rPr>
          <w:fldChar w:fldCharType="end"/>
        </w:r>
      </w:hyperlink>
    </w:p>
    <w:p w14:paraId="22639507" w14:textId="678ACE70" w:rsidR="00A87E9D" w:rsidRDefault="00F2203C">
      <w:pPr>
        <w:pStyle w:val="TOC2"/>
        <w:rPr>
          <w:rFonts w:eastAsiaTheme="minorEastAsia" w:cstheme="minorBidi"/>
          <w:noProof/>
        </w:rPr>
      </w:pPr>
      <w:hyperlink w:anchor="_Toc478721559" w:history="1">
        <w:r w:rsidR="00A87E9D" w:rsidRPr="00823EB0">
          <w:rPr>
            <w:rStyle w:val="Hyperlink"/>
            <w:rFonts w:eastAsiaTheme="minorHAnsi"/>
            <w:noProof/>
          </w:rPr>
          <w:t>Table 25:</w:t>
        </w:r>
        <w:r w:rsidR="00A87E9D">
          <w:rPr>
            <w:rFonts w:eastAsiaTheme="minorEastAsia" w:cstheme="minorBidi"/>
            <w:noProof/>
          </w:rPr>
          <w:tab/>
        </w:r>
        <w:r w:rsidR="00A87E9D" w:rsidRPr="00823EB0">
          <w:rPr>
            <w:rStyle w:val="Hyperlink"/>
            <w:rFonts w:eastAsiaTheme="minorHAnsi"/>
            <w:noProof/>
          </w:rPr>
          <w:t>High level MBS data on spirometry item 11509, 2014-15 (date of processing)</w:t>
        </w:r>
        <w:r w:rsidR="00A87E9D">
          <w:rPr>
            <w:noProof/>
            <w:webHidden/>
          </w:rPr>
          <w:tab/>
        </w:r>
        <w:r w:rsidR="00A87E9D">
          <w:rPr>
            <w:noProof/>
            <w:webHidden/>
          </w:rPr>
          <w:fldChar w:fldCharType="begin"/>
        </w:r>
        <w:r w:rsidR="00A87E9D">
          <w:rPr>
            <w:noProof/>
            <w:webHidden/>
          </w:rPr>
          <w:instrText xml:space="preserve"> PAGEREF _Toc478721559 \h </w:instrText>
        </w:r>
        <w:r w:rsidR="00A87E9D">
          <w:rPr>
            <w:noProof/>
            <w:webHidden/>
          </w:rPr>
        </w:r>
        <w:r w:rsidR="00A87E9D">
          <w:rPr>
            <w:noProof/>
            <w:webHidden/>
          </w:rPr>
          <w:fldChar w:fldCharType="separate"/>
        </w:r>
        <w:r>
          <w:rPr>
            <w:noProof/>
            <w:webHidden/>
          </w:rPr>
          <w:t>59</w:t>
        </w:r>
        <w:r w:rsidR="00A87E9D">
          <w:rPr>
            <w:noProof/>
            <w:webHidden/>
          </w:rPr>
          <w:fldChar w:fldCharType="end"/>
        </w:r>
      </w:hyperlink>
    </w:p>
    <w:p w14:paraId="6158FDA4" w14:textId="539AFDDC" w:rsidR="00A87E9D" w:rsidRDefault="00F2203C">
      <w:pPr>
        <w:pStyle w:val="TOC2"/>
        <w:rPr>
          <w:rFonts w:eastAsiaTheme="minorEastAsia" w:cstheme="minorBidi"/>
          <w:noProof/>
        </w:rPr>
      </w:pPr>
      <w:hyperlink w:anchor="_Toc478721560" w:history="1">
        <w:r w:rsidR="00A87E9D" w:rsidRPr="00823EB0">
          <w:rPr>
            <w:rStyle w:val="Hyperlink"/>
            <w:rFonts w:eastAsiaTheme="minorHAnsi"/>
            <w:noProof/>
          </w:rPr>
          <w:t>Table B1:</w:t>
        </w:r>
        <w:r w:rsidR="00A87E9D">
          <w:rPr>
            <w:rFonts w:eastAsiaTheme="minorEastAsia" w:cstheme="minorBidi"/>
            <w:noProof/>
          </w:rPr>
          <w:tab/>
        </w:r>
        <w:r w:rsidR="00A87E9D" w:rsidRPr="00823EB0">
          <w:rPr>
            <w:rStyle w:val="Hyperlink"/>
            <w:rFonts w:eastAsiaTheme="minorHAnsi"/>
            <w:noProof/>
          </w:rPr>
          <w:t>Percentage of patients by age groups who received a service under item 11500 in 2014-15</w:t>
        </w:r>
        <w:r w:rsidR="00A87E9D">
          <w:rPr>
            <w:noProof/>
            <w:webHidden/>
          </w:rPr>
          <w:tab/>
        </w:r>
        <w:r w:rsidR="00A87E9D">
          <w:rPr>
            <w:noProof/>
            <w:webHidden/>
          </w:rPr>
          <w:fldChar w:fldCharType="begin"/>
        </w:r>
        <w:r w:rsidR="00A87E9D">
          <w:rPr>
            <w:noProof/>
            <w:webHidden/>
          </w:rPr>
          <w:instrText xml:space="preserve"> PAGEREF _Toc478721560 \h </w:instrText>
        </w:r>
        <w:r w:rsidR="00A87E9D">
          <w:rPr>
            <w:noProof/>
            <w:webHidden/>
          </w:rPr>
        </w:r>
        <w:r w:rsidR="00A87E9D">
          <w:rPr>
            <w:noProof/>
            <w:webHidden/>
          </w:rPr>
          <w:fldChar w:fldCharType="separate"/>
        </w:r>
        <w:r>
          <w:rPr>
            <w:noProof/>
            <w:webHidden/>
          </w:rPr>
          <w:t>76</w:t>
        </w:r>
        <w:r w:rsidR="00A87E9D">
          <w:rPr>
            <w:noProof/>
            <w:webHidden/>
          </w:rPr>
          <w:fldChar w:fldCharType="end"/>
        </w:r>
      </w:hyperlink>
    </w:p>
    <w:p w14:paraId="2E075D16" w14:textId="1E00A8FC" w:rsidR="00A87E9D" w:rsidRDefault="00F2203C">
      <w:pPr>
        <w:pStyle w:val="TOC2"/>
        <w:rPr>
          <w:rFonts w:eastAsiaTheme="minorEastAsia" w:cstheme="minorBidi"/>
          <w:noProof/>
        </w:rPr>
      </w:pPr>
      <w:hyperlink w:anchor="_Toc478721561" w:history="1">
        <w:r w:rsidR="00A87E9D" w:rsidRPr="00823EB0">
          <w:rPr>
            <w:rStyle w:val="Hyperlink"/>
            <w:rFonts w:eastAsiaTheme="minorHAnsi"/>
            <w:noProof/>
          </w:rPr>
          <w:t>Table B2:</w:t>
        </w:r>
        <w:r w:rsidR="00A87E9D">
          <w:rPr>
            <w:rFonts w:eastAsiaTheme="minorEastAsia" w:cstheme="minorBidi"/>
            <w:noProof/>
          </w:rPr>
          <w:tab/>
        </w:r>
        <w:r w:rsidR="00A87E9D" w:rsidRPr="00823EB0">
          <w:rPr>
            <w:rStyle w:val="Hyperlink"/>
            <w:rFonts w:eastAsiaTheme="minorHAnsi"/>
            <w:noProof/>
          </w:rPr>
          <w:t>Percentage of services by specialty group - 11500, 2014-15</w:t>
        </w:r>
        <w:r w:rsidR="00A87E9D">
          <w:rPr>
            <w:noProof/>
            <w:webHidden/>
          </w:rPr>
          <w:tab/>
        </w:r>
        <w:r w:rsidR="00A87E9D">
          <w:rPr>
            <w:noProof/>
            <w:webHidden/>
          </w:rPr>
          <w:fldChar w:fldCharType="begin"/>
        </w:r>
        <w:r w:rsidR="00A87E9D">
          <w:rPr>
            <w:noProof/>
            <w:webHidden/>
          </w:rPr>
          <w:instrText xml:space="preserve"> PAGEREF _Toc478721561 \h </w:instrText>
        </w:r>
        <w:r w:rsidR="00A87E9D">
          <w:rPr>
            <w:noProof/>
            <w:webHidden/>
          </w:rPr>
        </w:r>
        <w:r w:rsidR="00A87E9D">
          <w:rPr>
            <w:noProof/>
            <w:webHidden/>
          </w:rPr>
          <w:fldChar w:fldCharType="separate"/>
        </w:r>
        <w:r>
          <w:rPr>
            <w:noProof/>
            <w:webHidden/>
          </w:rPr>
          <w:t>76</w:t>
        </w:r>
        <w:r w:rsidR="00A87E9D">
          <w:rPr>
            <w:noProof/>
            <w:webHidden/>
          </w:rPr>
          <w:fldChar w:fldCharType="end"/>
        </w:r>
      </w:hyperlink>
    </w:p>
    <w:p w14:paraId="6B8AED08" w14:textId="610567E5" w:rsidR="00A87E9D" w:rsidRDefault="00F2203C">
      <w:pPr>
        <w:pStyle w:val="TOC2"/>
        <w:rPr>
          <w:rFonts w:eastAsiaTheme="minorEastAsia" w:cstheme="minorBidi"/>
          <w:noProof/>
        </w:rPr>
      </w:pPr>
      <w:hyperlink w:anchor="_Toc478721562" w:history="1">
        <w:r w:rsidR="00A87E9D" w:rsidRPr="00823EB0">
          <w:rPr>
            <w:rStyle w:val="Hyperlink"/>
            <w:rFonts w:eastAsiaTheme="minorHAnsi"/>
            <w:noProof/>
          </w:rPr>
          <w:t>Table B3: Total number of services and benefits paid for item 11500 by financial year</w:t>
        </w:r>
        <w:r w:rsidR="00A87E9D">
          <w:rPr>
            <w:noProof/>
            <w:webHidden/>
          </w:rPr>
          <w:tab/>
        </w:r>
        <w:r w:rsidR="00A87E9D">
          <w:rPr>
            <w:noProof/>
            <w:webHidden/>
          </w:rPr>
          <w:fldChar w:fldCharType="begin"/>
        </w:r>
        <w:r w:rsidR="00A87E9D">
          <w:rPr>
            <w:noProof/>
            <w:webHidden/>
          </w:rPr>
          <w:instrText xml:space="preserve"> PAGEREF _Toc478721562 \h </w:instrText>
        </w:r>
        <w:r w:rsidR="00A87E9D">
          <w:rPr>
            <w:noProof/>
            <w:webHidden/>
          </w:rPr>
        </w:r>
        <w:r w:rsidR="00A87E9D">
          <w:rPr>
            <w:noProof/>
            <w:webHidden/>
          </w:rPr>
          <w:fldChar w:fldCharType="separate"/>
        </w:r>
        <w:r>
          <w:rPr>
            <w:noProof/>
            <w:webHidden/>
          </w:rPr>
          <w:t>77</w:t>
        </w:r>
        <w:r w:rsidR="00A87E9D">
          <w:rPr>
            <w:noProof/>
            <w:webHidden/>
          </w:rPr>
          <w:fldChar w:fldCharType="end"/>
        </w:r>
      </w:hyperlink>
    </w:p>
    <w:p w14:paraId="4BB43627" w14:textId="02ACD69D" w:rsidR="00A87E9D" w:rsidRDefault="00F2203C">
      <w:pPr>
        <w:pStyle w:val="TOC2"/>
        <w:rPr>
          <w:rFonts w:eastAsiaTheme="minorEastAsia" w:cstheme="minorBidi"/>
          <w:noProof/>
        </w:rPr>
      </w:pPr>
      <w:hyperlink w:anchor="_Toc478721563" w:history="1">
        <w:r w:rsidR="00A87E9D" w:rsidRPr="00823EB0">
          <w:rPr>
            <w:rStyle w:val="Hyperlink"/>
            <w:rFonts w:eastAsiaTheme="minorHAnsi"/>
            <w:noProof/>
          </w:rPr>
          <w:t>Table B4: Percentage of patients by age groups who received a service under item 11509, 2014-15</w:t>
        </w:r>
        <w:r w:rsidR="00A87E9D">
          <w:rPr>
            <w:noProof/>
            <w:webHidden/>
          </w:rPr>
          <w:tab/>
        </w:r>
        <w:r w:rsidR="00A87E9D">
          <w:rPr>
            <w:noProof/>
            <w:webHidden/>
          </w:rPr>
          <w:fldChar w:fldCharType="begin"/>
        </w:r>
        <w:r w:rsidR="00A87E9D">
          <w:rPr>
            <w:noProof/>
            <w:webHidden/>
          </w:rPr>
          <w:instrText xml:space="preserve"> PAGEREF _Toc478721563 \h </w:instrText>
        </w:r>
        <w:r w:rsidR="00A87E9D">
          <w:rPr>
            <w:noProof/>
            <w:webHidden/>
          </w:rPr>
        </w:r>
        <w:r w:rsidR="00A87E9D">
          <w:rPr>
            <w:noProof/>
            <w:webHidden/>
          </w:rPr>
          <w:fldChar w:fldCharType="separate"/>
        </w:r>
        <w:r>
          <w:rPr>
            <w:noProof/>
            <w:webHidden/>
          </w:rPr>
          <w:t>77</w:t>
        </w:r>
        <w:r w:rsidR="00A87E9D">
          <w:rPr>
            <w:noProof/>
            <w:webHidden/>
          </w:rPr>
          <w:fldChar w:fldCharType="end"/>
        </w:r>
      </w:hyperlink>
    </w:p>
    <w:p w14:paraId="5B8E65E2" w14:textId="3283EEB3" w:rsidR="00A87E9D" w:rsidRDefault="00F2203C">
      <w:pPr>
        <w:pStyle w:val="TOC2"/>
        <w:rPr>
          <w:rFonts w:eastAsiaTheme="minorEastAsia" w:cstheme="minorBidi"/>
          <w:noProof/>
        </w:rPr>
      </w:pPr>
      <w:hyperlink w:anchor="_Toc478721564" w:history="1">
        <w:r w:rsidR="00A87E9D" w:rsidRPr="00823EB0">
          <w:rPr>
            <w:rStyle w:val="Hyperlink"/>
            <w:rFonts w:eastAsiaTheme="minorHAnsi"/>
            <w:noProof/>
          </w:rPr>
          <w:t>Table B5:</w:t>
        </w:r>
        <w:r w:rsidR="00A87E9D">
          <w:rPr>
            <w:rFonts w:eastAsiaTheme="minorEastAsia" w:cstheme="minorBidi"/>
            <w:noProof/>
          </w:rPr>
          <w:tab/>
        </w:r>
        <w:r w:rsidR="00A87E9D" w:rsidRPr="00823EB0">
          <w:rPr>
            <w:rStyle w:val="Hyperlink"/>
            <w:rFonts w:eastAsiaTheme="minorHAnsi"/>
            <w:noProof/>
          </w:rPr>
          <w:t>Number of services by state, item 11509, 2014-15</w:t>
        </w:r>
        <w:r w:rsidR="00A87E9D">
          <w:rPr>
            <w:noProof/>
            <w:webHidden/>
          </w:rPr>
          <w:tab/>
        </w:r>
        <w:r w:rsidR="00A87E9D">
          <w:rPr>
            <w:noProof/>
            <w:webHidden/>
          </w:rPr>
          <w:fldChar w:fldCharType="begin"/>
        </w:r>
        <w:r w:rsidR="00A87E9D">
          <w:rPr>
            <w:noProof/>
            <w:webHidden/>
          </w:rPr>
          <w:instrText xml:space="preserve"> PAGEREF _Toc478721564 \h </w:instrText>
        </w:r>
        <w:r w:rsidR="00A87E9D">
          <w:rPr>
            <w:noProof/>
            <w:webHidden/>
          </w:rPr>
        </w:r>
        <w:r w:rsidR="00A87E9D">
          <w:rPr>
            <w:noProof/>
            <w:webHidden/>
          </w:rPr>
          <w:fldChar w:fldCharType="separate"/>
        </w:r>
        <w:r>
          <w:rPr>
            <w:noProof/>
            <w:webHidden/>
          </w:rPr>
          <w:t>78</w:t>
        </w:r>
        <w:r w:rsidR="00A87E9D">
          <w:rPr>
            <w:noProof/>
            <w:webHidden/>
          </w:rPr>
          <w:fldChar w:fldCharType="end"/>
        </w:r>
      </w:hyperlink>
    </w:p>
    <w:p w14:paraId="00E788A4" w14:textId="7E8B0EE5" w:rsidR="00A87E9D" w:rsidRDefault="00F2203C">
      <w:pPr>
        <w:pStyle w:val="TOC2"/>
        <w:rPr>
          <w:rFonts w:eastAsiaTheme="minorEastAsia" w:cstheme="minorBidi"/>
          <w:noProof/>
        </w:rPr>
      </w:pPr>
      <w:hyperlink w:anchor="_Toc478721565" w:history="1">
        <w:r w:rsidR="00A87E9D" w:rsidRPr="00823EB0">
          <w:rPr>
            <w:rStyle w:val="Hyperlink"/>
            <w:rFonts w:eastAsiaTheme="minorHAnsi"/>
            <w:noProof/>
          </w:rPr>
          <w:t>Table B6:</w:t>
        </w:r>
        <w:r w:rsidR="00A87E9D">
          <w:rPr>
            <w:rFonts w:eastAsiaTheme="minorEastAsia" w:cstheme="minorBidi"/>
            <w:noProof/>
          </w:rPr>
          <w:tab/>
        </w:r>
        <w:r w:rsidR="00A87E9D" w:rsidRPr="00823EB0">
          <w:rPr>
            <w:rStyle w:val="Hyperlink"/>
            <w:rFonts w:eastAsiaTheme="minorHAnsi"/>
            <w:noProof/>
          </w:rPr>
          <w:t>Percentage of services by specialty group - 11509, 2014-15</w:t>
        </w:r>
        <w:r w:rsidR="00A87E9D">
          <w:rPr>
            <w:noProof/>
            <w:webHidden/>
          </w:rPr>
          <w:tab/>
        </w:r>
        <w:r w:rsidR="00A87E9D">
          <w:rPr>
            <w:noProof/>
            <w:webHidden/>
          </w:rPr>
          <w:fldChar w:fldCharType="begin"/>
        </w:r>
        <w:r w:rsidR="00A87E9D">
          <w:rPr>
            <w:noProof/>
            <w:webHidden/>
          </w:rPr>
          <w:instrText xml:space="preserve"> PAGEREF _Toc478721565 \h </w:instrText>
        </w:r>
        <w:r w:rsidR="00A87E9D">
          <w:rPr>
            <w:noProof/>
            <w:webHidden/>
          </w:rPr>
        </w:r>
        <w:r w:rsidR="00A87E9D">
          <w:rPr>
            <w:noProof/>
            <w:webHidden/>
          </w:rPr>
          <w:fldChar w:fldCharType="separate"/>
        </w:r>
        <w:r>
          <w:rPr>
            <w:noProof/>
            <w:webHidden/>
          </w:rPr>
          <w:t>78</w:t>
        </w:r>
        <w:r w:rsidR="00A87E9D">
          <w:rPr>
            <w:noProof/>
            <w:webHidden/>
          </w:rPr>
          <w:fldChar w:fldCharType="end"/>
        </w:r>
      </w:hyperlink>
    </w:p>
    <w:p w14:paraId="4D71A084" w14:textId="76B9CC2A" w:rsidR="00A87E9D" w:rsidRDefault="00F2203C">
      <w:pPr>
        <w:pStyle w:val="TOC2"/>
        <w:rPr>
          <w:rFonts w:eastAsiaTheme="minorEastAsia" w:cstheme="minorBidi"/>
          <w:noProof/>
        </w:rPr>
      </w:pPr>
      <w:hyperlink w:anchor="_Toc478721566" w:history="1">
        <w:r w:rsidR="00A87E9D" w:rsidRPr="00823EB0">
          <w:rPr>
            <w:rStyle w:val="Hyperlink"/>
            <w:rFonts w:eastAsiaTheme="minorHAnsi"/>
            <w:noProof/>
          </w:rPr>
          <w:t>Table B7:</w:t>
        </w:r>
        <w:r w:rsidR="00A87E9D">
          <w:rPr>
            <w:rFonts w:eastAsiaTheme="minorEastAsia" w:cstheme="minorBidi"/>
            <w:noProof/>
          </w:rPr>
          <w:tab/>
        </w:r>
        <w:r w:rsidR="00A87E9D" w:rsidRPr="00823EB0">
          <w:rPr>
            <w:rStyle w:val="Hyperlink"/>
            <w:rFonts w:eastAsiaTheme="minorHAnsi"/>
            <w:noProof/>
          </w:rPr>
          <w:t>Same day item combinations - item 11509 with other MBS items, 2014-15</w:t>
        </w:r>
        <w:r w:rsidR="00A87E9D">
          <w:rPr>
            <w:noProof/>
            <w:webHidden/>
          </w:rPr>
          <w:tab/>
        </w:r>
        <w:r w:rsidR="00A87E9D">
          <w:rPr>
            <w:noProof/>
            <w:webHidden/>
          </w:rPr>
          <w:fldChar w:fldCharType="begin"/>
        </w:r>
        <w:r w:rsidR="00A87E9D">
          <w:rPr>
            <w:noProof/>
            <w:webHidden/>
          </w:rPr>
          <w:instrText xml:space="preserve"> PAGEREF _Toc478721566 \h </w:instrText>
        </w:r>
        <w:r w:rsidR="00A87E9D">
          <w:rPr>
            <w:noProof/>
            <w:webHidden/>
          </w:rPr>
        </w:r>
        <w:r w:rsidR="00A87E9D">
          <w:rPr>
            <w:noProof/>
            <w:webHidden/>
          </w:rPr>
          <w:fldChar w:fldCharType="separate"/>
        </w:r>
        <w:r>
          <w:rPr>
            <w:noProof/>
            <w:webHidden/>
          </w:rPr>
          <w:t>78</w:t>
        </w:r>
        <w:r w:rsidR="00A87E9D">
          <w:rPr>
            <w:noProof/>
            <w:webHidden/>
          </w:rPr>
          <w:fldChar w:fldCharType="end"/>
        </w:r>
      </w:hyperlink>
    </w:p>
    <w:p w14:paraId="1B27D6DA" w14:textId="639524A6" w:rsidR="00A87E9D" w:rsidRDefault="00F2203C">
      <w:pPr>
        <w:pStyle w:val="TOC2"/>
        <w:rPr>
          <w:rFonts w:eastAsiaTheme="minorEastAsia" w:cstheme="minorBidi"/>
          <w:noProof/>
        </w:rPr>
      </w:pPr>
      <w:hyperlink w:anchor="_Toc478721567" w:history="1">
        <w:r w:rsidR="00A87E9D" w:rsidRPr="00823EB0">
          <w:rPr>
            <w:rStyle w:val="Hyperlink"/>
            <w:rFonts w:eastAsiaTheme="minorHAnsi"/>
            <w:noProof/>
            <w:lang w:val="en-US"/>
          </w:rPr>
          <w:t>Table D1:</w:t>
        </w:r>
        <w:r w:rsidR="00A87E9D">
          <w:rPr>
            <w:rFonts w:eastAsiaTheme="minorEastAsia" w:cstheme="minorBidi"/>
            <w:noProof/>
          </w:rPr>
          <w:tab/>
        </w:r>
        <w:r w:rsidR="00A87E9D" w:rsidRPr="00823EB0">
          <w:rPr>
            <w:rStyle w:val="Hyperlink"/>
            <w:rFonts w:eastAsiaTheme="minorHAnsi"/>
            <w:noProof/>
            <w:lang w:val="en-US"/>
          </w:rPr>
          <w:t>Number of services by age group – item 11503, 2014-15</w:t>
        </w:r>
        <w:r w:rsidR="00A87E9D">
          <w:rPr>
            <w:noProof/>
            <w:webHidden/>
          </w:rPr>
          <w:tab/>
        </w:r>
        <w:r w:rsidR="00A87E9D">
          <w:rPr>
            <w:noProof/>
            <w:webHidden/>
          </w:rPr>
          <w:fldChar w:fldCharType="begin"/>
        </w:r>
        <w:r w:rsidR="00A87E9D">
          <w:rPr>
            <w:noProof/>
            <w:webHidden/>
          </w:rPr>
          <w:instrText xml:space="preserve"> PAGEREF _Toc478721567 \h </w:instrText>
        </w:r>
        <w:r w:rsidR="00A87E9D">
          <w:rPr>
            <w:noProof/>
            <w:webHidden/>
          </w:rPr>
        </w:r>
        <w:r w:rsidR="00A87E9D">
          <w:rPr>
            <w:noProof/>
            <w:webHidden/>
          </w:rPr>
          <w:fldChar w:fldCharType="separate"/>
        </w:r>
        <w:r>
          <w:rPr>
            <w:noProof/>
            <w:webHidden/>
          </w:rPr>
          <w:t>192</w:t>
        </w:r>
        <w:r w:rsidR="00A87E9D">
          <w:rPr>
            <w:noProof/>
            <w:webHidden/>
          </w:rPr>
          <w:fldChar w:fldCharType="end"/>
        </w:r>
      </w:hyperlink>
    </w:p>
    <w:p w14:paraId="626A218A" w14:textId="398BCD8E" w:rsidR="00A87E9D" w:rsidRDefault="00F2203C">
      <w:pPr>
        <w:pStyle w:val="TOC2"/>
        <w:rPr>
          <w:rFonts w:eastAsiaTheme="minorEastAsia" w:cstheme="minorBidi"/>
          <w:noProof/>
        </w:rPr>
      </w:pPr>
      <w:hyperlink w:anchor="_Toc478721568" w:history="1">
        <w:r w:rsidR="00A87E9D" w:rsidRPr="00823EB0">
          <w:rPr>
            <w:rStyle w:val="Hyperlink"/>
            <w:rFonts w:eastAsiaTheme="minorHAnsi"/>
            <w:noProof/>
            <w:lang w:val="en-US"/>
          </w:rPr>
          <w:t>Table D2:</w:t>
        </w:r>
        <w:r w:rsidR="00A87E9D">
          <w:rPr>
            <w:rFonts w:eastAsiaTheme="minorEastAsia" w:cstheme="minorBidi"/>
            <w:noProof/>
          </w:rPr>
          <w:tab/>
        </w:r>
        <w:r w:rsidR="00A87E9D" w:rsidRPr="00823EB0">
          <w:rPr>
            <w:rStyle w:val="Hyperlink"/>
            <w:rFonts w:eastAsiaTheme="minorHAnsi"/>
            <w:noProof/>
            <w:lang w:val="en-US"/>
          </w:rPr>
          <w:t>Top 10 same day item combinations - item 11503 with other MBS items, 2014-15</w:t>
        </w:r>
        <w:r w:rsidR="00A87E9D">
          <w:rPr>
            <w:noProof/>
            <w:webHidden/>
          </w:rPr>
          <w:tab/>
        </w:r>
        <w:r w:rsidR="00A87E9D">
          <w:rPr>
            <w:noProof/>
            <w:webHidden/>
          </w:rPr>
          <w:fldChar w:fldCharType="begin"/>
        </w:r>
        <w:r w:rsidR="00A87E9D">
          <w:rPr>
            <w:noProof/>
            <w:webHidden/>
          </w:rPr>
          <w:instrText xml:space="preserve"> PAGEREF _Toc478721568 \h </w:instrText>
        </w:r>
        <w:r w:rsidR="00A87E9D">
          <w:rPr>
            <w:noProof/>
            <w:webHidden/>
          </w:rPr>
        </w:r>
        <w:r w:rsidR="00A87E9D">
          <w:rPr>
            <w:noProof/>
            <w:webHidden/>
          </w:rPr>
          <w:fldChar w:fldCharType="separate"/>
        </w:r>
        <w:r>
          <w:rPr>
            <w:noProof/>
            <w:webHidden/>
          </w:rPr>
          <w:t>193</w:t>
        </w:r>
        <w:r w:rsidR="00A87E9D">
          <w:rPr>
            <w:noProof/>
            <w:webHidden/>
          </w:rPr>
          <w:fldChar w:fldCharType="end"/>
        </w:r>
      </w:hyperlink>
    </w:p>
    <w:p w14:paraId="1C959BC1" w14:textId="5BE882E9" w:rsidR="00A87E9D" w:rsidRDefault="00F2203C">
      <w:pPr>
        <w:pStyle w:val="TOC2"/>
        <w:rPr>
          <w:rFonts w:eastAsiaTheme="minorEastAsia" w:cstheme="minorBidi"/>
          <w:noProof/>
        </w:rPr>
      </w:pPr>
      <w:hyperlink w:anchor="_Toc478721569" w:history="1">
        <w:r w:rsidR="00A87E9D" w:rsidRPr="00823EB0">
          <w:rPr>
            <w:rStyle w:val="Hyperlink"/>
            <w:rFonts w:eastAsiaTheme="minorHAnsi"/>
            <w:noProof/>
            <w:lang w:val="en-US"/>
          </w:rPr>
          <w:t xml:space="preserve">Table </w:t>
        </w:r>
        <w:r w:rsidR="00A87E9D" w:rsidRPr="00823EB0">
          <w:rPr>
            <w:rStyle w:val="Hyperlink"/>
            <w:rFonts w:eastAsiaTheme="minorHAnsi"/>
            <w:noProof/>
          </w:rPr>
          <w:t>D3</w:t>
        </w:r>
        <w:r w:rsidR="00A87E9D" w:rsidRPr="00823EB0">
          <w:rPr>
            <w:rStyle w:val="Hyperlink"/>
            <w:rFonts w:eastAsiaTheme="minorHAnsi"/>
            <w:noProof/>
            <w:lang w:val="en-US"/>
          </w:rPr>
          <w:t>:</w:t>
        </w:r>
        <w:r w:rsidR="00A87E9D">
          <w:rPr>
            <w:rFonts w:eastAsiaTheme="minorEastAsia" w:cstheme="minorBidi"/>
            <w:noProof/>
          </w:rPr>
          <w:tab/>
        </w:r>
        <w:r w:rsidR="00A87E9D" w:rsidRPr="00823EB0">
          <w:rPr>
            <w:rStyle w:val="Hyperlink"/>
            <w:rFonts w:eastAsiaTheme="minorHAnsi"/>
            <w:noProof/>
            <w:lang w:val="en-US"/>
          </w:rPr>
          <w:t>Number of services by age group – 11506, 2014-15</w:t>
        </w:r>
        <w:r w:rsidR="00A87E9D">
          <w:rPr>
            <w:noProof/>
            <w:webHidden/>
          </w:rPr>
          <w:tab/>
        </w:r>
        <w:r w:rsidR="00A87E9D">
          <w:rPr>
            <w:noProof/>
            <w:webHidden/>
          </w:rPr>
          <w:fldChar w:fldCharType="begin"/>
        </w:r>
        <w:r w:rsidR="00A87E9D">
          <w:rPr>
            <w:noProof/>
            <w:webHidden/>
          </w:rPr>
          <w:instrText xml:space="preserve"> PAGEREF _Toc478721569 \h </w:instrText>
        </w:r>
        <w:r w:rsidR="00A87E9D">
          <w:rPr>
            <w:noProof/>
            <w:webHidden/>
          </w:rPr>
        </w:r>
        <w:r w:rsidR="00A87E9D">
          <w:rPr>
            <w:noProof/>
            <w:webHidden/>
          </w:rPr>
          <w:fldChar w:fldCharType="separate"/>
        </w:r>
        <w:r>
          <w:rPr>
            <w:noProof/>
            <w:webHidden/>
          </w:rPr>
          <w:t>193</w:t>
        </w:r>
        <w:r w:rsidR="00A87E9D">
          <w:rPr>
            <w:noProof/>
            <w:webHidden/>
          </w:rPr>
          <w:fldChar w:fldCharType="end"/>
        </w:r>
      </w:hyperlink>
    </w:p>
    <w:p w14:paraId="3284EED1" w14:textId="656C8670" w:rsidR="00A87E9D" w:rsidRDefault="00F2203C">
      <w:pPr>
        <w:pStyle w:val="TOC2"/>
        <w:rPr>
          <w:rFonts w:eastAsiaTheme="minorEastAsia" w:cstheme="minorBidi"/>
          <w:noProof/>
        </w:rPr>
      </w:pPr>
      <w:hyperlink w:anchor="_Toc478721570" w:history="1">
        <w:r w:rsidR="00A87E9D" w:rsidRPr="00823EB0">
          <w:rPr>
            <w:rStyle w:val="Hyperlink"/>
            <w:rFonts w:eastAsiaTheme="minorHAnsi"/>
            <w:noProof/>
            <w:lang w:val="en-US"/>
          </w:rPr>
          <w:t>Table D4:</w:t>
        </w:r>
        <w:r w:rsidR="00A87E9D">
          <w:rPr>
            <w:rFonts w:eastAsiaTheme="minorEastAsia" w:cstheme="minorBidi"/>
            <w:noProof/>
          </w:rPr>
          <w:tab/>
        </w:r>
        <w:r w:rsidR="00A87E9D" w:rsidRPr="00823EB0">
          <w:rPr>
            <w:rStyle w:val="Hyperlink"/>
            <w:rFonts w:eastAsiaTheme="minorHAnsi"/>
            <w:noProof/>
            <w:lang w:val="en-US"/>
          </w:rPr>
          <w:t>Top</w:t>
        </w:r>
        <w:r w:rsidR="00A87E9D" w:rsidRPr="00823EB0">
          <w:rPr>
            <w:rStyle w:val="Hyperlink"/>
            <w:rFonts w:eastAsiaTheme="minorHAnsi"/>
            <w:noProof/>
          </w:rPr>
          <w:t xml:space="preserve"> </w:t>
        </w:r>
        <w:r w:rsidR="00A87E9D" w:rsidRPr="00823EB0">
          <w:rPr>
            <w:rStyle w:val="Hyperlink"/>
            <w:rFonts w:eastAsiaTheme="minorHAnsi"/>
            <w:noProof/>
            <w:lang w:val="en-US"/>
          </w:rPr>
          <w:t>10 same day item combinations - item 11506 with other MBS items, 2014-15</w:t>
        </w:r>
        <w:r w:rsidR="00A87E9D">
          <w:rPr>
            <w:noProof/>
            <w:webHidden/>
          </w:rPr>
          <w:tab/>
        </w:r>
        <w:r w:rsidR="00A87E9D">
          <w:rPr>
            <w:noProof/>
            <w:webHidden/>
          </w:rPr>
          <w:fldChar w:fldCharType="begin"/>
        </w:r>
        <w:r w:rsidR="00A87E9D">
          <w:rPr>
            <w:noProof/>
            <w:webHidden/>
          </w:rPr>
          <w:instrText xml:space="preserve"> PAGEREF _Toc478721570 \h </w:instrText>
        </w:r>
        <w:r w:rsidR="00A87E9D">
          <w:rPr>
            <w:noProof/>
            <w:webHidden/>
          </w:rPr>
        </w:r>
        <w:r w:rsidR="00A87E9D">
          <w:rPr>
            <w:noProof/>
            <w:webHidden/>
          </w:rPr>
          <w:fldChar w:fldCharType="separate"/>
        </w:r>
        <w:r>
          <w:rPr>
            <w:noProof/>
            <w:webHidden/>
          </w:rPr>
          <w:t>194</w:t>
        </w:r>
        <w:r w:rsidR="00A87E9D">
          <w:rPr>
            <w:noProof/>
            <w:webHidden/>
          </w:rPr>
          <w:fldChar w:fldCharType="end"/>
        </w:r>
      </w:hyperlink>
    </w:p>
    <w:p w14:paraId="30CA8824" w14:textId="172DE70C" w:rsidR="00A87E9D" w:rsidRDefault="00F2203C">
      <w:pPr>
        <w:pStyle w:val="TOC2"/>
        <w:rPr>
          <w:rFonts w:eastAsiaTheme="minorEastAsia" w:cstheme="minorBidi"/>
          <w:noProof/>
        </w:rPr>
      </w:pPr>
      <w:hyperlink w:anchor="_Toc478721571" w:history="1">
        <w:r w:rsidR="00A87E9D" w:rsidRPr="00823EB0">
          <w:rPr>
            <w:rStyle w:val="Hyperlink"/>
            <w:rFonts w:eastAsiaTheme="minorHAnsi"/>
            <w:noProof/>
            <w:lang w:val="en-US"/>
          </w:rPr>
          <w:t>Table D5:</w:t>
        </w:r>
        <w:r w:rsidR="00A87E9D">
          <w:rPr>
            <w:rFonts w:eastAsiaTheme="minorEastAsia" w:cstheme="minorBidi"/>
            <w:noProof/>
          </w:rPr>
          <w:tab/>
        </w:r>
        <w:r w:rsidR="00A87E9D" w:rsidRPr="00823EB0">
          <w:rPr>
            <w:rStyle w:val="Hyperlink"/>
            <w:rFonts w:eastAsiaTheme="minorHAnsi"/>
            <w:noProof/>
            <w:lang w:val="en-US"/>
          </w:rPr>
          <w:t>Number of services by age group – 11512, 2014-15</w:t>
        </w:r>
        <w:r w:rsidR="00A87E9D">
          <w:rPr>
            <w:noProof/>
            <w:webHidden/>
          </w:rPr>
          <w:tab/>
        </w:r>
        <w:r w:rsidR="00A87E9D">
          <w:rPr>
            <w:noProof/>
            <w:webHidden/>
          </w:rPr>
          <w:fldChar w:fldCharType="begin"/>
        </w:r>
        <w:r w:rsidR="00A87E9D">
          <w:rPr>
            <w:noProof/>
            <w:webHidden/>
          </w:rPr>
          <w:instrText xml:space="preserve"> PAGEREF _Toc478721571 \h </w:instrText>
        </w:r>
        <w:r w:rsidR="00A87E9D">
          <w:rPr>
            <w:noProof/>
            <w:webHidden/>
          </w:rPr>
        </w:r>
        <w:r w:rsidR="00A87E9D">
          <w:rPr>
            <w:noProof/>
            <w:webHidden/>
          </w:rPr>
          <w:fldChar w:fldCharType="separate"/>
        </w:r>
        <w:r>
          <w:rPr>
            <w:noProof/>
            <w:webHidden/>
          </w:rPr>
          <w:t>195</w:t>
        </w:r>
        <w:r w:rsidR="00A87E9D">
          <w:rPr>
            <w:noProof/>
            <w:webHidden/>
          </w:rPr>
          <w:fldChar w:fldCharType="end"/>
        </w:r>
      </w:hyperlink>
    </w:p>
    <w:p w14:paraId="64D59A1A" w14:textId="072AF68C" w:rsidR="00A87E9D" w:rsidRDefault="00F2203C">
      <w:pPr>
        <w:pStyle w:val="TOC2"/>
        <w:rPr>
          <w:rFonts w:eastAsiaTheme="minorEastAsia" w:cstheme="minorBidi"/>
          <w:noProof/>
        </w:rPr>
      </w:pPr>
      <w:hyperlink w:anchor="_Toc478721572" w:history="1">
        <w:r w:rsidR="00A87E9D" w:rsidRPr="00823EB0">
          <w:rPr>
            <w:rStyle w:val="Hyperlink"/>
            <w:rFonts w:eastAsiaTheme="minorHAnsi"/>
            <w:noProof/>
            <w:lang w:val="en-US"/>
          </w:rPr>
          <w:t>Table D6:</w:t>
        </w:r>
        <w:r w:rsidR="00A87E9D">
          <w:rPr>
            <w:rFonts w:eastAsiaTheme="minorEastAsia" w:cstheme="minorBidi"/>
            <w:noProof/>
          </w:rPr>
          <w:tab/>
        </w:r>
        <w:r w:rsidR="00A87E9D" w:rsidRPr="00823EB0">
          <w:rPr>
            <w:rStyle w:val="Hyperlink"/>
            <w:rFonts w:eastAsiaTheme="minorHAnsi"/>
            <w:noProof/>
            <w:lang w:val="en-US"/>
          </w:rPr>
          <w:t>Top 10 same day item combinations - item 11512 with other MBS items, 2014-15</w:t>
        </w:r>
        <w:r w:rsidR="00A87E9D">
          <w:rPr>
            <w:noProof/>
            <w:webHidden/>
          </w:rPr>
          <w:tab/>
        </w:r>
        <w:r w:rsidR="00A87E9D">
          <w:rPr>
            <w:noProof/>
            <w:webHidden/>
          </w:rPr>
          <w:fldChar w:fldCharType="begin"/>
        </w:r>
        <w:r w:rsidR="00A87E9D">
          <w:rPr>
            <w:noProof/>
            <w:webHidden/>
          </w:rPr>
          <w:instrText xml:space="preserve"> PAGEREF _Toc478721572 \h </w:instrText>
        </w:r>
        <w:r w:rsidR="00A87E9D">
          <w:rPr>
            <w:noProof/>
            <w:webHidden/>
          </w:rPr>
        </w:r>
        <w:r w:rsidR="00A87E9D">
          <w:rPr>
            <w:noProof/>
            <w:webHidden/>
          </w:rPr>
          <w:fldChar w:fldCharType="separate"/>
        </w:r>
        <w:r>
          <w:rPr>
            <w:noProof/>
            <w:webHidden/>
          </w:rPr>
          <w:t>196</w:t>
        </w:r>
        <w:r w:rsidR="00A87E9D">
          <w:rPr>
            <w:noProof/>
            <w:webHidden/>
          </w:rPr>
          <w:fldChar w:fldCharType="end"/>
        </w:r>
      </w:hyperlink>
    </w:p>
    <w:p w14:paraId="7185CD28" w14:textId="56698919" w:rsidR="00A87E9D" w:rsidRDefault="00F2203C">
      <w:pPr>
        <w:pStyle w:val="TOC2"/>
        <w:rPr>
          <w:rFonts w:eastAsiaTheme="minorEastAsia" w:cstheme="minorBidi"/>
          <w:noProof/>
        </w:rPr>
      </w:pPr>
      <w:hyperlink w:anchor="_Toc478721573" w:history="1">
        <w:r w:rsidR="00A87E9D" w:rsidRPr="00823EB0">
          <w:rPr>
            <w:rStyle w:val="Hyperlink"/>
            <w:rFonts w:eastAsiaTheme="minorHAnsi"/>
            <w:noProof/>
          </w:rPr>
          <w:t>Table E1:</w:t>
        </w:r>
        <w:r w:rsidR="00A87E9D">
          <w:rPr>
            <w:rFonts w:eastAsiaTheme="minorEastAsia" w:cstheme="minorBidi"/>
            <w:noProof/>
          </w:rPr>
          <w:tab/>
        </w:r>
        <w:r w:rsidR="00A87E9D" w:rsidRPr="00823EB0">
          <w:rPr>
            <w:rStyle w:val="Hyperlink"/>
            <w:rFonts w:eastAsiaTheme="minorHAnsi"/>
            <w:noProof/>
          </w:rPr>
          <w:t>MBS items for respiratory function tests</w:t>
        </w:r>
        <w:r w:rsidR="00A87E9D">
          <w:rPr>
            <w:noProof/>
            <w:webHidden/>
          </w:rPr>
          <w:tab/>
        </w:r>
        <w:r w:rsidR="00A87E9D">
          <w:rPr>
            <w:noProof/>
            <w:webHidden/>
          </w:rPr>
          <w:fldChar w:fldCharType="begin"/>
        </w:r>
        <w:r w:rsidR="00A87E9D">
          <w:rPr>
            <w:noProof/>
            <w:webHidden/>
          </w:rPr>
          <w:instrText xml:space="preserve"> PAGEREF _Toc478721573 \h </w:instrText>
        </w:r>
        <w:r w:rsidR="00A87E9D">
          <w:rPr>
            <w:noProof/>
            <w:webHidden/>
          </w:rPr>
        </w:r>
        <w:r w:rsidR="00A87E9D">
          <w:rPr>
            <w:noProof/>
            <w:webHidden/>
          </w:rPr>
          <w:fldChar w:fldCharType="separate"/>
        </w:r>
        <w:r>
          <w:rPr>
            <w:noProof/>
            <w:webHidden/>
          </w:rPr>
          <w:t>198</w:t>
        </w:r>
        <w:r w:rsidR="00A87E9D">
          <w:rPr>
            <w:noProof/>
            <w:webHidden/>
          </w:rPr>
          <w:fldChar w:fldCharType="end"/>
        </w:r>
      </w:hyperlink>
    </w:p>
    <w:p w14:paraId="351C5F15" w14:textId="6139135C" w:rsidR="00A87E9D" w:rsidRDefault="00F2203C">
      <w:pPr>
        <w:pStyle w:val="TOC2"/>
        <w:rPr>
          <w:rFonts w:eastAsiaTheme="minorEastAsia" w:cstheme="minorBidi"/>
          <w:noProof/>
        </w:rPr>
      </w:pPr>
      <w:hyperlink w:anchor="_Toc478721574" w:history="1">
        <w:r w:rsidR="00A87E9D" w:rsidRPr="00823EB0">
          <w:rPr>
            <w:rStyle w:val="Hyperlink"/>
            <w:rFonts w:eastAsiaTheme="minorHAnsi"/>
            <w:noProof/>
          </w:rPr>
          <w:t>Table E2:</w:t>
        </w:r>
        <w:r w:rsidR="00A87E9D">
          <w:rPr>
            <w:rFonts w:eastAsiaTheme="minorEastAsia" w:cstheme="minorBidi"/>
            <w:noProof/>
          </w:rPr>
          <w:tab/>
        </w:r>
        <w:r w:rsidR="00A87E9D" w:rsidRPr="00823EB0">
          <w:rPr>
            <w:rStyle w:val="Hyperlink"/>
            <w:rFonts w:eastAsiaTheme="minorHAnsi"/>
            <w:noProof/>
          </w:rPr>
          <w:t>MBS items for sleep studies</w:t>
        </w:r>
        <w:r w:rsidR="00A87E9D">
          <w:rPr>
            <w:noProof/>
            <w:webHidden/>
          </w:rPr>
          <w:tab/>
        </w:r>
        <w:r w:rsidR="00A87E9D">
          <w:rPr>
            <w:noProof/>
            <w:webHidden/>
          </w:rPr>
          <w:fldChar w:fldCharType="begin"/>
        </w:r>
        <w:r w:rsidR="00A87E9D">
          <w:rPr>
            <w:noProof/>
            <w:webHidden/>
          </w:rPr>
          <w:instrText xml:space="preserve"> PAGEREF _Toc478721574 \h </w:instrText>
        </w:r>
        <w:r w:rsidR="00A87E9D">
          <w:rPr>
            <w:noProof/>
            <w:webHidden/>
          </w:rPr>
        </w:r>
        <w:r w:rsidR="00A87E9D">
          <w:rPr>
            <w:noProof/>
            <w:webHidden/>
          </w:rPr>
          <w:fldChar w:fldCharType="separate"/>
        </w:r>
        <w:r>
          <w:rPr>
            <w:noProof/>
            <w:webHidden/>
          </w:rPr>
          <w:t>200</w:t>
        </w:r>
        <w:r w:rsidR="00A87E9D">
          <w:rPr>
            <w:noProof/>
            <w:webHidden/>
          </w:rPr>
          <w:fldChar w:fldCharType="end"/>
        </w:r>
      </w:hyperlink>
    </w:p>
    <w:p w14:paraId="1C7883AB" w14:textId="1264A91F" w:rsidR="00A87E9D" w:rsidRDefault="00F2203C">
      <w:pPr>
        <w:pStyle w:val="TOC2"/>
        <w:rPr>
          <w:rFonts w:eastAsiaTheme="minorEastAsia" w:cstheme="minorBidi"/>
          <w:noProof/>
        </w:rPr>
      </w:pPr>
      <w:hyperlink w:anchor="_Toc478721575" w:history="1">
        <w:r w:rsidR="00A87E9D" w:rsidRPr="00823EB0">
          <w:rPr>
            <w:rStyle w:val="Hyperlink"/>
            <w:rFonts w:eastAsiaTheme="minorHAnsi"/>
            <w:noProof/>
          </w:rPr>
          <w:t>Table G1:</w:t>
        </w:r>
        <w:r w:rsidR="00A87E9D">
          <w:rPr>
            <w:rFonts w:eastAsiaTheme="minorEastAsia" w:cstheme="minorBidi"/>
            <w:noProof/>
          </w:rPr>
          <w:tab/>
        </w:r>
        <w:r w:rsidR="00A87E9D" w:rsidRPr="00823EB0">
          <w:rPr>
            <w:rStyle w:val="Hyperlink"/>
            <w:rFonts w:eastAsiaTheme="minorHAnsi"/>
            <w:noProof/>
          </w:rPr>
          <w:t>Summary of public consultation responses</w:t>
        </w:r>
        <w:r w:rsidR="00A87E9D">
          <w:rPr>
            <w:noProof/>
            <w:webHidden/>
          </w:rPr>
          <w:tab/>
        </w:r>
        <w:r w:rsidR="00A87E9D">
          <w:rPr>
            <w:noProof/>
            <w:webHidden/>
          </w:rPr>
          <w:fldChar w:fldCharType="begin"/>
        </w:r>
        <w:r w:rsidR="00A87E9D">
          <w:rPr>
            <w:noProof/>
            <w:webHidden/>
          </w:rPr>
          <w:instrText xml:space="preserve"> PAGEREF _Toc478721575 \h </w:instrText>
        </w:r>
        <w:r w:rsidR="00A87E9D">
          <w:rPr>
            <w:noProof/>
            <w:webHidden/>
          </w:rPr>
        </w:r>
        <w:r w:rsidR="00A87E9D">
          <w:rPr>
            <w:noProof/>
            <w:webHidden/>
          </w:rPr>
          <w:fldChar w:fldCharType="separate"/>
        </w:r>
        <w:r>
          <w:rPr>
            <w:noProof/>
            <w:webHidden/>
          </w:rPr>
          <w:t>216</w:t>
        </w:r>
        <w:r w:rsidR="00A87E9D">
          <w:rPr>
            <w:noProof/>
            <w:webHidden/>
          </w:rPr>
          <w:fldChar w:fldCharType="end"/>
        </w:r>
      </w:hyperlink>
    </w:p>
    <w:p w14:paraId="56600532" w14:textId="5CA169D7" w:rsidR="00A87E9D" w:rsidRDefault="00F2203C">
      <w:pPr>
        <w:pStyle w:val="TOC2"/>
        <w:rPr>
          <w:rFonts w:eastAsiaTheme="minorEastAsia" w:cstheme="minorBidi"/>
          <w:noProof/>
        </w:rPr>
      </w:pPr>
      <w:hyperlink w:anchor="_Toc478721576" w:history="1">
        <w:r w:rsidR="00A87E9D" w:rsidRPr="00823EB0">
          <w:rPr>
            <w:rStyle w:val="Hyperlink"/>
            <w:rFonts w:eastAsiaTheme="minorHAnsi"/>
            <w:noProof/>
          </w:rPr>
          <w:t>Table G2:</w:t>
        </w:r>
        <w:r w:rsidR="00A87E9D">
          <w:rPr>
            <w:rFonts w:eastAsiaTheme="minorEastAsia" w:cstheme="minorBidi"/>
            <w:noProof/>
          </w:rPr>
          <w:tab/>
        </w:r>
        <w:r w:rsidR="00A87E9D" w:rsidRPr="00823EB0">
          <w:rPr>
            <w:rStyle w:val="Hyperlink"/>
            <w:rFonts w:eastAsiaTheme="minorHAnsi"/>
            <w:noProof/>
          </w:rPr>
          <w:t>Final list of changes to item descriptors and explanatory notes</w:t>
        </w:r>
        <w:r w:rsidR="00A87E9D">
          <w:rPr>
            <w:noProof/>
            <w:webHidden/>
          </w:rPr>
          <w:tab/>
        </w:r>
        <w:r w:rsidR="00A87E9D">
          <w:rPr>
            <w:noProof/>
            <w:webHidden/>
          </w:rPr>
          <w:fldChar w:fldCharType="begin"/>
        </w:r>
        <w:r w:rsidR="00A87E9D">
          <w:rPr>
            <w:noProof/>
            <w:webHidden/>
          </w:rPr>
          <w:instrText xml:space="preserve"> PAGEREF _Toc478721576 \h </w:instrText>
        </w:r>
        <w:r w:rsidR="00A87E9D">
          <w:rPr>
            <w:noProof/>
            <w:webHidden/>
          </w:rPr>
        </w:r>
        <w:r w:rsidR="00A87E9D">
          <w:rPr>
            <w:noProof/>
            <w:webHidden/>
          </w:rPr>
          <w:fldChar w:fldCharType="separate"/>
        </w:r>
        <w:r>
          <w:rPr>
            <w:noProof/>
            <w:webHidden/>
          </w:rPr>
          <w:t>217</w:t>
        </w:r>
        <w:r w:rsidR="00A87E9D">
          <w:rPr>
            <w:noProof/>
            <w:webHidden/>
          </w:rPr>
          <w:fldChar w:fldCharType="end"/>
        </w:r>
      </w:hyperlink>
    </w:p>
    <w:p w14:paraId="3CB43358" w14:textId="77777777" w:rsidR="00262127" w:rsidRPr="00CF1E64" w:rsidRDefault="00253B22" w:rsidP="00253B22">
      <w:pPr>
        <w:tabs>
          <w:tab w:val="right" w:leader="dot" w:pos="9016"/>
        </w:tabs>
        <w:ind w:right="-46"/>
        <w:rPr>
          <w:rFonts w:cs="Arial"/>
        </w:rPr>
      </w:pPr>
      <w:r>
        <w:rPr>
          <w:noProof/>
        </w:rPr>
        <w:fldChar w:fldCharType="end"/>
      </w:r>
      <w:r w:rsidR="00262127" w:rsidRPr="00CF1E64">
        <w:rPr>
          <w:rFonts w:cs="Arial"/>
        </w:rPr>
        <w:br w:type="page"/>
      </w:r>
    </w:p>
    <w:p w14:paraId="68228B30" w14:textId="77777777" w:rsidR="009837DB" w:rsidRPr="00EA0A9F" w:rsidRDefault="00262127" w:rsidP="005C1F76">
      <w:pPr>
        <w:pStyle w:val="Heading1"/>
      </w:pPr>
      <w:bookmarkStart w:id="3" w:name="_Toc457053403"/>
      <w:bookmarkStart w:id="4" w:name="_Toc458509978"/>
      <w:bookmarkStart w:id="5" w:name="_Toc458768446"/>
      <w:bookmarkStart w:id="6" w:name="_Toc458768626"/>
      <w:bookmarkStart w:id="7" w:name="_Toc478721486"/>
      <w:bookmarkEnd w:id="0"/>
      <w:r w:rsidRPr="005C1F76">
        <w:lastRenderedPageBreak/>
        <w:t>Executive</w:t>
      </w:r>
      <w:r w:rsidRPr="00EA0A9F">
        <w:t xml:space="preserve"> Summary</w:t>
      </w:r>
      <w:bookmarkEnd w:id="3"/>
      <w:bookmarkEnd w:id="4"/>
      <w:bookmarkEnd w:id="5"/>
      <w:bookmarkEnd w:id="6"/>
      <w:bookmarkEnd w:id="7"/>
    </w:p>
    <w:p w14:paraId="10429093" w14:textId="77777777" w:rsidR="00463B1C" w:rsidRPr="009200D8" w:rsidRDefault="00FE088C" w:rsidP="005C1F76">
      <w:r w:rsidRPr="009200D8">
        <w:t>The Medicare Benefits Schedule (MBS) Review Taskforce (the Taskforce) is undertaking a program of work</w:t>
      </w:r>
      <w:r w:rsidR="00CF522D" w:rsidRPr="009200D8">
        <w:t xml:space="preserve"> that considers how more than 5,700 items on the MBS can be aligned with contemporary clinical evidence and practice and improves health outcomes for patients. The Taskforce will also seek to identify any services that may be unnecessary, outdated or potentially unsafe.</w:t>
      </w:r>
      <w:r w:rsidR="00463B1C" w:rsidRPr="009200D8">
        <w:t xml:space="preserve"> </w:t>
      </w:r>
    </w:p>
    <w:p w14:paraId="64B10C99" w14:textId="77777777" w:rsidR="00905D09" w:rsidRPr="009D0EED" w:rsidRDefault="00905D09" w:rsidP="005C1F76">
      <w:r w:rsidRPr="009D0EED">
        <w:t>The Taskforce is committed to providing recommendations to the Minister that will allow the MBS to deliver on each of these four key goals:</w:t>
      </w:r>
    </w:p>
    <w:p w14:paraId="773D486F" w14:textId="77777777" w:rsidR="00905D09" w:rsidRPr="00E74CB1" w:rsidRDefault="00905D09" w:rsidP="00E74CB1">
      <w:pPr>
        <w:pStyle w:val="NormalBulleted"/>
      </w:pPr>
      <w:r w:rsidRPr="003F788A">
        <w:t xml:space="preserve">Affordable and </w:t>
      </w:r>
      <w:r w:rsidRPr="00E74CB1">
        <w:t>universal access</w:t>
      </w:r>
    </w:p>
    <w:p w14:paraId="0510B806" w14:textId="77777777" w:rsidR="00905D09" w:rsidRPr="00E74CB1" w:rsidRDefault="00905D09" w:rsidP="00E74CB1">
      <w:pPr>
        <w:pStyle w:val="NormalBulleted"/>
      </w:pPr>
      <w:r w:rsidRPr="00E74CB1">
        <w:t>Best practice health services</w:t>
      </w:r>
    </w:p>
    <w:p w14:paraId="6D706EA8" w14:textId="77777777" w:rsidR="00905D09" w:rsidRPr="00E74CB1" w:rsidRDefault="00905D09" w:rsidP="00E74CB1">
      <w:pPr>
        <w:pStyle w:val="NormalBulleted"/>
      </w:pPr>
      <w:r w:rsidRPr="00E74CB1">
        <w:t>Value for the individual patient</w:t>
      </w:r>
    </w:p>
    <w:p w14:paraId="0D5210E1" w14:textId="77777777" w:rsidR="00905D09" w:rsidRPr="009D0EED" w:rsidRDefault="00905D09" w:rsidP="00E74CB1">
      <w:pPr>
        <w:pStyle w:val="NormalBulleted"/>
      </w:pPr>
      <w:r w:rsidRPr="00E74CB1">
        <w:t>Value for the health</w:t>
      </w:r>
      <w:r w:rsidRPr="009D0EED">
        <w:t xml:space="preserve"> system</w:t>
      </w:r>
      <w:r>
        <w:t>.</w:t>
      </w:r>
    </w:p>
    <w:p w14:paraId="205E464E" w14:textId="77777777" w:rsidR="00905D09" w:rsidRPr="009200D8" w:rsidRDefault="00905D09" w:rsidP="005C1F76">
      <w:r w:rsidRPr="009200D8">
        <w:t>The Taskforce has endorsed a methodology whereby the necessary clinical review of MBS items is undertaken by Clinical Committees and Working Groups.</w:t>
      </w:r>
      <w:r w:rsidR="00A403FC">
        <w:t xml:space="preserve"> </w:t>
      </w:r>
      <w:r w:rsidRPr="009200D8">
        <w:t xml:space="preserve">The Taskforce has asked the Clinical Committees to undertake the following tasks: </w:t>
      </w:r>
    </w:p>
    <w:p w14:paraId="5BBBEB83" w14:textId="77777777" w:rsidR="00905D09" w:rsidRPr="004C5A6A" w:rsidRDefault="00905D09" w:rsidP="00501E91">
      <w:pPr>
        <w:pStyle w:val="Numbering"/>
        <w:numPr>
          <w:ilvl w:val="0"/>
          <w:numId w:val="24"/>
        </w:numPr>
        <w:ind w:left="284" w:hanging="284"/>
      </w:pPr>
      <w:r w:rsidRPr="004C5A6A">
        <w:t xml:space="preserve">Consider whether there are MBS items that are obsolete and should be removed from the MBS. </w:t>
      </w:r>
    </w:p>
    <w:p w14:paraId="5346DDE0" w14:textId="77777777" w:rsidR="00905D09" w:rsidRPr="004C5A6A" w:rsidRDefault="00905D09" w:rsidP="00501E91">
      <w:pPr>
        <w:pStyle w:val="Numbering"/>
        <w:numPr>
          <w:ilvl w:val="0"/>
          <w:numId w:val="24"/>
        </w:numPr>
        <w:ind w:left="284" w:hanging="284"/>
      </w:pPr>
      <w:r w:rsidRPr="004C5A6A">
        <w:t xml:space="preserve">Consider identified priority reviews of selected MBS services. </w:t>
      </w:r>
    </w:p>
    <w:p w14:paraId="60BAB9AF" w14:textId="77777777" w:rsidR="00905D09" w:rsidRDefault="00905D09" w:rsidP="00501E91">
      <w:pPr>
        <w:pStyle w:val="Numbering"/>
        <w:numPr>
          <w:ilvl w:val="0"/>
          <w:numId w:val="24"/>
        </w:numPr>
        <w:ind w:left="284" w:hanging="284"/>
      </w:pPr>
      <w:r w:rsidRPr="004C5A6A">
        <w:t xml:space="preserve">Develop a program of work to consider the balance of MBS services within its remit and items assigned to the Committee. </w:t>
      </w:r>
    </w:p>
    <w:p w14:paraId="76724A35" w14:textId="77777777" w:rsidR="004C5A6A" w:rsidRPr="004C5A6A" w:rsidRDefault="004C5A6A" w:rsidP="00501E91">
      <w:pPr>
        <w:pStyle w:val="Numbering"/>
        <w:numPr>
          <w:ilvl w:val="0"/>
          <w:numId w:val="24"/>
        </w:numPr>
        <w:ind w:left="284" w:hanging="284"/>
      </w:pPr>
      <w:r w:rsidRPr="004C5A6A">
        <w:t>Advise the Taskforce on relevant general MBS issues identified by the Committee in the course of its</w:t>
      </w:r>
      <w:r w:rsidRPr="0075170C">
        <w:t xml:space="preserve"> deliberations.</w:t>
      </w:r>
    </w:p>
    <w:p w14:paraId="1995D914" w14:textId="77777777" w:rsidR="00CF522D" w:rsidRPr="009200D8" w:rsidRDefault="00CF522D" w:rsidP="005C1F76">
      <w:r w:rsidRPr="009200D8">
        <w:t xml:space="preserve">The recommendations from the Clinical Committees are released for stakeholder consultation. The Clinical Committees will consider feedback from stakeholders and then provide recommendations to the Taskforce in a Review Report. The Taskforce will consider the Review Report from Clinical Committees and stakeholder feedback before making recommendations to the Minister for consideration by Government. </w:t>
      </w:r>
    </w:p>
    <w:p w14:paraId="24B597A1" w14:textId="77777777" w:rsidR="008F7A7C" w:rsidRDefault="008F7A7C" w:rsidP="005C1F76">
      <w:r w:rsidRPr="008F7A7C">
        <w:t xml:space="preserve">The </w:t>
      </w:r>
      <w:r w:rsidR="00361640">
        <w:t>Thoracic Medicine</w:t>
      </w:r>
      <w:r w:rsidRPr="008F7A7C">
        <w:t xml:space="preserve"> Clinical Committee (the Committee) was established in 2015 to undertake a review of relevant MBS items.</w:t>
      </w:r>
      <w:r w:rsidR="00A403FC">
        <w:t xml:space="preserve"> </w:t>
      </w:r>
      <w:r w:rsidR="005C2498">
        <w:t>T</w:t>
      </w:r>
      <w:r w:rsidRPr="008F7A7C">
        <w:t xml:space="preserve">his review relied upon the clinical expertise of the members who sought advice from colleagues as necessary, as well as independent, targeted rapid evidence reviews of certain services. </w:t>
      </w:r>
    </w:p>
    <w:p w14:paraId="6586BA47" w14:textId="77777777" w:rsidR="00361640" w:rsidRPr="005C1F76" w:rsidRDefault="00361640" w:rsidP="005C1F76">
      <w:pPr>
        <w:rPr>
          <w:rFonts w:eastAsiaTheme="minorHAnsi"/>
        </w:rPr>
      </w:pPr>
      <w:r w:rsidRPr="00DF47A1">
        <w:t xml:space="preserve">The Taskforce </w:t>
      </w:r>
      <w:r>
        <w:t>identified two priorities for the Committee</w:t>
      </w:r>
      <w:r w:rsidR="00955338">
        <w:t xml:space="preserve"> – </w:t>
      </w:r>
      <w:r>
        <w:t>lung function t</w:t>
      </w:r>
      <w:r w:rsidRPr="00DF47A1">
        <w:t xml:space="preserve">ests and </w:t>
      </w:r>
      <w:r>
        <w:t>diagnostic s</w:t>
      </w:r>
      <w:r w:rsidRPr="00DF47A1">
        <w:t xml:space="preserve">leep </w:t>
      </w:r>
      <w:r>
        <w:t>s</w:t>
      </w:r>
      <w:r w:rsidRPr="00DF47A1">
        <w:t>tudies.</w:t>
      </w:r>
      <w:bookmarkStart w:id="8" w:name="_Toc457053404"/>
      <w:r>
        <w:br w:type="page"/>
      </w:r>
    </w:p>
    <w:p w14:paraId="7CA517DF" w14:textId="77777777" w:rsidR="008F3A99" w:rsidRPr="00700528" w:rsidRDefault="008F3A99" w:rsidP="002C1E62">
      <w:pPr>
        <w:pStyle w:val="Heading2"/>
      </w:pPr>
      <w:bookmarkStart w:id="9" w:name="_Toc457053405"/>
      <w:bookmarkStart w:id="10" w:name="_Toc458509979"/>
      <w:bookmarkStart w:id="11" w:name="_Toc458768447"/>
      <w:bookmarkStart w:id="12" w:name="_Toc458768627"/>
      <w:bookmarkStart w:id="13" w:name="_Toc478721487"/>
      <w:bookmarkEnd w:id="8"/>
      <w:r w:rsidRPr="00700528">
        <w:lastRenderedPageBreak/>
        <w:t xml:space="preserve">Areas of responsibility of the </w:t>
      </w:r>
      <w:r>
        <w:t xml:space="preserve">Thoracic Medicine </w:t>
      </w:r>
      <w:r w:rsidRPr="00700528">
        <w:t>Clinical Committee</w:t>
      </w:r>
      <w:bookmarkEnd w:id="9"/>
      <w:bookmarkEnd w:id="10"/>
      <w:bookmarkEnd w:id="11"/>
      <w:bookmarkEnd w:id="12"/>
      <w:bookmarkEnd w:id="13"/>
    </w:p>
    <w:p w14:paraId="6491BD4C" w14:textId="77777777" w:rsidR="008F3A99" w:rsidRDefault="008F3A99" w:rsidP="008F3A99">
      <w:pPr>
        <w:rPr>
          <w:rFonts w:eastAsiaTheme="minorHAnsi"/>
        </w:rPr>
      </w:pPr>
      <w:r>
        <w:rPr>
          <w:lang w:val="en-US"/>
        </w:rPr>
        <w:t>The Taskforce identified</w:t>
      </w:r>
      <w:r w:rsidRPr="00F249F7">
        <w:rPr>
          <w:lang w:val="en-US"/>
        </w:rPr>
        <w:t xml:space="preserve"> </w:t>
      </w:r>
      <w:r w:rsidR="004E6589">
        <w:rPr>
          <w:lang w:val="en-US"/>
        </w:rPr>
        <w:t xml:space="preserve">19 </w:t>
      </w:r>
      <w:r>
        <w:rPr>
          <w:lang w:val="en-US"/>
        </w:rPr>
        <w:t>MBS items for review by the Committee.</w:t>
      </w:r>
      <w:r w:rsidR="00A403FC">
        <w:rPr>
          <w:lang w:val="en-US"/>
        </w:rPr>
        <w:t xml:space="preserve"> </w:t>
      </w:r>
    </w:p>
    <w:p w14:paraId="4617ED0B" w14:textId="77777777" w:rsidR="00DF4FDF" w:rsidRDefault="008F3A99" w:rsidP="00DF4FDF">
      <w:pPr>
        <w:pStyle w:val="NormalBulleted"/>
      </w:pPr>
      <w:r w:rsidRPr="006C5706">
        <w:t xml:space="preserve">Respiratory function tests (5 items) </w:t>
      </w:r>
    </w:p>
    <w:p w14:paraId="1EED9012" w14:textId="77777777" w:rsidR="008F3A99" w:rsidRPr="00851104" w:rsidRDefault="008F3A99" w:rsidP="00DF4FDF">
      <w:pPr>
        <w:pStyle w:val="Bullet2"/>
      </w:pPr>
      <w:r w:rsidRPr="009109BE">
        <w:rPr>
          <w:b/>
        </w:rPr>
        <w:t>11500</w:t>
      </w:r>
      <w:r>
        <w:tab/>
      </w:r>
      <w:r w:rsidRPr="00851104">
        <w:t>Bronchospirometry</w:t>
      </w:r>
    </w:p>
    <w:p w14:paraId="1ABCCA8C" w14:textId="77777777" w:rsidR="008F3A99" w:rsidRPr="00851104" w:rsidRDefault="008F3A99" w:rsidP="00DF4FDF">
      <w:pPr>
        <w:pStyle w:val="Bullet2"/>
      </w:pPr>
      <w:r w:rsidRPr="009109BE">
        <w:rPr>
          <w:b/>
        </w:rPr>
        <w:t>11503</w:t>
      </w:r>
      <w:r>
        <w:t xml:space="preserve"> </w:t>
      </w:r>
      <w:r>
        <w:tab/>
      </w:r>
      <w:r w:rsidRPr="00851104">
        <w:t>Complex Lung Function Tests</w:t>
      </w:r>
    </w:p>
    <w:p w14:paraId="57B325B0" w14:textId="77777777" w:rsidR="008F3A99" w:rsidRPr="00851104" w:rsidRDefault="008F3A99" w:rsidP="00DF4FDF">
      <w:pPr>
        <w:pStyle w:val="Bullet2"/>
      </w:pPr>
      <w:r w:rsidRPr="009109BE">
        <w:rPr>
          <w:b/>
        </w:rPr>
        <w:t>11506</w:t>
      </w:r>
      <w:r>
        <w:t xml:space="preserve"> </w:t>
      </w:r>
      <w:r>
        <w:tab/>
      </w:r>
      <w:r w:rsidR="00B40829">
        <w:t>Office based Spirometry</w:t>
      </w:r>
    </w:p>
    <w:p w14:paraId="0EB9C00F" w14:textId="77777777" w:rsidR="008F3A99" w:rsidRPr="00851104" w:rsidRDefault="008F3A99" w:rsidP="00DF4FDF">
      <w:pPr>
        <w:pStyle w:val="Bullet2"/>
      </w:pPr>
      <w:r w:rsidRPr="009109BE">
        <w:rPr>
          <w:b/>
        </w:rPr>
        <w:t>11509</w:t>
      </w:r>
      <w:r>
        <w:t xml:space="preserve"> </w:t>
      </w:r>
      <w:r>
        <w:tab/>
      </w:r>
      <w:r w:rsidRPr="00851104">
        <w:t>Spirometry in a respiratory laboratory</w:t>
      </w:r>
    </w:p>
    <w:p w14:paraId="0709C13D" w14:textId="77777777" w:rsidR="008F3A99" w:rsidRPr="009109BE" w:rsidRDefault="008F3A99" w:rsidP="00DF4FDF">
      <w:pPr>
        <w:pStyle w:val="Bullet2"/>
      </w:pPr>
      <w:r w:rsidRPr="009109BE">
        <w:rPr>
          <w:b/>
        </w:rPr>
        <w:t>11512</w:t>
      </w:r>
      <w:r>
        <w:tab/>
      </w:r>
      <w:r w:rsidRPr="00851104">
        <w:t>Spirometry in a respiratory laboratory</w:t>
      </w:r>
    </w:p>
    <w:p w14:paraId="1C470712" w14:textId="77777777" w:rsidR="008F3A99" w:rsidRPr="006C5706" w:rsidRDefault="008F3A99" w:rsidP="00DF4FDF">
      <w:pPr>
        <w:pStyle w:val="NormalBulleted"/>
      </w:pPr>
      <w:r w:rsidRPr="006C5706">
        <w:t>Sleep studies (7 items)</w:t>
      </w:r>
    </w:p>
    <w:p w14:paraId="6BE70312" w14:textId="77777777" w:rsidR="008F3A99" w:rsidRPr="00851104" w:rsidRDefault="008F3A99" w:rsidP="00DF4FDF">
      <w:pPr>
        <w:pStyle w:val="Bullet2"/>
      </w:pPr>
      <w:r w:rsidRPr="009109BE">
        <w:rPr>
          <w:b/>
        </w:rPr>
        <w:t>12203</w:t>
      </w:r>
      <w:r w:rsidRPr="00851104">
        <w:t xml:space="preserve"> </w:t>
      </w:r>
      <w:r>
        <w:tab/>
      </w:r>
      <w:r w:rsidRPr="00851104">
        <w:t>Adult sleep study in a laboratory</w:t>
      </w:r>
    </w:p>
    <w:p w14:paraId="186DB8F6" w14:textId="77777777" w:rsidR="008F3A99" w:rsidRPr="00851104" w:rsidRDefault="008F3A99" w:rsidP="00DF4FDF">
      <w:pPr>
        <w:pStyle w:val="Bullet2"/>
      </w:pPr>
      <w:r w:rsidRPr="009109BE">
        <w:rPr>
          <w:b/>
        </w:rPr>
        <w:t>12250</w:t>
      </w:r>
      <w:r>
        <w:tab/>
      </w:r>
      <w:r w:rsidRPr="00851104">
        <w:t>Adult sleep study, unattended</w:t>
      </w:r>
    </w:p>
    <w:p w14:paraId="445D6CBD" w14:textId="77777777" w:rsidR="008F3A99" w:rsidRPr="00851104" w:rsidRDefault="008F3A99" w:rsidP="00DF4FDF">
      <w:pPr>
        <w:pStyle w:val="Bullet2"/>
      </w:pPr>
      <w:r w:rsidRPr="009109BE">
        <w:rPr>
          <w:b/>
        </w:rPr>
        <w:t>12207</w:t>
      </w:r>
      <w:r>
        <w:tab/>
      </w:r>
      <w:r w:rsidRPr="00851104">
        <w:t>Adult sleep study in a laboratory (4</w:t>
      </w:r>
      <w:r w:rsidRPr="00851104">
        <w:rPr>
          <w:vertAlign w:val="superscript"/>
        </w:rPr>
        <w:t>th</w:t>
      </w:r>
      <w:r w:rsidRPr="00851104">
        <w:t xml:space="preserve"> study) </w:t>
      </w:r>
    </w:p>
    <w:p w14:paraId="4F21716A" w14:textId="77777777" w:rsidR="008F3A99" w:rsidRPr="00851104" w:rsidRDefault="008F3A99" w:rsidP="00DF4FDF">
      <w:pPr>
        <w:pStyle w:val="Bullet2"/>
      </w:pPr>
      <w:r w:rsidRPr="009109BE">
        <w:rPr>
          <w:b/>
        </w:rPr>
        <w:t>12210</w:t>
      </w:r>
      <w:r>
        <w:tab/>
      </w:r>
      <w:r w:rsidRPr="00851104">
        <w:t>Paediatric sleep study in a laboratory (Aged 0-12)</w:t>
      </w:r>
    </w:p>
    <w:p w14:paraId="5108D8C8" w14:textId="77777777" w:rsidR="008F3A99" w:rsidRPr="00851104" w:rsidRDefault="008F3A99" w:rsidP="00DF4FDF">
      <w:pPr>
        <w:pStyle w:val="Bullet2"/>
      </w:pPr>
      <w:r w:rsidRPr="009109BE">
        <w:rPr>
          <w:b/>
        </w:rPr>
        <w:t>12213</w:t>
      </w:r>
      <w:r>
        <w:tab/>
      </w:r>
      <w:r w:rsidRPr="00851104">
        <w:t>Paediatric sleep study in a laboratory (Aged 12-18)</w:t>
      </w:r>
    </w:p>
    <w:p w14:paraId="5B71525D" w14:textId="77777777" w:rsidR="008F3A99" w:rsidRPr="00851104" w:rsidRDefault="008F3A99" w:rsidP="00DF4FDF">
      <w:pPr>
        <w:pStyle w:val="Bullet2"/>
      </w:pPr>
      <w:r w:rsidRPr="009109BE">
        <w:rPr>
          <w:b/>
        </w:rPr>
        <w:t>12215</w:t>
      </w:r>
      <w:r>
        <w:tab/>
      </w:r>
      <w:r w:rsidRPr="00851104">
        <w:t>Paediatric sleep study in a laboratory (Aged 0-12, 4</w:t>
      </w:r>
      <w:r w:rsidRPr="00851104">
        <w:rPr>
          <w:vertAlign w:val="superscript"/>
        </w:rPr>
        <w:t>th</w:t>
      </w:r>
      <w:r w:rsidRPr="00851104">
        <w:t xml:space="preserve"> study)</w:t>
      </w:r>
    </w:p>
    <w:p w14:paraId="25718E3B" w14:textId="77777777" w:rsidR="008F3A99" w:rsidRPr="00851104" w:rsidRDefault="008F3A99" w:rsidP="00DF4FDF">
      <w:pPr>
        <w:pStyle w:val="Bullet2"/>
      </w:pPr>
      <w:r w:rsidRPr="009109BE">
        <w:rPr>
          <w:b/>
        </w:rPr>
        <w:t>12217</w:t>
      </w:r>
      <w:r>
        <w:tab/>
      </w:r>
      <w:r w:rsidRPr="00851104">
        <w:t>Paediatric sleep study in a laboratory (Aged 12-18, 4</w:t>
      </w:r>
      <w:r w:rsidRPr="00851104">
        <w:rPr>
          <w:vertAlign w:val="superscript"/>
        </w:rPr>
        <w:t>th</w:t>
      </w:r>
      <w:r w:rsidRPr="00851104">
        <w:t xml:space="preserve"> study)</w:t>
      </w:r>
    </w:p>
    <w:p w14:paraId="106A3C1D" w14:textId="77777777" w:rsidR="00DF4FDF" w:rsidRDefault="008F3A99" w:rsidP="00501E91">
      <w:pPr>
        <w:pStyle w:val="Bullet2"/>
        <w:numPr>
          <w:ilvl w:val="0"/>
          <w:numId w:val="34"/>
        </w:numPr>
        <w:ind w:left="426" w:hanging="426"/>
      </w:pPr>
      <w:r w:rsidRPr="006C5706">
        <w:t xml:space="preserve">Therapeutic procedures—biopsy of lung cancers (2 items) </w:t>
      </w:r>
    </w:p>
    <w:p w14:paraId="5690CD5F" w14:textId="77777777" w:rsidR="008F3A99" w:rsidRPr="00851104" w:rsidRDefault="008F3A99" w:rsidP="00DF4FDF">
      <w:pPr>
        <w:pStyle w:val="Bullet2"/>
      </w:pPr>
      <w:r w:rsidRPr="009109BE">
        <w:rPr>
          <w:b/>
        </w:rPr>
        <w:t>30696</w:t>
      </w:r>
      <w:r>
        <w:tab/>
      </w:r>
      <w:r w:rsidRPr="00851104">
        <w:t xml:space="preserve">Endoscopic Ultrasound Guided Fine Needle Aspiration Biopsy(s) </w:t>
      </w:r>
    </w:p>
    <w:p w14:paraId="0C238F21" w14:textId="77777777" w:rsidR="008F3A99" w:rsidRPr="009109BE" w:rsidRDefault="008F3A99" w:rsidP="00DF4FDF">
      <w:pPr>
        <w:pStyle w:val="Bullet2"/>
      </w:pPr>
      <w:r w:rsidRPr="009109BE">
        <w:rPr>
          <w:b/>
        </w:rPr>
        <w:t>30710</w:t>
      </w:r>
      <w:r>
        <w:tab/>
      </w:r>
      <w:r w:rsidRPr="00851104">
        <w:t>Endobronchial Ultrasound Guided Biopsy(s)</w:t>
      </w:r>
    </w:p>
    <w:p w14:paraId="4B36A1C1" w14:textId="77777777" w:rsidR="00DF4FDF" w:rsidRDefault="008F3A99" w:rsidP="00DF4FDF">
      <w:pPr>
        <w:pStyle w:val="NormalBulleted"/>
      </w:pPr>
      <w:r w:rsidRPr="006C5706">
        <w:t xml:space="preserve">Therapeutic procedures—bronchus or trachea (5 items) </w:t>
      </w:r>
    </w:p>
    <w:p w14:paraId="09E84EDF" w14:textId="77777777" w:rsidR="008F3A99" w:rsidRPr="00851104" w:rsidRDefault="008F3A99" w:rsidP="00DF4FDF">
      <w:pPr>
        <w:pStyle w:val="Bullet2"/>
      </w:pPr>
      <w:r w:rsidRPr="009109BE">
        <w:rPr>
          <w:b/>
        </w:rPr>
        <w:t>41889</w:t>
      </w:r>
      <w:r>
        <w:tab/>
      </w:r>
      <w:r w:rsidRPr="00851104">
        <w:t>Bronchoscopy</w:t>
      </w:r>
    </w:p>
    <w:p w14:paraId="302667C0" w14:textId="77777777" w:rsidR="008F3A99" w:rsidRPr="00851104" w:rsidRDefault="008F3A99" w:rsidP="00DF4FDF">
      <w:pPr>
        <w:pStyle w:val="Bullet2"/>
      </w:pPr>
      <w:r w:rsidRPr="009109BE">
        <w:rPr>
          <w:b/>
        </w:rPr>
        <w:t>41892</w:t>
      </w:r>
      <w:r>
        <w:rPr>
          <w:b/>
        </w:rPr>
        <w:tab/>
      </w:r>
      <w:r w:rsidRPr="00851104">
        <w:t>Bronchoscopy with Endobronchial biopsies or diagnostic/therapeutic procedures</w:t>
      </w:r>
    </w:p>
    <w:p w14:paraId="4C670711" w14:textId="77777777" w:rsidR="008F3A99" w:rsidRPr="00851104" w:rsidRDefault="008F3A99" w:rsidP="00DF4FDF">
      <w:pPr>
        <w:pStyle w:val="Bullet2"/>
      </w:pPr>
      <w:r w:rsidRPr="009109BE">
        <w:rPr>
          <w:b/>
        </w:rPr>
        <w:t>41895</w:t>
      </w:r>
      <w:r>
        <w:tab/>
      </w:r>
      <w:r w:rsidRPr="00851104">
        <w:t>Bronchus, removal of foreign body</w:t>
      </w:r>
    </w:p>
    <w:p w14:paraId="2786FA9C" w14:textId="77777777" w:rsidR="008F3A99" w:rsidRPr="00851104" w:rsidRDefault="008F3A99" w:rsidP="00DF4FDF">
      <w:pPr>
        <w:pStyle w:val="Bullet2"/>
      </w:pPr>
      <w:r w:rsidRPr="009109BE">
        <w:rPr>
          <w:b/>
        </w:rPr>
        <w:t>41898</w:t>
      </w:r>
      <w:r>
        <w:tab/>
      </w:r>
      <w:r w:rsidRPr="00851104">
        <w:t>Fibreoptic Bronchoscopy</w:t>
      </w:r>
    </w:p>
    <w:p w14:paraId="0048E793" w14:textId="77777777" w:rsidR="008F3A99" w:rsidRPr="009109BE" w:rsidRDefault="008F3A99" w:rsidP="00DF4FDF">
      <w:pPr>
        <w:pStyle w:val="Bullet2"/>
      </w:pPr>
      <w:r>
        <w:rPr>
          <w:b/>
        </w:rPr>
        <w:t>41905</w:t>
      </w:r>
      <w:r>
        <w:rPr>
          <w:b/>
        </w:rPr>
        <w:tab/>
      </w:r>
      <w:r w:rsidRPr="009109BE">
        <w:t>Trachea or Bronchus, dilatation of stricture and endoscopic insertion of stent</w:t>
      </w:r>
    </w:p>
    <w:p w14:paraId="07E8AF06" w14:textId="77777777" w:rsidR="007F34AB" w:rsidRPr="005C1F76" w:rsidRDefault="008F3A99" w:rsidP="005C1F76">
      <w:pPr>
        <w:rPr>
          <w:rFonts w:eastAsiaTheme="minorHAnsi"/>
        </w:rPr>
      </w:pPr>
      <w:r>
        <w:rPr>
          <w:lang w:val="en-US"/>
        </w:rPr>
        <w:t xml:space="preserve">A full description of all items is at </w:t>
      </w:r>
      <w:r w:rsidR="009F47E0">
        <w:rPr>
          <w:lang w:val="en-US"/>
        </w:rPr>
        <w:t>Appendix A</w:t>
      </w:r>
      <w:r>
        <w:rPr>
          <w:lang w:val="en-US"/>
        </w:rPr>
        <w:t xml:space="preserve">. </w:t>
      </w:r>
      <w:bookmarkStart w:id="14" w:name="_Toc457103945"/>
      <w:bookmarkStart w:id="15" w:name="_Toc457053407"/>
      <w:bookmarkEnd w:id="14"/>
      <w:r w:rsidR="007F34AB">
        <w:br w:type="page"/>
      </w:r>
    </w:p>
    <w:p w14:paraId="048F2AA3" w14:textId="77777777" w:rsidR="00C72869" w:rsidRPr="00700528" w:rsidRDefault="004963B8" w:rsidP="002C1E62">
      <w:pPr>
        <w:pStyle w:val="Heading2"/>
      </w:pPr>
      <w:bookmarkStart w:id="16" w:name="_Toc458509980"/>
      <w:bookmarkStart w:id="17" w:name="_Toc458768448"/>
      <w:bookmarkStart w:id="18" w:name="_Toc458768628"/>
      <w:bookmarkStart w:id="19" w:name="_Toc478721488"/>
      <w:r w:rsidRPr="00700528">
        <w:lastRenderedPageBreak/>
        <w:t>Key recommendations</w:t>
      </w:r>
      <w:bookmarkEnd w:id="15"/>
      <w:bookmarkEnd w:id="16"/>
      <w:bookmarkEnd w:id="17"/>
      <w:bookmarkEnd w:id="18"/>
      <w:bookmarkEnd w:id="19"/>
    </w:p>
    <w:p w14:paraId="03636C93" w14:textId="77777777" w:rsidR="00466F2A" w:rsidRDefault="00466F2A" w:rsidP="005C1F76">
      <w:r>
        <w:t>The Committee recommended amendments in the following areas:</w:t>
      </w:r>
    </w:p>
    <w:p w14:paraId="184904EC" w14:textId="77777777" w:rsidR="006F1D7C" w:rsidRPr="00700528" w:rsidRDefault="006F1D7C" w:rsidP="00DF4FDF">
      <w:pPr>
        <w:pStyle w:val="Heading3"/>
      </w:pPr>
      <w:r w:rsidRPr="00DF4FDF">
        <w:t>Recommendation</w:t>
      </w:r>
      <w:r>
        <w:t xml:space="preserve"> 1: </w:t>
      </w:r>
      <w:r w:rsidR="00466F2A">
        <w:t>Spirometry</w:t>
      </w:r>
    </w:p>
    <w:p w14:paraId="444E832E" w14:textId="77777777" w:rsidR="00466F2A" w:rsidRDefault="00466F2A" w:rsidP="005C1F76">
      <w:pPr>
        <w:rPr>
          <w:rFonts w:eastAsiaTheme="minorHAnsi"/>
        </w:rPr>
      </w:pPr>
      <w:r>
        <w:rPr>
          <w:rFonts w:eastAsiaTheme="minorHAnsi"/>
        </w:rPr>
        <w:t xml:space="preserve">The </w:t>
      </w:r>
      <w:r w:rsidR="00365D71">
        <w:rPr>
          <w:rFonts w:eastAsiaTheme="minorHAnsi"/>
        </w:rPr>
        <w:t>Committee</w:t>
      </w:r>
      <w:r>
        <w:rPr>
          <w:rFonts w:eastAsiaTheme="minorHAnsi"/>
        </w:rPr>
        <w:t xml:space="preserve"> recommends:</w:t>
      </w:r>
    </w:p>
    <w:p w14:paraId="130B41CF" w14:textId="77777777" w:rsidR="00466F2A" w:rsidRDefault="00466F2A" w:rsidP="00365D71">
      <w:pPr>
        <w:pStyle w:val="NormalBulleted"/>
      </w:pPr>
      <w:r>
        <w:t xml:space="preserve">Changes to the item descriptor for item 11506 (office-based reversibility testing) </w:t>
      </w:r>
      <w:r w:rsidRPr="006158A4">
        <w:t>to be</w:t>
      </w:r>
      <w:r w:rsidR="00D86FE4">
        <w:t>tter target its use to diagnose</w:t>
      </w:r>
      <w:r w:rsidRPr="006158A4">
        <w:t xml:space="preserve"> asthma and chronic obstructive pulmonary disease (COPD).</w:t>
      </w:r>
      <w:r w:rsidR="002E7D7D" w:rsidRPr="00DA5B19">
        <w:t xml:space="preserve"> </w:t>
      </w:r>
      <w:r w:rsidR="002E7D7D" w:rsidRPr="002E7D7D">
        <w:t>It is recommended that the item be available once a year and that the fee and rebate be doubled to $40 to encourage use in primary care.</w:t>
      </w:r>
    </w:p>
    <w:p w14:paraId="31E865F0" w14:textId="77777777" w:rsidR="00365D71" w:rsidRDefault="00466F2A" w:rsidP="00365D71">
      <w:pPr>
        <w:pStyle w:val="NormalBulleted"/>
        <w:rPr>
          <w:szCs w:val="20"/>
        </w:rPr>
      </w:pPr>
      <w:r w:rsidRPr="00365D71">
        <w:rPr>
          <w:szCs w:val="20"/>
        </w:rPr>
        <w:t xml:space="preserve">Introduction of a new item for pre </w:t>
      </w:r>
      <w:r w:rsidR="00365D71" w:rsidRPr="00365D71">
        <w:rPr>
          <w:szCs w:val="20"/>
          <w:u w:val="single"/>
        </w:rPr>
        <w:t>or</w:t>
      </w:r>
      <w:r w:rsidRPr="00365D71">
        <w:rPr>
          <w:szCs w:val="20"/>
        </w:rPr>
        <w:t xml:space="preserve"> post bronchodilator spirometry to be used to confirm diagnosis of COPD, assess acute asthma episodes and monitor patients with asthma, COPD and other cause of airflow limitation. </w:t>
      </w:r>
      <w:r w:rsidR="002E7D7D" w:rsidRPr="002E7D7D">
        <w:rPr>
          <w:szCs w:val="20"/>
        </w:rPr>
        <w:t>The recommended fee of $20 is the same as current item 11506.</w:t>
      </w:r>
    </w:p>
    <w:p w14:paraId="3B9B6375" w14:textId="77777777" w:rsidR="00466F2A" w:rsidRPr="00365D71" w:rsidRDefault="00365D71" w:rsidP="00365D71">
      <w:pPr>
        <w:pStyle w:val="NormalBulleted"/>
        <w:rPr>
          <w:szCs w:val="20"/>
        </w:rPr>
      </w:pPr>
      <w:r>
        <w:rPr>
          <w:szCs w:val="20"/>
        </w:rPr>
        <w:t>Subsume item 11509 (</w:t>
      </w:r>
      <w:r w:rsidR="00466F2A" w:rsidRPr="00365D71">
        <w:rPr>
          <w:szCs w:val="20"/>
        </w:rPr>
        <w:t xml:space="preserve">laboratory based spirometry) into current item </w:t>
      </w:r>
      <w:r>
        <w:rPr>
          <w:szCs w:val="20"/>
        </w:rPr>
        <w:t>11512</w:t>
      </w:r>
      <w:r w:rsidRPr="00365D71">
        <w:rPr>
          <w:szCs w:val="20"/>
        </w:rPr>
        <w:t xml:space="preserve"> </w:t>
      </w:r>
      <w:r w:rsidR="00501C55">
        <w:rPr>
          <w:szCs w:val="20"/>
        </w:rPr>
        <w:t xml:space="preserve">(more complex </w:t>
      </w:r>
      <w:r w:rsidR="00466F2A" w:rsidRPr="00365D71">
        <w:rPr>
          <w:szCs w:val="20"/>
        </w:rPr>
        <w:t>laboratory based spirometry)</w:t>
      </w:r>
      <w:r>
        <w:rPr>
          <w:szCs w:val="20"/>
        </w:rPr>
        <w:t>.</w:t>
      </w:r>
    </w:p>
    <w:p w14:paraId="53434CFB" w14:textId="77777777" w:rsidR="00466F2A" w:rsidRDefault="00466F2A" w:rsidP="00365D71">
      <w:pPr>
        <w:pStyle w:val="NormalBulleted"/>
        <w:rPr>
          <w:szCs w:val="20"/>
        </w:rPr>
      </w:pPr>
      <w:r w:rsidRPr="006158A4">
        <w:rPr>
          <w:szCs w:val="20"/>
        </w:rPr>
        <w:t>Introduce enhanced quality requirements for all spirometry items.</w:t>
      </w:r>
    </w:p>
    <w:p w14:paraId="57ED0BFA" w14:textId="77777777" w:rsidR="00365D71" w:rsidRPr="006158A4" w:rsidRDefault="00365D71" w:rsidP="005C1F76">
      <w:r>
        <w:t xml:space="preserve">Further detail is at </w:t>
      </w:r>
      <w:r w:rsidR="002C1E62">
        <w:t>section</w:t>
      </w:r>
      <w:r w:rsidR="0081630E">
        <w:t xml:space="preserve"> 4</w:t>
      </w:r>
      <w:r w:rsidR="00BB4881">
        <w:t>.</w:t>
      </w:r>
    </w:p>
    <w:p w14:paraId="3BF16B02" w14:textId="77777777" w:rsidR="00466F2A" w:rsidRPr="008D3724" w:rsidRDefault="00365D71" w:rsidP="00DF4FDF">
      <w:pPr>
        <w:pStyle w:val="Heading3"/>
      </w:pPr>
      <w:bookmarkStart w:id="20" w:name="_Toc452990602"/>
      <w:r w:rsidRPr="00DF4FDF">
        <w:t>Recommendation</w:t>
      </w:r>
      <w:r>
        <w:t xml:space="preserve"> </w:t>
      </w:r>
      <w:r w:rsidR="00466F2A" w:rsidRPr="008D3724">
        <w:t>2</w:t>
      </w:r>
      <w:r>
        <w:t>:</w:t>
      </w:r>
      <w:r w:rsidR="00466F2A" w:rsidRPr="008D3724">
        <w:t xml:space="preserve"> Other Respiratory Function Tests</w:t>
      </w:r>
      <w:bookmarkEnd w:id="20"/>
    </w:p>
    <w:p w14:paraId="37A308DD" w14:textId="77777777" w:rsidR="009218A8" w:rsidRPr="006F6D96" w:rsidRDefault="009218A8" w:rsidP="005C1F76">
      <w:pPr>
        <w:rPr>
          <w:rFonts w:eastAsiaTheme="minorHAnsi"/>
        </w:rPr>
      </w:pPr>
      <w:r w:rsidRPr="00C5084B">
        <w:rPr>
          <w:rFonts w:eastAsiaTheme="minorHAnsi"/>
        </w:rPr>
        <w:t xml:space="preserve">The Committee has revised the list of respiratory function tests that are able to be claimed under item 11503. It suggests that the list represents those tests that are necessary in contemporary practice. It does not include some niche tests used in research settings. The Committee recommends that the list be included in the item descriptor to remove any discretion about what tests are claimable. The tests are: </w:t>
      </w:r>
    </w:p>
    <w:p w14:paraId="0497D7A9" w14:textId="77777777" w:rsidR="00CD2B97" w:rsidRPr="00186520" w:rsidRDefault="00CD2B97" w:rsidP="00501E91">
      <w:pPr>
        <w:pStyle w:val="NormalBulleteda"/>
        <w:numPr>
          <w:ilvl w:val="0"/>
          <w:numId w:val="23"/>
        </w:numPr>
        <w:tabs>
          <w:tab w:val="clear" w:pos="454"/>
        </w:tabs>
        <w:ind w:left="426" w:hanging="426"/>
      </w:pPr>
      <w:r w:rsidRPr="00186520">
        <w:t>Absolute lung volumes by any method.</w:t>
      </w:r>
    </w:p>
    <w:p w14:paraId="50392BE9" w14:textId="77777777" w:rsidR="00CD2B97" w:rsidRPr="00186520" w:rsidRDefault="00CD2B97" w:rsidP="00501E91">
      <w:pPr>
        <w:pStyle w:val="NormalBulleteda"/>
        <w:numPr>
          <w:ilvl w:val="0"/>
          <w:numId w:val="23"/>
        </w:numPr>
        <w:ind w:left="426" w:hanging="426"/>
      </w:pPr>
      <w:r w:rsidRPr="00186520">
        <w:t>Carbon monoxide diffusing capacity by any method.</w:t>
      </w:r>
    </w:p>
    <w:p w14:paraId="3C56685B" w14:textId="77777777" w:rsidR="00CD2B97" w:rsidRDefault="00CD2B97" w:rsidP="00501E91">
      <w:pPr>
        <w:pStyle w:val="NormalBulleteda"/>
        <w:numPr>
          <w:ilvl w:val="0"/>
          <w:numId w:val="23"/>
        </w:numPr>
        <w:ind w:left="426" w:hanging="426"/>
      </w:pPr>
      <w:r w:rsidRPr="00C5084B">
        <w:t>Measurement of airway or pulmonary resistance by any method</w:t>
      </w:r>
      <w:r>
        <w:t>.</w:t>
      </w:r>
    </w:p>
    <w:p w14:paraId="59EE3550" w14:textId="77777777" w:rsidR="00CD2B97" w:rsidRDefault="00CD2B97" w:rsidP="00501E91">
      <w:pPr>
        <w:pStyle w:val="NormalBulleteda"/>
        <w:numPr>
          <w:ilvl w:val="0"/>
          <w:numId w:val="23"/>
        </w:numPr>
        <w:ind w:left="426" w:hanging="426"/>
      </w:pPr>
      <w:r w:rsidRPr="00C5084B">
        <w:t>Inhalation provocation testing, including pre</w:t>
      </w:r>
      <w:r w:rsidR="00186520">
        <w:t>-</w:t>
      </w:r>
      <w:r w:rsidRPr="00C5084B">
        <w:t xml:space="preserve">provocation spirometry, the construction of a dose response curve, </w:t>
      </w:r>
      <w:r w:rsidRPr="00186520">
        <w:rPr>
          <w:rFonts w:cs="Arial"/>
        </w:rPr>
        <w:t>using recognised direct or indirect bronchoprovocation agent</w:t>
      </w:r>
      <w:r w:rsidRPr="00C5084B">
        <w:t xml:space="preserve"> and post</w:t>
      </w:r>
      <w:r w:rsidR="00186520">
        <w:t>-</w:t>
      </w:r>
      <w:r w:rsidRPr="00C5084B">
        <w:t>bronchodilator spirometry</w:t>
      </w:r>
      <w:r>
        <w:t>.</w:t>
      </w:r>
    </w:p>
    <w:p w14:paraId="22801821" w14:textId="77777777" w:rsidR="00CD2B97" w:rsidRDefault="00CD2B97" w:rsidP="00501E91">
      <w:pPr>
        <w:pStyle w:val="NormalBulleteda"/>
        <w:numPr>
          <w:ilvl w:val="0"/>
          <w:numId w:val="23"/>
        </w:numPr>
        <w:ind w:left="426" w:hanging="426"/>
      </w:pPr>
      <w:r w:rsidRPr="00C5084B">
        <w:t xml:space="preserve">Provocation testing involving sequential measurement of lung function at baseline and after exposure to specific sensitising agents, including drugs, or occupational asthma triggers. </w:t>
      </w:r>
    </w:p>
    <w:p w14:paraId="272A6A34" w14:textId="77777777" w:rsidR="00CD2B97" w:rsidRPr="00186520" w:rsidRDefault="00CD2B97" w:rsidP="00501E91">
      <w:pPr>
        <w:pStyle w:val="NormalBulleteda"/>
        <w:numPr>
          <w:ilvl w:val="0"/>
          <w:numId w:val="23"/>
        </w:numPr>
        <w:ind w:left="426" w:hanging="426"/>
      </w:pPr>
      <w:r w:rsidRPr="00C5084B">
        <w:t xml:space="preserve">Spirometry performed before and after simple exercise testing undertaken as a provocation test for the investigation of asthma, in premises equipped with </w:t>
      </w:r>
      <w:r w:rsidRPr="00186520">
        <w:rPr>
          <w:rFonts w:cs="Arial"/>
        </w:rPr>
        <w:t>resuscitation equipment and personnel trained in Advanced Life Support.</w:t>
      </w:r>
    </w:p>
    <w:p w14:paraId="213919EB" w14:textId="77777777" w:rsidR="00CD2B97" w:rsidRDefault="00CD2B97" w:rsidP="00501E91">
      <w:pPr>
        <w:pStyle w:val="NormalBulleteda"/>
        <w:numPr>
          <w:ilvl w:val="0"/>
          <w:numId w:val="23"/>
        </w:numPr>
        <w:ind w:left="426" w:hanging="426"/>
      </w:pPr>
      <w:r w:rsidRPr="00C5084B">
        <w:t>Measurement of the strength of inspiratory and expiratory muscles at multiple lung volumes</w:t>
      </w:r>
      <w:r>
        <w:t>.</w:t>
      </w:r>
    </w:p>
    <w:p w14:paraId="26A41BB9" w14:textId="77777777" w:rsidR="00CD2B97" w:rsidRPr="00186520" w:rsidRDefault="00CD2B97" w:rsidP="00501E91">
      <w:pPr>
        <w:pStyle w:val="NormalBulleteda"/>
        <w:numPr>
          <w:ilvl w:val="0"/>
          <w:numId w:val="23"/>
        </w:numPr>
        <w:ind w:left="426" w:hanging="426"/>
      </w:pPr>
      <w:r w:rsidRPr="00C5084B">
        <w:t xml:space="preserve">Simulated altitude test involving exposure to hypoxic gas mixtures and oxygen saturation at rest and/or during exercise </w:t>
      </w:r>
      <w:r w:rsidRPr="00186520">
        <w:rPr>
          <w:rFonts w:cs="Arial"/>
        </w:rPr>
        <w:t>with or without an observation of the effect of supplemental oxygen.</w:t>
      </w:r>
    </w:p>
    <w:p w14:paraId="00C84966" w14:textId="77777777" w:rsidR="00CD2B97" w:rsidRPr="00CD2B97" w:rsidRDefault="00CD2B97" w:rsidP="00501E91">
      <w:pPr>
        <w:pStyle w:val="NormalBulleteda"/>
        <w:numPr>
          <w:ilvl w:val="0"/>
          <w:numId w:val="23"/>
        </w:numPr>
        <w:ind w:left="426" w:hanging="426"/>
      </w:pPr>
      <w:r w:rsidRPr="00CD2B97">
        <w:lastRenderedPageBreak/>
        <w:t xml:space="preserve">Six minute walk test </w:t>
      </w:r>
      <w:r w:rsidRPr="00186520">
        <w:rPr>
          <w:rFonts w:cs="Arial"/>
          <w:lang w:val="en"/>
        </w:rPr>
        <w:t>for the purpose of determining eligibility for medications subsidised under the Pharmaceutical Benefits Scheme or eligibility for the provision of portable oxygen.</w:t>
      </w:r>
    </w:p>
    <w:p w14:paraId="1EB48295" w14:textId="77777777" w:rsidR="009218A8" w:rsidRPr="00C5084B" w:rsidRDefault="009218A8" w:rsidP="005C1F76">
      <w:r w:rsidRPr="00C5084B">
        <w:t>The Committee has also recommended that the claiming rules make clear the following</w:t>
      </w:r>
      <w:r w:rsidR="001A3DE4">
        <w:t>:</w:t>
      </w:r>
      <w:r w:rsidR="00A403FC">
        <w:t xml:space="preserve"> </w:t>
      </w:r>
    </w:p>
    <w:p w14:paraId="0E024E46" w14:textId="77777777" w:rsidR="009218A8" w:rsidRPr="00957CB3" w:rsidRDefault="009218A8" w:rsidP="00501E91">
      <w:pPr>
        <w:pStyle w:val="Numbering"/>
        <w:numPr>
          <w:ilvl w:val="0"/>
          <w:numId w:val="25"/>
        </w:numPr>
        <w:ind w:left="425" w:hanging="425"/>
      </w:pPr>
      <w:r w:rsidRPr="00957CB3">
        <w:t>Laboratory based spirometry is not a test that can be claimed under 11503</w:t>
      </w:r>
    </w:p>
    <w:p w14:paraId="09817EA1" w14:textId="77777777" w:rsidR="009218A8" w:rsidRPr="00957CB3" w:rsidRDefault="009218A8" w:rsidP="00501E91">
      <w:pPr>
        <w:pStyle w:val="Numbering"/>
        <w:numPr>
          <w:ilvl w:val="0"/>
          <w:numId w:val="25"/>
        </w:numPr>
        <w:ind w:left="426" w:hanging="426"/>
      </w:pPr>
      <w:r w:rsidRPr="00957CB3">
        <w:t>Laboratory based spirometry cannot be separately claimed on the same day as 11503</w:t>
      </w:r>
    </w:p>
    <w:p w14:paraId="47E3A23E" w14:textId="77777777" w:rsidR="009218A8" w:rsidRPr="00957CB3" w:rsidRDefault="009218A8" w:rsidP="00501E91">
      <w:pPr>
        <w:pStyle w:val="Numbering"/>
        <w:numPr>
          <w:ilvl w:val="0"/>
          <w:numId w:val="25"/>
        </w:numPr>
        <w:ind w:left="426" w:hanging="426"/>
      </w:pPr>
      <w:r w:rsidRPr="00957CB3">
        <w:t>Respiratory function tests under 11503 cannot be claimed on the same day as sleep studies</w:t>
      </w:r>
    </w:p>
    <w:p w14:paraId="02D40C1E" w14:textId="77777777" w:rsidR="009218A8" w:rsidRPr="00957CB3" w:rsidRDefault="009218A8" w:rsidP="00501E91">
      <w:pPr>
        <w:pStyle w:val="Numbering"/>
        <w:numPr>
          <w:ilvl w:val="0"/>
          <w:numId w:val="25"/>
        </w:numPr>
        <w:ind w:left="426" w:hanging="426"/>
      </w:pPr>
      <w:r w:rsidRPr="00957CB3">
        <w:t>Flow volume loop testing for central airways obstruction should be claimed under 11512</w:t>
      </w:r>
      <w:r w:rsidR="00955338" w:rsidRPr="00957CB3">
        <w:t>.</w:t>
      </w:r>
    </w:p>
    <w:p w14:paraId="1BE17FC4" w14:textId="77777777" w:rsidR="00466F2A" w:rsidRDefault="00466F2A" w:rsidP="005C1F76">
      <w:r>
        <w:t xml:space="preserve">The </w:t>
      </w:r>
      <w:r w:rsidR="00365D71">
        <w:t xml:space="preserve">Committee </w:t>
      </w:r>
      <w:r w:rsidR="005C2498">
        <w:t xml:space="preserve">recommends </w:t>
      </w:r>
      <w:r>
        <w:t>two new items</w:t>
      </w:r>
      <w:r w:rsidR="00365D71">
        <w:t>:</w:t>
      </w:r>
    </w:p>
    <w:p w14:paraId="34EF43C5" w14:textId="77777777" w:rsidR="00466F2A" w:rsidRDefault="00365D71" w:rsidP="00365D71">
      <w:pPr>
        <w:pStyle w:val="NormalBulleted"/>
      </w:pPr>
      <w:r>
        <w:t>L</w:t>
      </w:r>
      <w:r w:rsidR="00466F2A">
        <w:t>aboratory based spirometry with FeNO with a MBS fee set between the current fee for 11512 and 11503</w:t>
      </w:r>
      <w:r>
        <w:t>.</w:t>
      </w:r>
    </w:p>
    <w:p w14:paraId="5A07A492" w14:textId="77777777" w:rsidR="00466F2A" w:rsidRDefault="00365D71" w:rsidP="00365D71">
      <w:pPr>
        <w:pStyle w:val="NormalBulleted"/>
        <w:rPr>
          <w:i/>
        </w:rPr>
      </w:pPr>
      <w:r>
        <w:t>C</w:t>
      </w:r>
      <w:r w:rsidR="00466F2A">
        <w:t>ardio pulmonary exercise testing (CPET) in</w:t>
      </w:r>
      <w:r>
        <w:t xml:space="preserve"> defined clinical circumstances</w:t>
      </w:r>
      <w:r w:rsidR="002E7D7D" w:rsidRPr="002E7D7D">
        <w:t xml:space="preserve"> </w:t>
      </w:r>
      <w:r w:rsidR="002E7D7D">
        <w:t>with a fee of approximately $300</w:t>
      </w:r>
      <w:r>
        <w:t>.</w:t>
      </w:r>
    </w:p>
    <w:p w14:paraId="7241643B" w14:textId="5D08C2CC" w:rsidR="00365D71" w:rsidRPr="006158A4" w:rsidRDefault="00365D71" w:rsidP="005C1F76">
      <w:bookmarkStart w:id="21" w:name="_Toc452990603"/>
      <w:r>
        <w:t>Further detail is at section</w:t>
      </w:r>
      <w:r w:rsidR="00955338">
        <w:t xml:space="preserve"> </w:t>
      </w:r>
      <w:r w:rsidR="00955338">
        <w:fldChar w:fldCharType="begin"/>
      </w:r>
      <w:r w:rsidR="00955338">
        <w:instrText xml:space="preserve"> REF _Ref457451033 \r \h </w:instrText>
      </w:r>
      <w:r w:rsidR="00955338">
        <w:fldChar w:fldCharType="separate"/>
      </w:r>
      <w:r w:rsidR="00F2203C">
        <w:t>5</w:t>
      </w:r>
      <w:r w:rsidR="00955338">
        <w:fldChar w:fldCharType="end"/>
      </w:r>
      <w:r w:rsidR="001D7DEC">
        <w:t>.</w:t>
      </w:r>
    </w:p>
    <w:p w14:paraId="51AF1A8D" w14:textId="77777777" w:rsidR="00466F2A" w:rsidRDefault="00365D71" w:rsidP="00DF4FDF">
      <w:pPr>
        <w:pStyle w:val="Heading3"/>
      </w:pPr>
      <w:r w:rsidRPr="00DF4FDF">
        <w:t>Recommendation</w:t>
      </w:r>
      <w:r>
        <w:t xml:space="preserve"> </w:t>
      </w:r>
      <w:r w:rsidR="00466F2A" w:rsidRPr="006158A4">
        <w:t>3</w:t>
      </w:r>
      <w:r>
        <w:t>:</w:t>
      </w:r>
      <w:r w:rsidR="00A403FC">
        <w:t xml:space="preserve"> </w:t>
      </w:r>
      <w:r w:rsidR="00466F2A" w:rsidRPr="006158A4">
        <w:t>Sleep Studies</w:t>
      </w:r>
      <w:bookmarkEnd w:id="21"/>
      <w:r w:rsidR="00466F2A" w:rsidRPr="006158A4">
        <w:t xml:space="preserve"> </w:t>
      </w:r>
    </w:p>
    <w:p w14:paraId="459A7B73" w14:textId="77777777" w:rsidR="00466F2A" w:rsidRDefault="00466F2A" w:rsidP="005C1F76">
      <w:r>
        <w:t xml:space="preserve">The </w:t>
      </w:r>
      <w:r w:rsidR="008F3A99">
        <w:t>Committee</w:t>
      </w:r>
      <w:r>
        <w:t xml:space="preserve"> recommend</w:t>
      </w:r>
      <w:r w:rsidR="008F3A99">
        <w:t>ed</w:t>
      </w:r>
      <w:r>
        <w:t xml:space="preserve"> a number of changes to adult attended and unattended sleep studies which aim to better identify patients who are suitable for direct GP referral; better triage patients to the most suitable testing</w:t>
      </w:r>
      <w:r w:rsidR="00955338">
        <w:t>;</w:t>
      </w:r>
      <w:r>
        <w:t xml:space="preserve"> and better describe the circumstance when repeat testing following a diagnostic test may have clinical value.</w:t>
      </w:r>
      <w:r w:rsidR="00A403FC">
        <w:t xml:space="preserve"> </w:t>
      </w:r>
      <w:r>
        <w:t>These recommendations are</w:t>
      </w:r>
      <w:r w:rsidR="008F3A99">
        <w:t>:</w:t>
      </w:r>
      <w:r>
        <w:t xml:space="preserve"> </w:t>
      </w:r>
    </w:p>
    <w:p w14:paraId="527EB7A7" w14:textId="77777777" w:rsidR="00466F2A" w:rsidRDefault="00466F2A" w:rsidP="008F3A99">
      <w:pPr>
        <w:pStyle w:val="NormalBulleted"/>
      </w:pPr>
      <w:r>
        <w:t>GP referral without need for pre-test specialist attendance for patients who have a high pre-test probability for moderate to severe obstructive sleep apnoea (OSA)</w:t>
      </w:r>
      <w:r w:rsidR="002E7D7D" w:rsidRPr="002E7D7D">
        <w:t xml:space="preserve"> </w:t>
      </w:r>
      <w:r w:rsidR="002E7D7D">
        <w:t>using validated assessment tools</w:t>
      </w:r>
      <w:r w:rsidR="008F3A99">
        <w:t>.</w:t>
      </w:r>
    </w:p>
    <w:p w14:paraId="62586971" w14:textId="77777777" w:rsidR="00466F2A" w:rsidRDefault="00466F2A" w:rsidP="008F3A99">
      <w:pPr>
        <w:pStyle w:val="NormalBulleted"/>
      </w:pPr>
      <w:r>
        <w:t xml:space="preserve">Referral to testing for a wider range of sleep disorders than currently permitted when the patient has </w:t>
      </w:r>
      <w:r w:rsidR="008F3A99">
        <w:t xml:space="preserve">been assessed by a respiratory </w:t>
      </w:r>
      <w:r>
        <w:t>or sleep specialist</w:t>
      </w:r>
      <w:r w:rsidR="008F3A99">
        <w:t>.</w:t>
      </w:r>
    </w:p>
    <w:p w14:paraId="74D203D7" w14:textId="77777777" w:rsidR="00466F2A" w:rsidRDefault="00466F2A" w:rsidP="008F3A99">
      <w:pPr>
        <w:pStyle w:val="NormalBulleted"/>
      </w:pPr>
      <w:r>
        <w:t>Better triage of patients to the most suitable test</w:t>
      </w:r>
      <w:r w:rsidR="002E7D7D">
        <w:t>, noting that patients who have high pre-test probability for uncomplicated OSA are generally suitable for unattended sleep studies.</w:t>
      </w:r>
    </w:p>
    <w:p w14:paraId="37EA4F9C" w14:textId="77777777" w:rsidR="002E7D7D" w:rsidRDefault="002E7D7D" w:rsidP="002E7D7D">
      <w:pPr>
        <w:pStyle w:val="NormalBulleted"/>
      </w:pPr>
      <w:r>
        <w:t>Better use of follow up studies with closer involvement of sleep physicians in determining the need for follow up testing.</w:t>
      </w:r>
    </w:p>
    <w:p w14:paraId="32FCDAEE" w14:textId="77777777" w:rsidR="002E7D7D" w:rsidRDefault="002E7D7D" w:rsidP="002E7D7D">
      <w:pPr>
        <w:pStyle w:val="NormalBulleted"/>
      </w:pPr>
      <w:r>
        <w:t xml:space="preserve">Addition of new items to the MBS for APAP titration and vigilance testing following MSAC appraisal. The </w:t>
      </w:r>
      <w:r w:rsidR="00090640">
        <w:t xml:space="preserve">Committee </w:t>
      </w:r>
      <w:r>
        <w:t>recommends that these new services should be considered once the impact of the other proposed changes to sleep study items can be assessed.</w:t>
      </w:r>
    </w:p>
    <w:p w14:paraId="2967AC56" w14:textId="77777777" w:rsidR="00466F2A" w:rsidRDefault="00365D71" w:rsidP="005C1F76">
      <w:r>
        <w:t xml:space="preserve">Further detail is at </w:t>
      </w:r>
      <w:r w:rsidR="002C1E62">
        <w:t xml:space="preserve">section </w:t>
      </w:r>
      <w:r w:rsidR="002E7D7D">
        <w:t>6</w:t>
      </w:r>
      <w:r w:rsidR="002C1E62">
        <w:t>.</w:t>
      </w:r>
    </w:p>
    <w:p w14:paraId="094B2AD9" w14:textId="77777777" w:rsidR="00466F2A" w:rsidRPr="007F34AB" w:rsidRDefault="007F34AB" w:rsidP="00DF4FDF">
      <w:pPr>
        <w:pStyle w:val="Heading3"/>
      </w:pPr>
      <w:r w:rsidRPr="00DF4FDF">
        <w:t>Recommendation</w:t>
      </w:r>
      <w:r>
        <w:t xml:space="preserve"> 4:</w:t>
      </w:r>
      <w:r w:rsidR="00A403FC">
        <w:t xml:space="preserve"> </w:t>
      </w:r>
      <w:r w:rsidR="0081446B">
        <w:t>Diagnostic and therapeutic p</w:t>
      </w:r>
      <w:r w:rsidR="00466F2A" w:rsidRPr="00416B9E">
        <w:t>rocedures</w:t>
      </w:r>
      <w:r w:rsidR="0081446B">
        <w:t xml:space="preserve"> –</w:t>
      </w:r>
      <w:r w:rsidR="00466F2A" w:rsidRPr="00416B9E">
        <w:t xml:space="preserve"> </w:t>
      </w:r>
      <w:r w:rsidR="0081446B" w:rsidRPr="00416B9E">
        <w:t>lung</w:t>
      </w:r>
      <w:r w:rsidR="0081446B">
        <w:t xml:space="preserve">, </w:t>
      </w:r>
      <w:r w:rsidR="00466F2A" w:rsidRPr="00416B9E">
        <w:t>trachea</w:t>
      </w:r>
      <w:r w:rsidR="0081446B">
        <w:t xml:space="preserve"> and </w:t>
      </w:r>
      <w:r w:rsidR="00466F2A" w:rsidRPr="00416B9E">
        <w:t xml:space="preserve">bronchus </w:t>
      </w:r>
    </w:p>
    <w:p w14:paraId="23B784E0" w14:textId="77777777" w:rsidR="00466F2A" w:rsidRDefault="007F34AB" w:rsidP="005C1F76">
      <w:r>
        <w:t xml:space="preserve">The Committee </w:t>
      </w:r>
      <w:r w:rsidR="005C2498">
        <w:t xml:space="preserve">recommends </w:t>
      </w:r>
      <w:r>
        <w:t>that n</w:t>
      </w:r>
      <w:r w:rsidR="0081446B">
        <w:t>o changes be made to the items relating to diagnostic and therapeutic procedures for lung, trachea and bronchus 30696, 30710, 41889, 41892, 41893, 41898 and 41905</w:t>
      </w:r>
      <w:r>
        <w:t>.</w:t>
      </w:r>
      <w:r w:rsidR="00A403FC">
        <w:t xml:space="preserve"> </w:t>
      </w:r>
    </w:p>
    <w:p w14:paraId="52714823" w14:textId="424EB04B" w:rsidR="007F34AB" w:rsidRPr="006158A4" w:rsidRDefault="007F34AB" w:rsidP="005C1F76">
      <w:bookmarkStart w:id="22" w:name="_Toc452990598"/>
      <w:r>
        <w:t>Further detail is at section</w:t>
      </w:r>
      <w:r w:rsidR="007B78B9">
        <w:t xml:space="preserve"> </w:t>
      </w:r>
      <w:r w:rsidR="007B78B9">
        <w:fldChar w:fldCharType="begin"/>
      </w:r>
      <w:r w:rsidR="007B78B9">
        <w:instrText xml:space="preserve"> REF _Ref457198246 \r \h </w:instrText>
      </w:r>
      <w:r w:rsidR="007B78B9">
        <w:fldChar w:fldCharType="separate"/>
      </w:r>
      <w:r w:rsidR="00F2203C">
        <w:t>7</w:t>
      </w:r>
      <w:r w:rsidR="007B78B9">
        <w:fldChar w:fldCharType="end"/>
      </w:r>
      <w:r w:rsidR="007B78B9">
        <w:t>.</w:t>
      </w:r>
    </w:p>
    <w:bookmarkEnd w:id="22"/>
    <w:p w14:paraId="5EE93A7C" w14:textId="77777777" w:rsidR="0081446B" w:rsidRPr="007F34AB" w:rsidRDefault="0081446B" w:rsidP="00DF4FDF">
      <w:pPr>
        <w:pStyle w:val="Heading3"/>
      </w:pPr>
      <w:r w:rsidRPr="00DF4FDF">
        <w:lastRenderedPageBreak/>
        <w:t>Recommendation</w:t>
      </w:r>
      <w:r>
        <w:t xml:space="preserve"> 5:</w:t>
      </w:r>
      <w:r w:rsidR="00A403FC">
        <w:t xml:space="preserve"> </w:t>
      </w:r>
      <w:r>
        <w:t>Obsolete items</w:t>
      </w:r>
    </w:p>
    <w:p w14:paraId="347583BC" w14:textId="77777777" w:rsidR="00466F2A" w:rsidRPr="00851104" w:rsidRDefault="00466F2A" w:rsidP="005C1F76">
      <w:r w:rsidRPr="00851104">
        <w:t>The Committee recommended that the following items be removed from the MBS</w:t>
      </w:r>
      <w:r>
        <w:t>:</w:t>
      </w:r>
    </w:p>
    <w:p w14:paraId="1B4B913A" w14:textId="77777777" w:rsidR="00466F2A" w:rsidRPr="00851104" w:rsidRDefault="00466F2A" w:rsidP="007F34AB">
      <w:pPr>
        <w:pStyle w:val="NormalBulleted"/>
      </w:pPr>
      <w:r w:rsidRPr="007F34AB">
        <w:rPr>
          <w:b/>
        </w:rPr>
        <w:t>11500</w:t>
      </w:r>
      <w:r w:rsidRPr="00851104">
        <w:rPr>
          <w:i/>
        </w:rPr>
        <w:t xml:space="preserve"> – </w:t>
      </w:r>
      <w:r w:rsidRPr="00851104">
        <w:t>Bronchospirometry, including gas analysis</w:t>
      </w:r>
    </w:p>
    <w:p w14:paraId="3D0F0DF3" w14:textId="77777777" w:rsidR="00466F2A" w:rsidRPr="00851104" w:rsidRDefault="00466F2A" w:rsidP="00E74CB1">
      <w:pPr>
        <w:pStyle w:val="NormalBulleted"/>
      </w:pPr>
      <w:r w:rsidRPr="007F34AB">
        <w:rPr>
          <w:b/>
        </w:rPr>
        <w:t>11509</w:t>
      </w:r>
      <w:r w:rsidRPr="00851104">
        <w:rPr>
          <w:i/>
        </w:rPr>
        <w:t xml:space="preserve"> – </w:t>
      </w:r>
      <w:r w:rsidRPr="00DA5B19">
        <w:t>Measurement of respiratory function involving a permanently recorded tracing and written report performed before and after inhalation of a bronchodilator</w:t>
      </w:r>
    </w:p>
    <w:p w14:paraId="0596FFBE" w14:textId="77777777" w:rsidR="002E7D7D" w:rsidRPr="00851104" w:rsidRDefault="002E7D7D" w:rsidP="005C1F76">
      <w:bookmarkStart w:id="23" w:name="_Toc437955793"/>
      <w:bookmarkStart w:id="24" w:name="_Toc452990604"/>
      <w:bookmarkStart w:id="25" w:name="_Toc434329376"/>
      <w:r w:rsidRPr="005C3BF8">
        <w:t>Following public consultation</w:t>
      </w:r>
      <w:r w:rsidRPr="00851104">
        <w:t>, the MBS Reviews Taskforce has endorsed the recommendation to remove item 11500.</w:t>
      </w:r>
    </w:p>
    <w:p w14:paraId="0CDDD50C" w14:textId="1630256C" w:rsidR="002C1E62" w:rsidRPr="006158A4" w:rsidRDefault="002E7D7D" w:rsidP="005C1F76">
      <w:r w:rsidRPr="00851104">
        <w:t xml:space="preserve">The </w:t>
      </w:r>
      <w:r w:rsidR="00090640">
        <w:t>Committee</w:t>
      </w:r>
      <w:r w:rsidR="00090640" w:rsidRPr="00851104">
        <w:t xml:space="preserve"> </w:t>
      </w:r>
      <w:r w:rsidRPr="00851104">
        <w:t>suggest</w:t>
      </w:r>
      <w:r>
        <w:t>s</w:t>
      </w:r>
      <w:r w:rsidRPr="00851104">
        <w:t xml:space="preserve"> that Item 11509 should be subsumed into item 11512, which also provides for spirometry performed in a respiratory laboratory.</w:t>
      </w:r>
      <w:r>
        <w:t xml:space="preserve"> </w:t>
      </w:r>
      <w:r w:rsidR="002C1E62">
        <w:t xml:space="preserve">Further detail is at section </w:t>
      </w:r>
      <w:r w:rsidR="007B78B9">
        <w:fldChar w:fldCharType="begin"/>
      </w:r>
      <w:r w:rsidR="007B78B9">
        <w:instrText xml:space="preserve"> REF _Ref457198185 \r \h </w:instrText>
      </w:r>
      <w:r w:rsidR="007B78B9">
        <w:fldChar w:fldCharType="separate"/>
      </w:r>
      <w:r w:rsidR="00F2203C">
        <w:t>8</w:t>
      </w:r>
      <w:r w:rsidR="007B78B9">
        <w:fldChar w:fldCharType="end"/>
      </w:r>
      <w:r w:rsidR="007B78B9">
        <w:t>.</w:t>
      </w:r>
    </w:p>
    <w:p w14:paraId="3542E99A" w14:textId="77777777" w:rsidR="0081446B" w:rsidRPr="007F34AB" w:rsidRDefault="0081446B" w:rsidP="00DF4FDF">
      <w:pPr>
        <w:pStyle w:val="Heading3"/>
      </w:pPr>
      <w:r w:rsidRPr="00DF4FDF">
        <w:t>Recommendation</w:t>
      </w:r>
      <w:r>
        <w:t xml:space="preserve"> 6:</w:t>
      </w:r>
      <w:r w:rsidR="00A403FC">
        <w:t xml:space="preserve"> </w:t>
      </w:r>
      <w:r>
        <w:t>Generic issues identified by the Committee</w:t>
      </w:r>
    </w:p>
    <w:bookmarkEnd w:id="23"/>
    <w:bookmarkEnd w:id="24"/>
    <w:p w14:paraId="63089448" w14:textId="4FEFF31F" w:rsidR="0081446B" w:rsidRPr="00BC2064" w:rsidRDefault="0081446B" w:rsidP="005C1F76">
      <w:pPr>
        <w:rPr>
          <w:rFonts w:eastAsiaTheme="minorHAnsi"/>
        </w:rPr>
      </w:pPr>
      <w:r>
        <w:rPr>
          <w:rFonts w:eastAsiaTheme="minorHAnsi"/>
          <w:lang w:val="en-US" w:eastAsia="en-US"/>
        </w:rPr>
        <w:t>The Committee identified a number of issues which were not specific to Thoracic Medicine.</w:t>
      </w:r>
      <w:r w:rsidR="00A403FC">
        <w:rPr>
          <w:rFonts w:eastAsiaTheme="minorHAnsi"/>
          <w:lang w:val="en-US" w:eastAsia="en-US"/>
        </w:rPr>
        <w:t xml:space="preserve"> </w:t>
      </w:r>
      <w:r w:rsidR="000A5970">
        <w:rPr>
          <w:rFonts w:eastAsiaTheme="minorHAnsi"/>
          <w:lang w:val="en-US" w:eastAsia="en-US"/>
        </w:rPr>
        <w:t>These issues relate to low value care; services being undertaken out of Australia and undertaking a review of recommended changes.</w:t>
      </w:r>
      <w:r w:rsidR="00A403FC">
        <w:rPr>
          <w:rFonts w:eastAsiaTheme="minorHAnsi"/>
          <w:lang w:val="en-US" w:eastAsia="en-US"/>
        </w:rPr>
        <w:t xml:space="preserve"> </w:t>
      </w:r>
      <w:r>
        <w:rPr>
          <w:rFonts w:eastAsiaTheme="minorHAnsi"/>
          <w:lang w:val="en-US" w:eastAsia="en-US"/>
        </w:rPr>
        <w:t>These issues are being considered by the Taskforce.</w:t>
      </w:r>
      <w:r w:rsidR="00A403FC">
        <w:rPr>
          <w:rFonts w:eastAsiaTheme="minorHAnsi"/>
          <w:lang w:val="en-US" w:eastAsia="en-US"/>
        </w:rPr>
        <w:t xml:space="preserve"> </w:t>
      </w:r>
      <w:r w:rsidR="000A5970">
        <w:rPr>
          <w:rFonts w:eastAsiaTheme="minorHAnsi"/>
          <w:lang w:val="en-US" w:eastAsia="en-US"/>
        </w:rPr>
        <w:t>Further detail is at section</w:t>
      </w:r>
      <w:r w:rsidR="007B78B9">
        <w:rPr>
          <w:rFonts w:eastAsiaTheme="minorHAnsi"/>
          <w:lang w:val="en-US" w:eastAsia="en-US"/>
        </w:rPr>
        <w:t xml:space="preserve"> </w:t>
      </w:r>
      <w:r w:rsidR="007B78B9">
        <w:rPr>
          <w:rFonts w:eastAsiaTheme="minorHAnsi"/>
          <w:lang w:val="en-US" w:eastAsia="en-US"/>
        </w:rPr>
        <w:fldChar w:fldCharType="begin"/>
      </w:r>
      <w:r w:rsidR="007B78B9">
        <w:rPr>
          <w:rFonts w:eastAsiaTheme="minorHAnsi"/>
          <w:lang w:val="en-US" w:eastAsia="en-US"/>
        </w:rPr>
        <w:instrText xml:space="preserve"> REF _Ref457147510 \r \h </w:instrText>
      </w:r>
      <w:r w:rsidR="007B78B9">
        <w:rPr>
          <w:rFonts w:eastAsiaTheme="minorHAnsi"/>
          <w:lang w:val="en-US" w:eastAsia="en-US"/>
        </w:rPr>
      </w:r>
      <w:r w:rsidR="007B78B9">
        <w:rPr>
          <w:rFonts w:eastAsiaTheme="minorHAnsi"/>
          <w:lang w:val="en-US" w:eastAsia="en-US"/>
        </w:rPr>
        <w:fldChar w:fldCharType="separate"/>
      </w:r>
      <w:r w:rsidR="00F2203C">
        <w:rPr>
          <w:rFonts w:eastAsiaTheme="minorHAnsi"/>
          <w:lang w:val="en-US" w:eastAsia="en-US"/>
        </w:rPr>
        <w:t>9</w:t>
      </w:r>
      <w:r w:rsidR="007B78B9">
        <w:rPr>
          <w:rFonts w:eastAsiaTheme="minorHAnsi"/>
          <w:lang w:val="en-US" w:eastAsia="en-US"/>
        </w:rPr>
        <w:fldChar w:fldCharType="end"/>
      </w:r>
      <w:r w:rsidR="000A5970">
        <w:rPr>
          <w:rFonts w:eastAsiaTheme="minorHAnsi"/>
          <w:lang w:val="en-US" w:eastAsia="en-US"/>
        </w:rPr>
        <w:t>.</w:t>
      </w:r>
    </w:p>
    <w:p w14:paraId="5B2D781B" w14:textId="77777777" w:rsidR="00880820" w:rsidRPr="00700528" w:rsidRDefault="00880820" w:rsidP="00DF4FDF">
      <w:pPr>
        <w:pStyle w:val="Heading2"/>
      </w:pPr>
      <w:bookmarkStart w:id="26" w:name="_Toc458509981"/>
      <w:bookmarkStart w:id="27" w:name="_Toc458768449"/>
      <w:bookmarkStart w:id="28" w:name="_Toc458768629"/>
      <w:bookmarkStart w:id="29" w:name="_Toc478721489"/>
      <w:bookmarkStart w:id="30" w:name="_Toc457053408"/>
      <w:bookmarkEnd w:id="25"/>
      <w:r w:rsidRPr="00DF4FDF">
        <w:t>Consumer</w:t>
      </w:r>
      <w:r w:rsidRPr="00700528">
        <w:t xml:space="preserve"> engagement</w:t>
      </w:r>
      <w:bookmarkEnd w:id="26"/>
      <w:bookmarkEnd w:id="27"/>
      <w:bookmarkEnd w:id="28"/>
      <w:bookmarkEnd w:id="29"/>
    </w:p>
    <w:p w14:paraId="7A657780" w14:textId="77777777" w:rsidR="00880820" w:rsidRPr="005E483A" w:rsidRDefault="00880820" w:rsidP="005C1F76">
      <w:pPr>
        <w:rPr>
          <w:rFonts w:ascii="Calibri" w:eastAsiaTheme="minorHAnsi" w:hAnsi="Calibri"/>
        </w:rPr>
      </w:pPr>
      <w:r w:rsidRPr="005E483A">
        <w:rPr>
          <w:rFonts w:eastAsiaTheme="minorHAnsi"/>
        </w:rPr>
        <w:t xml:space="preserve">The </w:t>
      </w:r>
      <w:r>
        <w:t>Committee</w:t>
      </w:r>
      <w:r w:rsidRPr="005E483A">
        <w:rPr>
          <w:rFonts w:eastAsiaTheme="minorHAnsi"/>
        </w:rPr>
        <w:t xml:space="preserve"> undertook one of the first clinical reviews. Committee members include health professionals and a consumer representative. The Committee found that many MBS items for thoracic medicine work well and do not require any change. However, some items for people with breathing problems like asthma, emphysema and sleep apnoea (stopping breathing when you are asleep) do require some changes. </w:t>
      </w:r>
    </w:p>
    <w:p w14:paraId="21A66595" w14:textId="77777777" w:rsidR="000A5970" w:rsidRDefault="00880820" w:rsidP="005C1F76">
      <w:pPr>
        <w:rPr>
          <w:rFonts w:eastAsiaTheme="minorHAnsi"/>
          <w:lang w:val="en-US" w:eastAsia="en-US"/>
        </w:rPr>
      </w:pPr>
      <w:r w:rsidRPr="005E483A">
        <w:rPr>
          <w:rFonts w:cs="Arial"/>
          <w:szCs w:val="22"/>
        </w:rPr>
        <w:t xml:space="preserve">The </w:t>
      </w:r>
      <w:r>
        <w:rPr>
          <w:rFonts w:cs="Arial"/>
          <w:szCs w:val="22"/>
        </w:rPr>
        <w:t>Committee</w:t>
      </w:r>
      <w:r w:rsidRPr="005E483A">
        <w:rPr>
          <w:rFonts w:cs="Arial"/>
          <w:szCs w:val="22"/>
        </w:rPr>
        <w:t xml:space="preserve"> believes it is important to find out from consumers if they will be helped or disadvantaged by the recommendations – and how, and why. Following the public consultation, the </w:t>
      </w:r>
      <w:r>
        <w:rPr>
          <w:rFonts w:cs="Arial"/>
          <w:szCs w:val="22"/>
        </w:rPr>
        <w:t>Committee</w:t>
      </w:r>
      <w:r w:rsidRPr="005E483A">
        <w:rPr>
          <w:rFonts w:cs="Arial"/>
          <w:szCs w:val="22"/>
        </w:rPr>
        <w:t xml:space="preserve"> will assess the advice from consumers and decide whether any changes are needed to the recommendations. The </w:t>
      </w:r>
      <w:r>
        <w:rPr>
          <w:rFonts w:cs="Arial"/>
          <w:szCs w:val="22"/>
        </w:rPr>
        <w:t>Committee</w:t>
      </w:r>
      <w:r w:rsidRPr="005E483A">
        <w:rPr>
          <w:rFonts w:cs="Arial"/>
          <w:szCs w:val="22"/>
        </w:rPr>
        <w:t xml:space="preserve"> will then send the recommendations to the MBS Taskforce. The Taskforce will consider the recommendations as well as the information provided by consumers in order to make sure that all the important concerns are addressed.</w:t>
      </w:r>
      <w:r w:rsidRPr="00A403FC">
        <w:t xml:space="preserve"> </w:t>
      </w:r>
      <w:r w:rsidRPr="005E483A">
        <w:rPr>
          <w:rFonts w:cs="Arial"/>
          <w:szCs w:val="22"/>
        </w:rPr>
        <w:t>The Taskforce will then provide the recommendation</w:t>
      </w:r>
      <w:r w:rsidR="00955338">
        <w:rPr>
          <w:rFonts w:cs="Arial"/>
          <w:szCs w:val="22"/>
        </w:rPr>
        <w:t>s</w:t>
      </w:r>
      <w:r w:rsidRPr="005E483A">
        <w:rPr>
          <w:rFonts w:cs="Arial"/>
          <w:szCs w:val="22"/>
        </w:rPr>
        <w:t xml:space="preserve"> to government.</w:t>
      </w:r>
      <w:r w:rsidR="000A5970">
        <w:br w:type="page"/>
      </w:r>
    </w:p>
    <w:p w14:paraId="0793D72E" w14:textId="77777777" w:rsidR="009837DB" w:rsidRPr="007E02E9" w:rsidRDefault="00817A04" w:rsidP="00DF4FDF">
      <w:pPr>
        <w:pStyle w:val="Heading1"/>
      </w:pPr>
      <w:bookmarkStart w:id="31" w:name="_Toc458509982"/>
      <w:bookmarkStart w:id="32" w:name="_Toc458768450"/>
      <w:bookmarkStart w:id="33" w:name="_Toc458768630"/>
      <w:bookmarkStart w:id="34" w:name="_Toc478721490"/>
      <w:r w:rsidRPr="00DF4FDF">
        <w:lastRenderedPageBreak/>
        <w:t>About</w:t>
      </w:r>
      <w:r w:rsidRPr="007E02E9">
        <w:t xml:space="preserve"> the Medicare Benefits Schedule (MBS) Review</w:t>
      </w:r>
      <w:bookmarkEnd w:id="30"/>
      <w:bookmarkEnd w:id="31"/>
      <w:bookmarkEnd w:id="32"/>
      <w:bookmarkEnd w:id="33"/>
      <w:bookmarkEnd w:id="34"/>
      <w:r w:rsidRPr="007E02E9">
        <w:t xml:space="preserve"> </w:t>
      </w:r>
    </w:p>
    <w:p w14:paraId="4DB2AF37" w14:textId="77777777" w:rsidR="008A05B8" w:rsidRPr="00700528" w:rsidRDefault="00463B1C" w:rsidP="00DF4FDF">
      <w:pPr>
        <w:pStyle w:val="Heading2"/>
      </w:pPr>
      <w:bookmarkStart w:id="35" w:name="_Toc457053409"/>
      <w:bookmarkStart w:id="36" w:name="_Toc458509983"/>
      <w:bookmarkStart w:id="37" w:name="_Toc458768451"/>
      <w:bookmarkStart w:id="38" w:name="_Toc458768631"/>
      <w:bookmarkStart w:id="39" w:name="_Toc478721491"/>
      <w:r w:rsidRPr="00DF4FDF">
        <w:t>Medicare</w:t>
      </w:r>
      <w:r w:rsidRPr="00700528">
        <w:t xml:space="preserve"> and the MBS</w:t>
      </w:r>
      <w:bookmarkEnd w:id="35"/>
      <w:bookmarkEnd w:id="36"/>
      <w:bookmarkEnd w:id="37"/>
      <w:bookmarkEnd w:id="38"/>
      <w:bookmarkEnd w:id="39"/>
    </w:p>
    <w:p w14:paraId="5AF8B0F6" w14:textId="77777777" w:rsidR="006B0D15" w:rsidRPr="009200D8" w:rsidRDefault="006B0D15" w:rsidP="00DF4FDF">
      <w:pPr>
        <w:pStyle w:val="Heading3"/>
      </w:pPr>
      <w:r w:rsidRPr="00DF4FDF">
        <w:t>What</w:t>
      </w:r>
      <w:r w:rsidRPr="009200D8">
        <w:t xml:space="preserve"> is Medicare?</w:t>
      </w:r>
    </w:p>
    <w:p w14:paraId="11A9C15C" w14:textId="77777777" w:rsidR="006B0D15" w:rsidRPr="009D0EED" w:rsidRDefault="006B0D15" w:rsidP="00F56E64">
      <w:pPr>
        <w:rPr>
          <w:lang w:val="en-US" w:eastAsia="en-US"/>
        </w:rPr>
      </w:pPr>
      <w:r w:rsidRPr="00253F2C">
        <w:rPr>
          <w:lang w:val="en-US" w:eastAsia="en-US"/>
        </w:rPr>
        <w:t>Medicare is Australia’s universal health scheme</w:t>
      </w:r>
      <w:r w:rsidR="00A13A3C" w:rsidRPr="009D0EED">
        <w:rPr>
          <w:lang w:val="en-US" w:eastAsia="en-US"/>
        </w:rPr>
        <w:t xml:space="preserve"> which</w:t>
      </w:r>
      <w:r w:rsidRPr="009D0EED">
        <w:rPr>
          <w:lang w:val="en-US" w:eastAsia="en-US"/>
        </w:rPr>
        <w:t xml:space="preserve"> </w:t>
      </w:r>
      <w:r w:rsidR="00A13A3C" w:rsidRPr="009D0EED">
        <w:rPr>
          <w:lang w:val="en-US" w:eastAsia="en-US"/>
        </w:rPr>
        <w:t>enables</w:t>
      </w:r>
      <w:r w:rsidRPr="009D0EED">
        <w:rPr>
          <w:lang w:val="en-US" w:eastAsia="en-US"/>
        </w:rPr>
        <w:t xml:space="preserve"> all citizens (and some overseas visitors) </w:t>
      </w:r>
      <w:r w:rsidR="00F971B5" w:rsidRPr="009D0EED">
        <w:rPr>
          <w:lang w:val="en-US" w:eastAsia="en-US"/>
        </w:rPr>
        <w:t xml:space="preserve">to </w:t>
      </w:r>
      <w:r w:rsidR="00AE0B4C" w:rsidRPr="009D0EED">
        <w:rPr>
          <w:lang w:val="en-US" w:eastAsia="en-US"/>
        </w:rPr>
        <w:t>have</w:t>
      </w:r>
      <w:r w:rsidRPr="009D0EED">
        <w:rPr>
          <w:lang w:val="en-US" w:eastAsia="en-US"/>
        </w:rPr>
        <w:t xml:space="preserve"> access to a wide range of health services </w:t>
      </w:r>
      <w:r w:rsidR="00F971B5" w:rsidRPr="009D0EED">
        <w:rPr>
          <w:lang w:val="en-US" w:eastAsia="en-US"/>
        </w:rPr>
        <w:t xml:space="preserve">and medicines </w:t>
      </w:r>
      <w:r w:rsidRPr="009D0EED">
        <w:rPr>
          <w:lang w:val="en-US" w:eastAsia="en-US"/>
        </w:rPr>
        <w:t xml:space="preserve">at little or no cost. </w:t>
      </w:r>
    </w:p>
    <w:p w14:paraId="386BA0CB" w14:textId="77777777" w:rsidR="006B0D15" w:rsidRPr="009D0EED" w:rsidRDefault="00A13A3C" w:rsidP="00F56E64">
      <w:pPr>
        <w:rPr>
          <w:rFonts w:eastAsiaTheme="minorHAnsi"/>
          <w:b/>
          <w:lang w:eastAsia="en-US"/>
        </w:rPr>
      </w:pPr>
      <w:r w:rsidRPr="009D0EED">
        <w:t>Introduced in 1984,</w:t>
      </w:r>
      <w:r w:rsidR="00536EB8" w:rsidRPr="009D0EED">
        <w:t xml:space="preserve"> </w:t>
      </w:r>
      <w:r w:rsidR="006B0D15" w:rsidRPr="009D0EED">
        <w:t xml:space="preserve">Medicare </w:t>
      </w:r>
      <w:r w:rsidRPr="009D0EED">
        <w:t>has three components</w:t>
      </w:r>
      <w:r w:rsidR="0076332F">
        <w:t>,</w:t>
      </w:r>
      <w:r w:rsidRPr="009D0EED">
        <w:t xml:space="preserve"> being free public hospital services for public patients, subsidised drugs covered by the Pharmaceutical Benefits Scheme</w:t>
      </w:r>
      <w:r w:rsidR="0076332F">
        <w:t>,</w:t>
      </w:r>
      <w:r w:rsidRPr="009D0EED">
        <w:t xml:space="preserve"> and subsidised health professional services listed on the Medicare Benefits Schedule (MBS</w:t>
      </w:r>
      <w:r w:rsidR="00F971B5" w:rsidRPr="009D0EED">
        <w:t>)</w:t>
      </w:r>
      <w:r w:rsidR="006B0D15" w:rsidRPr="009D0EED">
        <w:t>.</w:t>
      </w:r>
    </w:p>
    <w:p w14:paraId="14045255" w14:textId="77777777" w:rsidR="008A05B8" w:rsidRPr="009200D8" w:rsidRDefault="008A05B8" w:rsidP="005C1F76">
      <w:pPr>
        <w:pStyle w:val="Heading3"/>
      </w:pPr>
      <w:r w:rsidRPr="005C1F76">
        <w:t>What</w:t>
      </w:r>
      <w:r w:rsidRPr="009200D8">
        <w:t xml:space="preserve"> is the Medicare Benefits Schedule (MBS)?</w:t>
      </w:r>
    </w:p>
    <w:p w14:paraId="04D73E68" w14:textId="77777777" w:rsidR="008A05B8" w:rsidRPr="009D0EED" w:rsidRDefault="00D57793" w:rsidP="00F56E64">
      <w:pPr>
        <w:rPr>
          <w:lang w:val="en-US" w:eastAsia="en-US"/>
        </w:rPr>
      </w:pPr>
      <w:r w:rsidRPr="00253F2C">
        <w:rPr>
          <w:lang w:val="en-US" w:eastAsia="en-US"/>
        </w:rPr>
        <w:t>The Medicare Benefits Schedule (MBS) is a listing of the</w:t>
      </w:r>
      <w:r w:rsidR="00A13A3C" w:rsidRPr="009D0EED">
        <w:rPr>
          <w:lang w:val="en-US" w:eastAsia="en-US"/>
        </w:rPr>
        <w:t xml:space="preserve"> health </w:t>
      </w:r>
      <w:r w:rsidR="00536EB8" w:rsidRPr="009D0EED">
        <w:rPr>
          <w:lang w:val="en-US" w:eastAsia="en-US"/>
        </w:rPr>
        <w:t>professional services</w:t>
      </w:r>
      <w:r w:rsidRPr="009D0EED">
        <w:rPr>
          <w:lang w:val="en-US" w:eastAsia="en-US"/>
        </w:rPr>
        <w:t xml:space="preserve"> subsidised by the Australian </w:t>
      </w:r>
      <w:r w:rsidR="00536EB8" w:rsidRPr="009D0EED">
        <w:rPr>
          <w:lang w:val="en-US" w:eastAsia="en-US"/>
        </w:rPr>
        <w:t>government. There</w:t>
      </w:r>
      <w:r w:rsidR="00F971B5" w:rsidRPr="009D0EED">
        <w:rPr>
          <w:lang w:val="en-US" w:eastAsia="en-US"/>
        </w:rPr>
        <w:t xml:space="preserve"> are over 5</w:t>
      </w:r>
      <w:r w:rsidR="0076332F">
        <w:rPr>
          <w:lang w:val="en-US" w:eastAsia="en-US"/>
        </w:rPr>
        <w:t>,</w:t>
      </w:r>
      <w:r w:rsidR="00F971B5" w:rsidRPr="009D0EED">
        <w:rPr>
          <w:lang w:val="en-US" w:eastAsia="en-US"/>
        </w:rPr>
        <w:t xml:space="preserve">700 MBS items </w:t>
      </w:r>
      <w:r w:rsidR="00536EB8" w:rsidRPr="009D0EED">
        <w:rPr>
          <w:lang w:val="en-US" w:eastAsia="en-US"/>
        </w:rPr>
        <w:t>which provide</w:t>
      </w:r>
      <w:r w:rsidR="00F971B5" w:rsidRPr="009D0EED">
        <w:rPr>
          <w:lang w:val="en-US" w:eastAsia="en-US"/>
        </w:rPr>
        <w:t xml:space="preserve"> </w:t>
      </w:r>
      <w:r w:rsidR="00992A24">
        <w:rPr>
          <w:lang w:val="en-US" w:eastAsia="en-US"/>
        </w:rPr>
        <w:t>benefits to patients</w:t>
      </w:r>
      <w:r w:rsidR="00992A24" w:rsidRPr="009D0EED">
        <w:rPr>
          <w:lang w:val="en-US" w:eastAsia="en-US"/>
        </w:rPr>
        <w:t xml:space="preserve"> </w:t>
      </w:r>
      <w:r w:rsidR="00536EB8" w:rsidRPr="009D0EED">
        <w:rPr>
          <w:lang w:val="en-US" w:eastAsia="en-US"/>
        </w:rPr>
        <w:t>for</w:t>
      </w:r>
      <w:r w:rsidR="00F971B5" w:rsidRPr="009D0EED">
        <w:rPr>
          <w:lang w:val="en-US" w:eastAsia="en-US"/>
        </w:rPr>
        <w:t xml:space="preserve"> a comprehensive range </w:t>
      </w:r>
      <w:r w:rsidR="0054443F" w:rsidRPr="009D0EED">
        <w:rPr>
          <w:lang w:val="en-US" w:eastAsia="en-US"/>
        </w:rPr>
        <w:t>of services</w:t>
      </w:r>
      <w:r w:rsidR="00F971B5" w:rsidRPr="009D0EED">
        <w:rPr>
          <w:lang w:val="en-US" w:eastAsia="en-US"/>
        </w:rPr>
        <w:t xml:space="preserve"> including consultations, diagnostic tests and operations. </w:t>
      </w:r>
    </w:p>
    <w:p w14:paraId="5081BFBF" w14:textId="77777777" w:rsidR="008A05B8" w:rsidRPr="009200D8" w:rsidRDefault="008A05B8" w:rsidP="006F282D">
      <w:pPr>
        <w:pStyle w:val="Heading2"/>
      </w:pPr>
      <w:bookmarkStart w:id="40" w:name="_Toc478721492"/>
      <w:r w:rsidRPr="005C1F76">
        <w:t>What</w:t>
      </w:r>
      <w:r w:rsidRPr="009200D8">
        <w:t xml:space="preserve"> is the MBS Review Taskforce?</w:t>
      </w:r>
      <w:bookmarkEnd w:id="40"/>
    </w:p>
    <w:p w14:paraId="1CA5E36C" w14:textId="77777777" w:rsidR="008A05B8" w:rsidRPr="009D40D0" w:rsidRDefault="008A05B8" w:rsidP="00F56E64">
      <w:pPr>
        <w:rPr>
          <w:lang w:val="en-US" w:eastAsia="en-US"/>
        </w:rPr>
      </w:pPr>
      <w:r w:rsidRPr="00253F2C">
        <w:rPr>
          <w:lang w:val="en-US" w:eastAsia="en-US"/>
        </w:rPr>
        <w:t>The government has established a Medicare Review Taskforce to review all of the 5</w:t>
      </w:r>
      <w:r w:rsidR="0076332F">
        <w:rPr>
          <w:lang w:val="en-US" w:eastAsia="en-US"/>
        </w:rPr>
        <w:t>,</w:t>
      </w:r>
      <w:r w:rsidRPr="00253F2C">
        <w:rPr>
          <w:lang w:val="en-US" w:eastAsia="en-US"/>
        </w:rPr>
        <w:t>700 M</w:t>
      </w:r>
      <w:r w:rsidR="00F971B5" w:rsidRPr="009D0EED">
        <w:rPr>
          <w:lang w:val="en-US" w:eastAsia="en-US"/>
        </w:rPr>
        <w:t>BS</w:t>
      </w:r>
      <w:r w:rsidRPr="009D0EED">
        <w:rPr>
          <w:lang w:val="en-US" w:eastAsia="en-US"/>
        </w:rPr>
        <w:t xml:space="preserve"> items to ensure they are aligned w</w:t>
      </w:r>
      <w:r w:rsidRPr="009D40D0">
        <w:rPr>
          <w:lang w:val="en-US" w:eastAsia="en-US"/>
        </w:rPr>
        <w:t>ith contemporary clinical evidence and practice and improve health outcomes for patients.</w:t>
      </w:r>
    </w:p>
    <w:p w14:paraId="23126254" w14:textId="77777777" w:rsidR="008A05B8" w:rsidRPr="002C1E62" w:rsidRDefault="00202DB4" w:rsidP="006F282D">
      <w:pPr>
        <w:pStyle w:val="Heading3"/>
      </w:pPr>
      <w:bookmarkStart w:id="41" w:name="_Toc457053410"/>
      <w:bookmarkStart w:id="42" w:name="_Toc458509984"/>
      <w:bookmarkStart w:id="43" w:name="_Toc458768452"/>
      <w:bookmarkStart w:id="44" w:name="_Toc458768632"/>
      <w:r w:rsidRPr="002C1E62">
        <w:t>What are the g</w:t>
      </w:r>
      <w:r w:rsidR="009A1898" w:rsidRPr="002C1E62">
        <w:t>oals of the Taskforce?</w:t>
      </w:r>
      <w:bookmarkEnd w:id="41"/>
      <w:bookmarkEnd w:id="42"/>
      <w:bookmarkEnd w:id="43"/>
      <w:bookmarkEnd w:id="44"/>
    </w:p>
    <w:p w14:paraId="1352FDEB" w14:textId="77777777" w:rsidR="00AE0B4C" w:rsidRPr="009D0EED" w:rsidRDefault="00AE0B4C" w:rsidP="00F56E64">
      <w:r w:rsidRPr="009D0EED">
        <w:t>The Taskforce is committed to providing recommendations to the Minister that will allow the MBS to deliver on each of these four key goals:</w:t>
      </w:r>
    </w:p>
    <w:p w14:paraId="71E3EC32" w14:textId="77777777" w:rsidR="00AE0B4C" w:rsidRPr="003A6B42" w:rsidRDefault="00AE0B4C" w:rsidP="00E74CB1">
      <w:pPr>
        <w:pStyle w:val="NormalBulleted"/>
        <w:rPr>
          <w:lang w:val="en-US"/>
        </w:rPr>
      </w:pPr>
      <w:r w:rsidRPr="003A6B42">
        <w:rPr>
          <w:b/>
          <w:lang w:val="en-US"/>
        </w:rPr>
        <w:t>Affordable and universal access</w:t>
      </w:r>
      <w:r w:rsidRPr="003A6B42">
        <w:rPr>
          <w:lang w:val="en-US"/>
        </w:rPr>
        <w:t>—</w:t>
      </w:r>
      <w:r w:rsidR="00463B1C" w:rsidRPr="003A6B42">
        <w:rPr>
          <w:lang w:val="en-US"/>
        </w:rPr>
        <w:t xml:space="preserve"> </w:t>
      </w:r>
      <w:r w:rsidR="00306AC2" w:rsidRPr="003A6B42">
        <w:rPr>
          <w:lang w:val="en-US"/>
        </w:rPr>
        <w:t>the</w:t>
      </w:r>
      <w:r w:rsidRPr="003A6B42">
        <w:rPr>
          <w:lang w:val="en-US"/>
        </w:rPr>
        <w:t xml:space="preserve"> evidence demonstrates that the MBS supports very good access to primary care services for most Australians, particularly in urban Australia. However, despite increases in the specialist workforce over the last decade, access to many specialist services remains problematic with some rural patients being particularly under-serviced.</w:t>
      </w:r>
    </w:p>
    <w:p w14:paraId="4FE93379" w14:textId="77777777" w:rsidR="00AE0B4C" w:rsidRPr="003A6B42" w:rsidRDefault="00AE0B4C" w:rsidP="00E74CB1">
      <w:pPr>
        <w:pStyle w:val="NormalBulleted"/>
        <w:rPr>
          <w:lang w:val="en-US"/>
        </w:rPr>
      </w:pPr>
      <w:r w:rsidRPr="003A6B42">
        <w:rPr>
          <w:b/>
          <w:lang w:val="en-US"/>
        </w:rPr>
        <w:t>Best practice health services</w:t>
      </w:r>
      <w:r w:rsidRPr="003A6B42">
        <w:rPr>
          <w:lang w:val="en-US"/>
        </w:rPr>
        <w:t>—</w:t>
      </w:r>
      <w:r w:rsidR="00715996" w:rsidRPr="003A6B42">
        <w:rPr>
          <w:lang w:val="en-US"/>
        </w:rPr>
        <w:t xml:space="preserve"> </w:t>
      </w:r>
      <w:r w:rsidR="00306AC2" w:rsidRPr="003A6B42">
        <w:rPr>
          <w:lang w:val="en-US"/>
        </w:rPr>
        <w:t>one</w:t>
      </w:r>
      <w:r w:rsidRPr="003A6B42">
        <w:rPr>
          <w:lang w:val="en-US"/>
        </w:rPr>
        <w:t xml:space="preserve"> of the core objectives of the Review is to modernise the MBS, ensuring that individual items and their descriptors are consistent with contemporary best practice </w:t>
      </w:r>
      <w:r w:rsidRPr="00E74CB1">
        <w:t>and</w:t>
      </w:r>
      <w:r w:rsidRPr="003A6B42">
        <w:rPr>
          <w:lang w:val="en-US"/>
        </w:rPr>
        <w:t xml:space="preserve"> the evidence base where possible. Although the Medical Services Advisory Committee (MSAC) plays a crucial role in thoroughly evaluating new services, the vast </w:t>
      </w:r>
      <w:r w:rsidR="0054443F" w:rsidRPr="003A6B42">
        <w:rPr>
          <w:lang w:val="en-US"/>
        </w:rPr>
        <w:t>majority of existing MBS items pre-dates this process and has</w:t>
      </w:r>
      <w:r w:rsidRPr="003A6B42">
        <w:rPr>
          <w:lang w:val="en-US"/>
        </w:rPr>
        <w:t xml:space="preserve"> never been reviewed.</w:t>
      </w:r>
    </w:p>
    <w:p w14:paraId="406885CB" w14:textId="77777777" w:rsidR="00AE0B4C" w:rsidRPr="003A6B42" w:rsidRDefault="00AE0B4C" w:rsidP="00E74CB1">
      <w:pPr>
        <w:pStyle w:val="NormalBulleted"/>
        <w:rPr>
          <w:lang w:val="en-US"/>
        </w:rPr>
      </w:pPr>
      <w:r w:rsidRPr="003A6B42">
        <w:rPr>
          <w:b/>
          <w:lang w:val="en-US"/>
        </w:rPr>
        <w:t>Value for the individual patient</w:t>
      </w:r>
      <w:r w:rsidR="00306AC2" w:rsidRPr="003A6B42">
        <w:rPr>
          <w:lang w:val="en-US"/>
        </w:rPr>
        <w:t>—a</w:t>
      </w:r>
      <w:r w:rsidRPr="003A6B42">
        <w:rPr>
          <w:lang w:val="en-US"/>
        </w:rPr>
        <w:t>nother core objective of the Review is to have a MBS that supports the delivery of services that are appropriate to the patient’s needs, provide real clinical value and do not expose the patient to unnecessary risk or expense.</w:t>
      </w:r>
    </w:p>
    <w:p w14:paraId="04E1989D" w14:textId="77777777" w:rsidR="00AE0B4C" w:rsidRPr="009D0EED" w:rsidRDefault="00AE0B4C" w:rsidP="00E74CB1">
      <w:pPr>
        <w:pStyle w:val="NormalBulleted"/>
      </w:pPr>
      <w:r w:rsidRPr="003A6B42">
        <w:rPr>
          <w:b/>
          <w:lang w:val="en-US"/>
        </w:rPr>
        <w:t>Value for the health system</w:t>
      </w:r>
      <w:r w:rsidR="00306AC2" w:rsidRPr="003A6B42">
        <w:rPr>
          <w:lang w:val="en-US"/>
        </w:rPr>
        <w:t>—a</w:t>
      </w:r>
      <w:r w:rsidRPr="003A6B42">
        <w:rPr>
          <w:lang w:val="en-US"/>
        </w:rPr>
        <w:t xml:space="preserve">chieving the above elements of the vision will go a long way to achieving improved value for the health system overall. Reducing the volume of services that provide little or no clinical benefit will enable resources to be redirected to new and existing services that have </w:t>
      </w:r>
      <w:r w:rsidRPr="00E74CB1">
        <w:t>proven</w:t>
      </w:r>
      <w:r w:rsidRPr="003A6B42">
        <w:rPr>
          <w:lang w:val="en-US"/>
        </w:rPr>
        <w:t xml:space="preserve"> benefit and are underused, particularly for patients who cannot readily access those services currently.</w:t>
      </w:r>
    </w:p>
    <w:p w14:paraId="5DA866AC" w14:textId="77777777" w:rsidR="00715996" w:rsidRPr="00700528" w:rsidRDefault="00715996" w:rsidP="002C1E62">
      <w:pPr>
        <w:pStyle w:val="Heading2"/>
      </w:pPr>
      <w:bookmarkStart w:id="45" w:name="_Toc457053411"/>
      <w:bookmarkStart w:id="46" w:name="_Toc458509985"/>
      <w:bookmarkStart w:id="47" w:name="_Toc458768453"/>
      <w:bookmarkStart w:id="48" w:name="_Toc458768633"/>
      <w:bookmarkStart w:id="49" w:name="_Toc478721493"/>
      <w:r w:rsidRPr="00700528">
        <w:lastRenderedPageBreak/>
        <w:t>Methods: The Taskforce’s approach</w:t>
      </w:r>
      <w:bookmarkEnd w:id="45"/>
      <w:bookmarkEnd w:id="46"/>
      <w:bookmarkEnd w:id="47"/>
      <w:bookmarkEnd w:id="48"/>
      <w:bookmarkEnd w:id="49"/>
    </w:p>
    <w:p w14:paraId="2077B1B3" w14:textId="77777777" w:rsidR="00715996" w:rsidRPr="009D0EED" w:rsidRDefault="00715996" w:rsidP="00F56E64">
      <w:r w:rsidRPr="00253F2C">
        <w:t xml:space="preserve">The Taskforce is </w:t>
      </w:r>
      <w:r w:rsidR="00AE0B4C" w:rsidRPr="009D0EED">
        <w:t xml:space="preserve">reviewing the existing MBS items, with </w:t>
      </w:r>
      <w:r w:rsidRPr="009D0EED">
        <w:t>a</w:t>
      </w:r>
      <w:r w:rsidR="00AE0B4C" w:rsidRPr="009D0EED">
        <w:t xml:space="preserve"> </w:t>
      </w:r>
      <w:r w:rsidRPr="009D0EED">
        <w:t xml:space="preserve">primary </w:t>
      </w:r>
      <w:r w:rsidR="00CE0E68" w:rsidRPr="009D0EED">
        <w:t>focus</w:t>
      </w:r>
      <w:r w:rsidR="00AE0B4C" w:rsidRPr="009D0EED">
        <w:t xml:space="preserve"> on ensuring that individual items and usage meet the definition of best practice. </w:t>
      </w:r>
    </w:p>
    <w:p w14:paraId="2AE8D202" w14:textId="77777777" w:rsidR="00AE0B4C" w:rsidRPr="009D0EED" w:rsidRDefault="00AE0B4C" w:rsidP="00F56E64">
      <w:r w:rsidRPr="009D0EED">
        <w:t xml:space="preserve">Within the Taskforce’s brief there is considerable scope to review and advise on all aspects which would contribute to a modern, transparent and responsive system. This includes not only making recommendations about new items or services being added to the MBS, but also about a MBS structure that could better accommodate changing health service models. </w:t>
      </w:r>
    </w:p>
    <w:p w14:paraId="40CD501F" w14:textId="77777777" w:rsidR="00AE0B4C" w:rsidRPr="009D0EED" w:rsidRDefault="00AE0B4C" w:rsidP="00F56E64">
      <w:r w:rsidRPr="009D0EED">
        <w:t xml:space="preserve">The Taskforce has made a conscious decision to be ambitious in its approach and seize this unique opportunity to recommend changes to modernise the MBS on all levels, from the clinical detail of individual items, to administrative rules and mechanisms, to structural, whole-of-MBS issues. </w:t>
      </w:r>
    </w:p>
    <w:p w14:paraId="1F879459" w14:textId="77777777" w:rsidR="00AE0B4C" w:rsidRPr="009D0EED" w:rsidRDefault="00715996" w:rsidP="00F56E64">
      <w:r w:rsidRPr="009D0EED">
        <w:t>The</w:t>
      </w:r>
      <w:r w:rsidR="00AE0B4C" w:rsidRPr="009D0EED">
        <w:t xml:space="preserve"> Taskforce will </w:t>
      </w:r>
      <w:r w:rsidRPr="009D0EED">
        <w:t>also develop a</w:t>
      </w:r>
      <w:r w:rsidR="00AE0B4C" w:rsidRPr="009D0EED">
        <w:t xml:space="preserve"> mechanism for the ongoing review of the MBS once the current Review is concluded.</w:t>
      </w:r>
    </w:p>
    <w:p w14:paraId="2F52E111" w14:textId="77777777" w:rsidR="00F971B5" w:rsidRPr="009D0EED" w:rsidRDefault="00F971B5" w:rsidP="00F56E64">
      <w:r w:rsidRPr="009D0EED">
        <w:t>As the Review is to be clinician</w:t>
      </w:r>
      <w:r w:rsidR="0076332F">
        <w:t>-</w:t>
      </w:r>
      <w:r w:rsidRPr="009D0EED">
        <w:t>led, the Taskforce has de</w:t>
      </w:r>
      <w:r w:rsidR="009A0DC4" w:rsidRPr="009D0EED">
        <w:t>cided that the detailed review of MBS items should be done by Clinical Committees. The Committees are broad based in their membership and members have been appointed in their individual capacity</w:t>
      </w:r>
      <w:r w:rsidR="0076332F">
        <w:t>,</w:t>
      </w:r>
      <w:r w:rsidR="009A0DC4" w:rsidRPr="009D0EED">
        <w:t xml:space="preserve"> not as representatives of any organisation. This draft report details the work done by the specific Clinical Committee </w:t>
      </w:r>
      <w:r w:rsidR="0054443F" w:rsidRPr="009D0EED">
        <w:t>and describes</w:t>
      </w:r>
      <w:r w:rsidR="009A0DC4" w:rsidRPr="009D0EED">
        <w:t xml:space="preserve"> the Committee’s recommendations and their rationale.</w:t>
      </w:r>
    </w:p>
    <w:p w14:paraId="19910EA3" w14:textId="77777777" w:rsidR="004D72E6" w:rsidRDefault="007E588A" w:rsidP="00F56E64">
      <w:r w:rsidRPr="009D0EED">
        <w:t xml:space="preserve">This report does not represent the final position of the Clinical Committee. </w:t>
      </w:r>
      <w:r w:rsidR="00306AC2" w:rsidRPr="009D0EED">
        <w:t xml:space="preserve">A consultation process will inform recommendations of the </w:t>
      </w:r>
      <w:r w:rsidR="002F79F4">
        <w:t>Committee</w:t>
      </w:r>
      <w:r w:rsidR="00CF3A42" w:rsidRPr="009D0EED">
        <w:t xml:space="preserve"> and </w:t>
      </w:r>
      <w:r w:rsidR="00306AC2" w:rsidRPr="009D0EED">
        <w:t xml:space="preserve">assist </w:t>
      </w:r>
      <w:r w:rsidR="002F79F4">
        <w:t xml:space="preserve">it </w:t>
      </w:r>
      <w:r w:rsidR="00306AC2" w:rsidRPr="009D0EED">
        <w:t xml:space="preserve">in finalising its report to the MBS review Taskforce. </w:t>
      </w:r>
    </w:p>
    <w:p w14:paraId="6CEB454D" w14:textId="77777777" w:rsidR="00306AC2" w:rsidRPr="009D0EED" w:rsidRDefault="00306AC2" w:rsidP="00F56E64">
      <w:pPr>
        <w:rPr>
          <w:lang w:val="en-US" w:eastAsia="en-US"/>
        </w:rPr>
      </w:pPr>
      <w:r w:rsidRPr="009D0EED">
        <w:t xml:space="preserve">Following consultation, the Clinical Committee will provide its final advice to the MBS Review Taskforce. </w:t>
      </w:r>
      <w:r w:rsidRPr="009D0EED">
        <w:rPr>
          <w:lang w:val="en-US" w:eastAsia="en-US"/>
        </w:rPr>
        <w:t xml:space="preserve">The Taskforce will consider the Review Report from Clinical Committees and stakeholder feedback before making recommendations to the Minister for consideration by Government. </w:t>
      </w:r>
    </w:p>
    <w:p w14:paraId="18CE7CC2" w14:textId="77777777" w:rsidR="00457693" w:rsidRPr="00700528" w:rsidRDefault="00457693" w:rsidP="002C1E62">
      <w:pPr>
        <w:pStyle w:val="Heading2"/>
      </w:pPr>
      <w:bookmarkStart w:id="50" w:name="_Toc457053412"/>
      <w:bookmarkStart w:id="51" w:name="_Toc458509986"/>
      <w:bookmarkStart w:id="52" w:name="_Toc458768454"/>
      <w:bookmarkStart w:id="53" w:name="_Toc458768634"/>
      <w:bookmarkStart w:id="54" w:name="_Toc478721494"/>
      <w:r w:rsidRPr="00700528">
        <w:t>Prioritisation process</w:t>
      </w:r>
      <w:bookmarkEnd w:id="50"/>
      <w:bookmarkEnd w:id="51"/>
      <w:bookmarkEnd w:id="52"/>
      <w:bookmarkEnd w:id="53"/>
      <w:bookmarkEnd w:id="54"/>
    </w:p>
    <w:p w14:paraId="4494D39A" w14:textId="77777777" w:rsidR="00457693" w:rsidRPr="009D0EED" w:rsidRDefault="00457693" w:rsidP="00F56E64">
      <w:r w:rsidRPr="009D0EED">
        <w:t>All MBS items will be reviewed during the course of the MBS Review. However</w:t>
      </w:r>
      <w:r w:rsidR="00D8120A">
        <w:t>,</w:t>
      </w:r>
      <w:r w:rsidRPr="009D0EED">
        <w:t xml:space="preserve"> </w:t>
      </w:r>
      <w:r w:rsidR="009A0DC4" w:rsidRPr="009D0EED">
        <w:t xml:space="preserve">given the breadth of </w:t>
      </w:r>
      <w:r w:rsidR="000309CE" w:rsidRPr="009D0EED">
        <w:t xml:space="preserve">and timeframe for </w:t>
      </w:r>
      <w:r w:rsidR="009A0DC4" w:rsidRPr="009D0EED">
        <w:t>the Review, each Clinical Committee has needed to develop a work</w:t>
      </w:r>
      <w:r w:rsidR="0026678E" w:rsidRPr="009D0EED">
        <w:t xml:space="preserve"> </w:t>
      </w:r>
      <w:r w:rsidR="009A0DC4" w:rsidRPr="009D0EED">
        <w:t>plan and assign priorities</w:t>
      </w:r>
      <w:r w:rsidR="000309CE" w:rsidRPr="009D0EED">
        <w:t xml:space="preserve"> keeping in mind the objectives of the Review. With a focus on </w:t>
      </w:r>
      <w:r w:rsidR="0054443F" w:rsidRPr="009D0EED">
        <w:t>improving the</w:t>
      </w:r>
      <w:r w:rsidR="000309CE" w:rsidRPr="009D0EED">
        <w:t xml:space="preserve"> clinical value of MBS services</w:t>
      </w:r>
      <w:r w:rsidR="0026678E" w:rsidRPr="009D0EED">
        <w:t>,</w:t>
      </w:r>
      <w:r w:rsidR="000309CE" w:rsidRPr="009D0EED">
        <w:t xml:space="preserve"> the Clinical Committees have taken account of factors including the volume </w:t>
      </w:r>
      <w:r w:rsidR="0026678E" w:rsidRPr="009D0EED">
        <w:t xml:space="preserve">of </w:t>
      </w:r>
      <w:r w:rsidR="000309CE" w:rsidRPr="009D0EED">
        <w:t xml:space="preserve">services, service </w:t>
      </w:r>
      <w:r w:rsidR="0026678E" w:rsidRPr="009D0EED">
        <w:t xml:space="preserve">patterns and </w:t>
      </w:r>
      <w:r w:rsidR="000309CE" w:rsidRPr="009D0EED">
        <w:t>growth</w:t>
      </w:r>
      <w:r w:rsidR="0026678E" w:rsidRPr="009D0EED">
        <w:t xml:space="preserve"> and variation in the per capita use of ser</w:t>
      </w:r>
      <w:r w:rsidR="00CF3A42" w:rsidRPr="009D0EED">
        <w:t>vices, to prioritise their work</w:t>
      </w:r>
      <w:r w:rsidRPr="009D0EED">
        <w:t>.</w:t>
      </w:r>
      <w:r w:rsidR="00A403FC">
        <w:t xml:space="preserve"> </w:t>
      </w:r>
      <w:r w:rsidR="0026678E" w:rsidRPr="009D0EED">
        <w:t xml:space="preserve">In addition to MBS </w:t>
      </w:r>
      <w:r w:rsidR="0054443F" w:rsidRPr="009D0EED">
        <w:t>data, important</w:t>
      </w:r>
      <w:r w:rsidR="000309CE" w:rsidRPr="009D0EED">
        <w:t xml:space="preserve"> resource</w:t>
      </w:r>
      <w:r w:rsidR="0026678E" w:rsidRPr="009D0EED">
        <w:t>s</w:t>
      </w:r>
      <w:r w:rsidR="000309CE" w:rsidRPr="009D0EED">
        <w:t xml:space="preserve"> for the Taskforce and the Clinical Committees have i</w:t>
      </w:r>
      <w:r w:rsidR="0026678E" w:rsidRPr="009D0EED">
        <w:t>ncluded</w:t>
      </w:r>
      <w:r w:rsidRPr="009D0EED">
        <w:t xml:space="preserve">: </w:t>
      </w:r>
    </w:p>
    <w:p w14:paraId="1C868C78" w14:textId="77777777" w:rsidR="00457693" w:rsidRPr="00E74CB1" w:rsidRDefault="0026678E" w:rsidP="00E74CB1">
      <w:pPr>
        <w:pStyle w:val="NormalBulleted"/>
      </w:pPr>
      <w:r w:rsidRPr="00490F36">
        <w:t>T</w:t>
      </w:r>
      <w:r w:rsidR="00457693" w:rsidRPr="00490F36">
        <w:t xml:space="preserve">he </w:t>
      </w:r>
      <w:r w:rsidR="00457693" w:rsidRPr="00E74CB1">
        <w:t xml:space="preserve">Choosing Wisely recommendations, both from Australian and internationally </w:t>
      </w:r>
    </w:p>
    <w:p w14:paraId="70C7A30B" w14:textId="77777777" w:rsidR="00457693" w:rsidRPr="00E74CB1" w:rsidRDefault="00457693" w:rsidP="00E74CB1">
      <w:pPr>
        <w:pStyle w:val="NormalBulleted"/>
      </w:pPr>
      <w:r w:rsidRPr="00E74CB1">
        <w:t xml:space="preserve">National Institute for Health and Care Excellence (NICE UK) Do Not Do recommendations and clinical guidance </w:t>
      </w:r>
    </w:p>
    <w:p w14:paraId="35C6D9D4" w14:textId="77777777" w:rsidR="004D72E6" w:rsidRPr="00490F36" w:rsidRDefault="0026678E" w:rsidP="00E74CB1">
      <w:pPr>
        <w:pStyle w:val="NormalBulleted"/>
      </w:pPr>
      <w:r w:rsidRPr="00E74CB1">
        <w:t>O</w:t>
      </w:r>
      <w:r w:rsidR="00457693" w:rsidRPr="00E74CB1">
        <w:t xml:space="preserve">ther </w:t>
      </w:r>
      <w:r w:rsidRPr="00E74CB1">
        <w:t>literature on low value care</w:t>
      </w:r>
      <w:r w:rsidR="00457693" w:rsidRPr="00E74CB1">
        <w:t xml:space="preserve">, including Elshaug et </w:t>
      </w:r>
      <w:r w:rsidR="001A3DE4" w:rsidRPr="00E74CB1">
        <w:t>al’s</w:t>
      </w:r>
      <w:r w:rsidR="001A3DE4">
        <w:rPr>
          <w:vertAlign w:val="superscript"/>
        </w:rPr>
        <w:t>1</w:t>
      </w:r>
      <w:r w:rsidR="001A3DE4" w:rsidRPr="00E74CB1">
        <w:t xml:space="preserve"> </w:t>
      </w:r>
      <w:r w:rsidR="004D72E6" w:rsidRPr="00E74CB1">
        <w:t>Medical Journal of Australia article on potentially</w:t>
      </w:r>
      <w:r w:rsidR="004D72E6" w:rsidRPr="00490F36">
        <w:t xml:space="preserve"> low value health services </w:t>
      </w:r>
    </w:p>
    <w:p w14:paraId="289F652C" w14:textId="77777777" w:rsidR="00DF4FDF" w:rsidRDefault="004D72E6" w:rsidP="00E74CB1">
      <w:pPr>
        <w:pStyle w:val="NormalBulleted"/>
      </w:pPr>
      <w:r w:rsidRPr="00490F36">
        <w:lastRenderedPageBreak/>
        <w:t xml:space="preserve">The </w:t>
      </w:r>
      <w:r w:rsidRPr="00E74CB1">
        <w:t>Australian</w:t>
      </w:r>
      <w:r w:rsidRPr="00490F36">
        <w:t xml:space="preserve"> Commission on </w:t>
      </w:r>
      <w:r w:rsidR="00FB16DE">
        <w:t>Safety</w:t>
      </w:r>
      <w:r w:rsidR="00FB16DE" w:rsidRPr="00490F36">
        <w:t xml:space="preserve"> </w:t>
      </w:r>
      <w:r w:rsidRPr="00490F36">
        <w:t xml:space="preserve">and </w:t>
      </w:r>
      <w:r w:rsidR="00FB16DE">
        <w:t>Quality</w:t>
      </w:r>
      <w:r w:rsidR="00FB16DE" w:rsidRPr="00490F36">
        <w:t xml:space="preserve"> </w:t>
      </w:r>
      <w:r w:rsidRPr="00490F36">
        <w:t>in Health Care’s (AC</w:t>
      </w:r>
      <w:r w:rsidR="00FB16DE">
        <w:t>S</w:t>
      </w:r>
      <w:r w:rsidRPr="00490F36">
        <w:t xml:space="preserve">QSHC) Atlas of </w:t>
      </w:r>
      <w:r w:rsidR="00FB16DE">
        <w:t>Healthcare</w:t>
      </w:r>
      <w:r w:rsidR="00FB16DE" w:rsidRPr="00490F36">
        <w:t xml:space="preserve"> </w:t>
      </w:r>
      <w:r w:rsidRPr="00490F36">
        <w:t>Variation.</w:t>
      </w:r>
      <w:r w:rsidR="00DF4FDF">
        <w:br w:type="page"/>
      </w:r>
    </w:p>
    <w:p w14:paraId="05F90395" w14:textId="77777777" w:rsidR="004D72E6" w:rsidRPr="009200D8" w:rsidRDefault="004D72E6" w:rsidP="00DF4FDF">
      <w:pPr>
        <w:pStyle w:val="Heading1"/>
      </w:pPr>
      <w:bookmarkStart w:id="55" w:name="_Toc457053413"/>
      <w:bookmarkStart w:id="56" w:name="_Toc458509987"/>
      <w:bookmarkStart w:id="57" w:name="_Toc458768455"/>
      <w:bookmarkStart w:id="58" w:name="_Toc458768635"/>
      <w:bookmarkStart w:id="59" w:name="_Toc478721495"/>
      <w:r w:rsidRPr="009200D8">
        <w:lastRenderedPageBreak/>
        <w:t xml:space="preserve">About </w:t>
      </w:r>
      <w:r w:rsidRPr="00DF4FDF">
        <w:t>the</w:t>
      </w:r>
      <w:r w:rsidR="00992A24">
        <w:t xml:space="preserve"> Thoracic Medicine</w:t>
      </w:r>
      <w:r w:rsidRPr="009200D8">
        <w:t xml:space="preserve"> </w:t>
      </w:r>
      <w:r w:rsidR="00684331">
        <w:t>Committee</w:t>
      </w:r>
      <w:bookmarkEnd w:id="55"/>
      <w:bookmarkEnd w:id="56"/>
      <w:bookmarkEnd w:id="57"/>
      <w:bookmarkEnd w:id="58"/>
      <w:bookmarkEnd w:id="59"/>
    </w:p>
    <w:p w14:paraId="3D0B2041" w14:textId="77777777" w:rsidR="004D72E6" w:rsidRPr="00684331" w:rsidRDefault="004D72E6" w:rsidP="00F56E64">
      <w:pPr>
        <w:rPr>
          <w:lang w:val="en-US" w:eastAsia="en-US"/>
        </w:rPr>
      </w:pPr>
      <w:r w:rsidRPr="009D0EED">
        <w:rPr>
          <w:rFonts w:cs="Arial"/>
        </w:rPr>
        <w:t xml:space="preserve">The </w:t>
      </w:r>
      <w:r w:rsidR="00684331">
        <w:rPr>
          <w:rFonts w:cs="Arial"/>
        </w:rPr>
        <w:t>Committee</w:t>
      </w:r>
      <w:r w:rsidRPr="009D0EED">
        <w:rPr>
          <w:rFonts w:cs="Arial"/>
        </w:rPr>
        <w:t xml:space="preserve"> was established </w:t>
      </w:r>
      <w:r w:rsidR="00684331" w:rsidRPr="00BC2064">
        <w:rPr>
          <w:lang w:val="en-US" w:eastAsia="en-US"/>
        </w:rPr>
        <w:t>to make recommendations to the MBS Review Taskforce on the review of MBS items within its remit, based on rapid evidence review and clinical expertise.</w:t>
      </w:r>
      <w:r w:rsidR="00A403FC">
        <w:rPr>
          <w:lang w:val="en-US" w:eastAsia="en-US"/>
        </w:rPr>
        <w:t xml:space="preserve"> </w:t>
      </w:r>
    </w:p>
    <w:p w14:paraId="6EE12F22" w14:textId="77777777" w:rsidR="004D72E6" w:rsidRPr="00700528" w:rsidRDefault="00C1199D" w:rsidP="002C1E62">
      <w:pPr>
        <w:pStyle w:val="Heading2"/>
      </w:pPr>
      <w:bookmarkStart w:id="60" w:name="_Toc455669872"/>
      <w:bookmarkStart w:id="61" w:name="_Toc457053414"/>
      <w:bookmarkStart w:id="62" w:name="_Toc458509988"/>
      <w:bookmarkStart w:id="63" w:name="_Toc458768456"/>
      <w:bookmarkStart w:id="64" w:name="_Toc458768636"/>
      <w:bookmarkStart w:id="65" w:name="_Toc478721496"/>
      <w:r>
        <w:t>Thoracic Medicine</w:t>
      </w:r>
      <w:r w:rsidR="00343775" w:rsidRPr="00700528">
        <w:t xml:space="preserve"> </w:t>
      </w:r>
      <w:r w:rsidR="004D72E6" w:rsidRPr="00700528">
        <w:t>Clinical Committee members</w:t>
      </w:r>
      <w:bookmarkEnd w:id="60"/>
      <w:bookmarkEnd w:id="61"/>
      <w:bookmarkEnd w:id="62"/>
      <w:bookmarkEnd w:id="63"/>
      <w:bookmarkEnd w:id="64"/>
      <w:bookmarkEnd w:id="65"/>
    </w:p>
    <w:p w14:paraId="4FDA1D2B" w14:textId="77777777" w:rsidR="004D72E6" w:rsidRPr="004A56C0" w:rsidRDefault="004D72E6" w:rsidP="00A51519">
      <w:pPr>
        <w:pStyle w:val="Caption"/>
        <w:tabs>
          <w:tab w:val="left" w:pos="1134"/>
        </w:tabs>
      </w:pPr>
      <w:bookmarkStart w:id="66" w:name="_Toc457450640"/>
      <w:bookmarkStart w:id="67" w:name="_Toc478721535"/>
      <w:r w:rsidRPr="004A56C0">
        <w:t>Table</w:t>
      </w:r>
      <w:r w:rsidR="00926B56">
        <w:t xml:space="preserve"> 1</w:t>
      </w:r>
      <w:r w:rsidR="003B0769" w:rsidRPr="004A56C0">
        <w:t>:</w:t>
      </w:r>
      <w:r w:rsidR="003B0769" w:rsidRPr="004A56C0">
        <w:tab/>
      </w:r>
      <w:r w:rsidR="00C1199D" w:rsidRPr="004A56C0">
        <w:t>Thoracic</w:t>
      </w:r>
      <w:r w:rsidR="00B40829" w:rsidRPr="004A56C0">
        <w:t xml:space="preserve"> Medicine</w:t>
      </w:r>
      <w:r w:rsidR="00A403FC">
        <w:t xml:space="preserve"> </w:t>
      </w:r>
      <w:r w:rsidR="00B40829" w:rsidRPr="004A56C0">
        <w:t>Clinical Committee m</w:t>
      </w:r>
      <w:r w:rsidRPr="004A56C0">
        <w:t>embers</w:t>
      </w:r>
      <w:bookmarkEnd w:id="66"/>
      <w:bookmarkEnd w:id="67"/>
    </w:p>
    <w:tbl>
      <w:tblPr>
        <w:tblStyle w:val="TableGrid"/>
        <w:tblW w:w="5000"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1 lists the members of the Thoracic Medicine Clinical Committee, their positions and their declared conflicts of interest. Except for the consumer representative, all members provide MBS services."/>
      </w:tblPr>
      <w:tblGrid>
        <w:gridCol w:w="2160"/>
        <w:gridCol w:w="3433"/>
        <w:gridCol w:w="3433"/>
      </w:tblGrid>
      <w:tr w:rsidR="00831F32" w:rsidRPr="00A403FC" w14:paraId="2C6888BA" w14:textId="77777777" w:rsidTr="0002627F">
        <w:trPr>
          <w:tblHeader/>
        </w:trPr>
        <w:tc>
          <w:tcPr>
            <w:tcW w:w="1196" w:type="pct"/>
            <w:shd w:val="clear" w:color="auto" w:fill="auto"/>
          </w:tcPr>
          <w:p w14:paraId="7D9DD129" w14:textId="77777777" w:rsidR="00831F32" w:rsidRPr="00A403FC" w:rsidRDefault="00831F32" w:rsidP="00A403FC">
            <w:pPr>
              <w:pStyle w:val="Tableheading"/>
            </w:pPr>
            <w:r w:rsidRPr="00A403FC">
              <w:t>Name</w:t>
            </w:r>
          </w:p>
        </w:tc>
        <w:tc>
          <w:tcPr>
            <w:tcW w:w="1902" w:type="pct"/>
            <w:shd w:val="clear" w:color="auto" w:fill="auto"/>
          </w:tcPr>
          <w:p w14:paraId="2A6E0A3B" w14:textId="77777777" w:rsidR="00831F32" w:rsidRPr="00A403FC" w:rsidRDefault="00831F32" w:rsidP="00A403FC">
            <w:pPr>
              <w:pStyle w:val="Tableheading"/>
            </w:pPr>
            <w:r w:rsidRPr="00A403FC">
              <w:t>Position/Organisation</w:t>
            </w:r>
          </w:p>
        </w:tc>
        <w:tc>
          <w:tcPr>
            <w:tcW w:w="1902" w:type="pct"/>
          </w:tcPr>
          <w:p w14:paraId="5A8B487B" w14:textId="77777777" w:rsidR="00831F32" w:rsidRPr="00A403FC" w:rsidRDefault="00831F32" w:rsidP="00A403FC">
            <w:pPr>
              <w:pStyle w:val="Tableheading"/>
            </w:pPr>
            <w:r w:rsidRPr="00A403FC">
              <w:t>Declared conflict of interest</w:t>
            </w:r>
          </w:p>
        </w:tc>
      </w:tr>
      <w:tr w:rsidR="00831F32" w:rsidRPr="00C1199D" w14:paraId="278DD249" w14:textId="77777777" w:rsidTr="0002627F">
        <w:trPr>
          <w:trHeight w:val="549"/>
        </w:trPr>
        <w:tc>
          <w:tcPr>
            <w:tcW w:w="1196" w:type="pct"/>
            <w:hideMark/>
          </w:tcPr>
          <w:p w14:paraId="41520C94" w14:textId="77777777" w:rsidR="00831F32" w:rsidRPr="00C1199D" w:rsidRDefault="00831F32" w:rsidP="00A403FC">
            <w:pPr>
              <w:pStyle w:val="Tabletext"/>
            </w:pPr>
            <w:r w:rsidRPr="00C1199D">
              <w:t>Professor Christine Jenkins (Chair)</w:t>
            </w:r>
          </w:p>
        </w:tc>
        <w:tc>
          <w:tcPr>
            <w:tcW w:w="1902" w:type="pct"/>
          </w:tcPr>
          <w:p w14:paraId="03B96EC6" w14:textId="77777777" w:rsidR="00831F32" w:rsidRPr="00C1199D" w:rsidRDefault="00831F32" w:rsidP="00A403FC">
            <w:pPr>
              <w:pStyle w:val="Tabletext"/>
            </w:pPr>
            <w:r w:rsidRPr="00C1199D">
              <w:t>Senior Staff Specialist, Thoracic Medicine, Concord Hospital; Head of Respiratory Trials, The George Institute; Clinical Professor &amp; Head of Respiratory Discipline, University of Sydney</w:t>
            </w:r>
          </w:p>
        </w:tc>
        <w:tc>
          <w:tcPr>
            <w:tcW w:w="1902" w:type="pct"/>
          </w:tcPr>
          <w:p w14:paraId="7BDB4FB5" w14:textId="77777777" w:rsidR="00831F32" w:rsidRPr="00C1199D" w:rsidRDefault="00612222" w:rsidP="00A403FC">
            <w:pPr>
              <w:pStyle w:val="Tabletext"/>
            </w:pPr>
            <w:r w:rsidRPr="005559A5">
              <w:t>Provider of MBS services</w:t>
            </w:r>
          </w:p>
        </w:tc>
      </w:tr>
      <w:tr w:rsidR="00831F32" w:rsidRPr="00C1199D" w14:paraId="170F29CE" w14:textId="77777777" w:rsidTr="0002627F">
        <w:trPr>
          <w:trHeight w:val="842"/>
        </w:trPr>
        <w:tc>
          <w:tcPr>
            <w:tcW w:w="1196" w:type="pct"/>
            <w:hideMark/>
          </w:tcPr>
          <w:p w14:paraId="06C8F3FE" w14:textId="77777777" w:rsidR="00831F32" w:rsidRPr="00C1199D" w:rsidRDefault="00831F32" w:rsidP="00A403FC">
            <w:pPr>
              <w:pStyle w:val="Tabletext"/>
            </w:pPr>
            <w:r w:rsidRPr="00C1199D">
              <w:t>Professor Nick Antic</w:t>
            </w:r>
          </w:p>
        </w:tc>
        <w:tc>
          <w:tcPr>
            <w:tcW w:w="1902" w:type="pct"/>
          </w:tcPr>
          <w:p w14:paraId="664516F6" w14:textId="77777777" w:rsidR="00831F32" w:rsidRPr="00C1199D" w:rsidRDefault="00831F32" w:rsidP="00A403FC">
            <w:pPr>
              <w:pStyle w:val="Tabletext"/>
            </w:pPr>
            <w:r w:rsidRPr="00C1199D">
              <w:t xml:space="preserve">Clinical Director, Adelaide Institute for Sleep Health Staff Specialist, Sleep and Respiratory Medicine, Repatriation General Hospital and Flinders Medical Centre </w:t>
            </w:r>
          </w:p>
        </w:tc>
        <w:tc>
          <w:tcPr>
            <w:tcW w:w="1902" w:type="pct"/>
          </w:tcPr>
          <w:p w14:paraId="038EC459" w14:textId="77777777" w:rsidR="00831F32" w:rsidRPr="00C1199D" w:rsidRDefault="00612222" w:rsidP="00A403FC">
            <w:pPr>
              <w:pStyle w:val="Tabletext"/>
            </w:pPr>
            <w:r w:rsidRPr="005559A5">
              <w:t>Provider of MBS services</w:t>
            </w:r>
          </w:p>
        </w:tc>
      </w:tr>
      <w:tr w:rsidR="00831F32" w:rsidRPr="00C1199D" w14:paraId="35436E2C" w14:textId="77777777" w:rsidTr="0002627F">
        <w:trPr>
          <w:trHeight w:val="423"/>
        </w:trPr>
        <w:tc>
          <w:tcPr>
            <w:tcW w:w="1196" w:type="pct"/>
            <w:hideMark/>
          </w:tcPr>
          <w:p w14:paraId="3BC38267" w14:textId="77777777" w:rsidR="00831F32" w:rsidRPr="00C1199D" w:rsidRDefault="00831F32" w:rsidP="00A403FC">
            <w:pPr>
              <w:pStyle w:val="Tabletext"/>
            </w:pPr>
            <w:r w:rsidRPr="00C1199D">
              <w:t xml:space="preserve">Dr Phillip Antippa </w:t>
            </w:r>
          </w:p>
        </w:tc>
        <w:tc>
          <w:tcPr>
            <w:tcW w:w="1902" w:type="pct"/>
          </w:tcPr>
          <w:p w14:paraId="566E7698" w14:textId="77777777" w:rsidR="00831F32" w:rsidRPr="00C1199D" w:rsidRDefault="00831F32" w:rsidP="00A403FC">
            <w:pPr>
              <w:pStyle w:val="Tabletext"/>
            </w:pPr>
            <w:r w:rsidRPr="00C1199D">
              <w:t xml:space="preserve">Director, Lung Cancer Services, Royal Melbourne Hospital </w:t>
            </w:r>
          </w:p>
        </w:tc>
        <w:tc>
          <w:tcPr>
            <w:tcW w:w="1902" w:type="pct"/>
          </w:tcPr>
          <w:p w14:paraId="66C88281" w14:textId="77777777" w:rsidR="00831F32" w:rsidRPr="00C1199D" w:rsidRDefault="00612222" w:rsidP="00A403FC">
            <w:pPr>
              <w:pStyle w:val="Tabletext"/>
            </w:pPr>
            <w:r w:rsidRPr="005559A5">
              <w:t>Provider of MBS services</w:t>
            </w:r>
          </w:p>
        </w:tc>
      </w:tr>
      <w:tr w:rsidR="00831F32" w:rsidRPr="00C1199D" w14:paraId="6FE05F54" w14:textId="77777777" w:rsidTr="0002627F">
        <w:trPr>
          <w:trHeight w:val="716"/>
        </w:trPr>
        <w:tc>
          <w:tcPr>
            <w:tcW w:w="1196" w:type="pct"/>
            <w:hideMark/>
          </w:tcPr>
          <w:p w14:paraId="76E6699E" w14:textId="77777777" w:rsidR="00831F32" w:rsidRPr="00C1199D" w:rsidRDefault="00831F32" w:rsidP="00A403FC">
            <w:pPr>
              <w:pStyle w:val="Tabletext"/>
            </w:pPr>
            <w:r w:rsidRPr="00C1199D">
              <w:t xml:space="preserve">Dr Maree Barnes </w:t>
            </w:r>
          </w:p>
        </w:tc>
        <w:tc>
          <w:tcPr>
            <w:tcW w:w="1902" w:type="pct"/>
          </w:tcPr>
          <w:p w14:paraId="006ED839" w14:textId="77777777" w:rsidR="00831F32" w:rsidRPr="00C1199D" w:rsidRDefault="00831F32" w:rsidP="00A403FC">
            <w:pPr>
              <w:pStyle w:val="Tabletext"/>
            </w:pPr>
            <w:r w:rsidRPr="00C1199D">
              <w:t>Institute for Breathing and Sleep, Austin Hospital</w:t>
            </w:r>
            <w:r w:rsidR="00A403FC">
              <w:t xml:space="preserve"> </w:t>
            </w:r>
            <w:r w:rsidRPr="00C1199D">
              <w:t xml:space="preserve">President, Australasian Sleep Association </w:t>
            </w:r>
          </w:p>
        </w:tc>
        <w:tc>
          <w:tcPr>
            <w:tcW w:w="1902" w:type="pct"/>
          </w:tcPr>
          <w:p w14:paraId="3769C612" w14:textId="77777777" w:rsidR="00831F32" w:rsidRPr="00C1199D" w:rsidRDefault="00612222" w:rsidP="00A403FC">
            <w:pPr>
              <w:pStyle w:val="Tabletext"/>
            </w:pPr>
            <w:r w:rsidRPr="005559A5">
              <w:t>Provider of MBS services</w:t>
            </w:r>
          </w:p>
        </w:tc>
      </w:tr>
      <w:tr w:rsidR="00831F32" w:rsidRPr="00C1199D" w14:paraId="58CE4D7C" w14:textId="77777777" w:rsidTr="0002627F">
        <w:trPr>
          <w:trHeight w:val="788"/>
        </w:trPr>
        <w:tc>
          <w:tcPr>
            <w:tcW w:w="1196" w:type="pct"/>
            <w:hideMark/>
          </w:tcPr>
          <w:p w14:paraId="0DB60710" w14:textId="77777777" w:rsidR="00831F32" w:rsidRPr="00C1199D" w:rsidRDefault="00831F32" w:rsidP="00A403FC">
            <w:pPr>
              <w:pStyle w:val="Tabletext"/>
            </w:pPr>
            <w:r w:rsidRPr="00C1199D">
              <w:t xml:space="preserve">Dr Chris Dalton </w:t>
            </w:r>
          </w:p>
        </w:tc>
        <w:tc>
          <w:tcPr>
            <w:tcW w:w="1902" w:type="pct"/>
          </w:tcPr>
          <w:p w14:paraId="1B39B9DF" w14:textId="77777777" w:rsidR="00831F32" w:rsidRPr="00C1199D" w:rsidRDefault="00831F32" w:rsidP="00A403FC">
            <w:pPr>
              <w:pStyle w:val="Tabletext"/>
            </w:pPr>
            <w:r w:rsidRPr="00C1199D">
              <w:t>National Medical Director, Bupa Australia and New Zealand. Ear, Nose and Throat Surgeon, Private practice</w:t>
            </w:r>
          </w:p>
        </w:tc>
        <w:tc>
          <w:tcPr>
            <w:tcW w:w="1902" w:type="pct"/>
          </w:tcPr>
          <w:p w14:paraId="109C5750" w14:textId="77777777" w:rsidR="00831F32" w:rsidRPr="00C1199D" w:rsidRDefault="00612222" w:rsidP="00A403FC">
            <w:pPr>
              <w:pStyle w:val="Tabletext"/>
            </w:pPr>
            <w:r w:rsidRPr="005559A5">
              <w:t>Provider of MBS services</w:t>
            </w:r>
          </w:p>
        </w:tc>
      </w:tr>
      <w:tr w:rsidR="00831F32" w:rsidRPr="00C1199D" w14:paraId="73BD3FD3" w14:textId="77777777" w:rsidTr="0002627F">
        <w:trPr>
          <w:trHeight w:val="1009"/>
        </w:trPr>
        <w:tc>
          <w:tcPr>
            <w:tcW w:w="1196" w:type="pct"/>
            <w:hideMark/>
          </w:tcPr>
          <w:p w14:paraId="7D7F7B70" w14:textId="77777777" w:rsidR="00831F32" w:rsidRPr="00C1199D" w:rsidRDefault="00831F32" w:rsidP="00A403FC">
            <w:pPr>
              <w:pStyle w:val="Tabletext"/>
            </w:pPr>
            <w:r w:rsidRPr="00C1199D">
              <w:t>Associate Professor Garun Hamilton</w:t>
            </w:r>
          </w:p>
        </w:tc>
        <w:tc>
          <w:tcPr>
            <w:tcW w:w="1902" w:type="pct"/>
          </w:tcPr>
          <w:p w14:paraId="1EAF7F63" w14:textId="77777777" w:rsidR="00831F32" w:rsidRPr="00C1199D" w:rsidRDefault="00831F32" w:rsidP="00A403FC">
            <w:pPr>
              <w:pStyle w:val="Tabletext"/>
            </w:pPr>
            <w:r w:rsidRPr="00C1199D">
              <w:t xml:space="preserve">Respiratory and Sleep Medicine Physician, Monash Health Adjunct Professor, School of Clinical Sciences, Monash University </w:t>
            </w:r>
          </w:p>
        </w:tc>
        <w:tc>
          <w:tcPr>
            <w:tcW w:w="1902" w:type="pct"/>
          </w:tcPr>
          <w:p w14:paraId="4DB6AAA4" w14:textId="77777777" w:rsidR="00831F32" w:rsidRPr="00C1199D" w:rsidRDefault="00612222" w:rsidP="00A403FC">
            <w:pPr>
              <w:pStyle w:val="Tabletext"/>
            </w:pPr>
            <w:r w:rsidRPr="005559A5">
              <w:t>Provider of MBS services</w:t>
            </w:r>
          </w:p>
        </w:tc>
      </w:tr>
      <w:tr w:rsidR="00831F32" w:rsidRPr="00C1199D" w14:paraId="009AB9C2" w14:textId="77777777" w:rsidTr="0002627F">
        <w:trPr>
          <w:trHeight w:val="744"/>
        </w:trPr>
        <w:tc>
          <w:tcPr>
            <w:tcW w:w="1196" w:type="pct"/>
          </w:tcPr>
          <w:p w14:paraId="3E467139" w14:textId="77777777" w:rsidR="00831F32" w:rsidRPr="00C1199D" w:rsidRDefault="00831F32" w:rsidP="00A403FC">
            <w:pPr>
              <w:pStyle w:val="Tabletext"/>
            </w:pPr>
            <w:r w:rsidRPr="00C1199D">
              <w:t xml:space="preserve">Associate Professor Craig Hukins </w:t>
            </w:r>
          </w:p>
        </w:tc>
        <w:tc>
          <w:tcPr>
            <w:tcW w:w="1902" w:type="pct"/>
          </w:tcPr>
          <w:p w14:paraId="2F725D04" w14:textId="77777777" w:rsidR="00831F32" w:rsidRPr="00C1199D" w:rsidRDefault="00831F32" w:rsidP="00A403FC">
            <w:pPr>
              <w:pStyle w:val="Tabletext"/>
            </w:pPr>
            <w:r w:rsidRPr="00C1199D">
              <w:t xml:space="preserve">Director, Department of Respiratory and Sleep Medicine, Princess Alexandra Hospital </w:t>
            </w:r>
          </w:p>
        </w:tc>
        <w:tc>
          <w:tcPr>
            <w:tcW w:w="1902" w:type="pct"/>
          </w:tcPr>
          <w:p w14:paraId="51673CF7" w14:textId="77777777" w:rsidR="00831F32" w:rsidRPr="00C1199D" w:rsidRDefault="00472400" w:rsidP="00A403FC">
            <w:pPr>
              <w:pStyle w:val="Tabletext"/>
            </w:pPr>
            <w:r w:rsidRPr="0002627F">
              <w:t>Provider of MBS services</w:t>
            </w:r>
          </w:p>
        </w:tc>
      </w:tr>
      <w:tr w:rsidR="00831F32" w:rsidRPr="00C1199D" w14:paraId="1D8000D0" w14:textId="77777777" w:rsidTr="00CB2F80">
        <w:trPr>
          <w:trHeight w:val="522"/>
        </w:trPr>
        <w:tc>
          <w:tcPr>
            <w:tcW w:w="1196" w:type="pct"/>
          </w:tcPr>
          <w:p w14:paraId="4AD4FBC7" w14:textId="77777777" w:rsidR="00831F32" w:rsidRPr="00C1199D" w:rsidRDefault="00831F32" w:rsidP="00A403FC">
            <w:pPr>
              <w:pStyle w:val="Tabletext"/>
            </w:pPr>
            <w:r w:rsidRPr="00C1199D">
              <w:t xml:space="preserve">Dr Kerry Hancock </w:t>
            </w:r>
          </w:p>
        </w:tc>
        <w:tc>
          <w:tcPr>
            <w:tcW w:w="1902" w:type="pct"/>
          </w:tcPr>
          <w:p w14:paraId="67CBD2E4" w14:textId="77777777" w:rsidR="00831F32" w:rsidRPr="00C1199D" w:rsidRDefault="00831F32" w:rsidP="00A403FC">
            <w:pPr>
              <w:pStyle w:val="Tabletext"/>
            </w:pPr>
            <w:r w:rsidRPr="00C1199D">
              <w:t xml:space="preserve">General Practitioner, private practice, Executive Member Coordinating Committee COPD National Programme, Lung Foundation Australia. Member, GP Asthma Group, National Asthma Council, Board Member, Asthma Foundation SA </w:t>
            </w:r>
          </w:p>
        </w:tc>
        <w:tc>
          <w:tcPr>
            <w:tcW w:w="1902" w:type="pct"/>
          </w:tcPr>
          <w:p w14:paraId="116652B7" w14:textId="77777777" w:rsidR="00831F32" w:rsidRPr="00C1199D" w:rsidRDefault="00472400" w:rsidP="00A403FC">
            <w:pPr>
              <w:pStyle w:val="Tabletext"/>
            </w:pPr>
            <w:r w:rsidRPr="0002627F">
              <w:t>Provider of MBS services</w:t>
            </w:r>
          </w:p>
        </w:tc>
      </w:tr>
      <w:tr w:rsidR="00831F32" w:rsidRPr="00E90C0F" w14:paraId="43A47A43" w14:textId="77777777" w:rsidTr="0002627F">
        <w:trPr>
          <w:trHeight w:val="995"/>
        </w:trPr>
        <w:tc>
          <w:tcPr>
            <w:tcW w:w="1196" w:type="pct"/>
          </w:tcPr>
          <w:p w14:paraId="52ABE63B" w14:textId="77777777" w:rsidR="00831F32" w:rsidRPr="00E90C0F" w:rsidRDefault="00831F32" w:rsidP="00E90C0F">
            <w:pPr>
              <w:pStyle w:val="Tabletext"/>
            </w:pPr>
            <w:r w:rsidRPr="00E90C0F">
              <w:t xml:space="preserve">Professor Matthew Peters </w:t>
            </w:r>
          </w:p>
        </w:tc>
        <w:tc>
          <w:tcPr>
            <w:tcW w:w="1902" w:type="pct"/>
          </w:tcPr>
          <w:p w14:paraId="27AC47E4" w14:textId="77777777" w:rsidR="00831F32" w:rsidRPr="00E90C0F" w:rsidRDefault="00831F32" w:rsidP="00E90C0F">
            <w:pPr>
              <w:pStyle w:val="Tabletext"/>
            </w:pPr>
            <w:r w:rsidRPr="00E90C0F">
              <w:t xml:space="preserve">Head of Respiratory Medicine, Concord Hospital Professor of Respiratory Medicine, Faculty of Medicine and Health Sciences, Macquarie University </w:t>
            </w:r>
          </w:p>
        </w:tc>
        <w:tc>
          <w:tcPr>
            <w:tcW w:w="1902" w:type="pct"/>
          </w:tcPr>
          <w:p w14:paraId="174EC33B" w14:textId="77777777" w:rsidR="00831F32" w:rsidRPr="00E90C0F" w:rsidRDefault="00472400" w:rsidP="00E90C0F">
            <w:pPr>
              <w:pStyle w:val="Tabletext"/>
            </w:pPr>
            <w:r w:rsidRPr="00E90C0F">
              <w:t>Provider of MBS services</w:t>
            </w:r>
          </w:p>
        </w:tc>
      </w:tr>
      <w:tr w:rsidR="00831F32" w:rsidRPr="00E90C0F" w14:paraId="70BE67D7" w14:textId="77777777" w:rsidTr="0002627F">
        <w:tc>
          <w:tcPr>
            <w:tcW w:w="1196" w:type="pct"/>
          </w:tcPr>
          <w:p w14:paraId="17F32F4A" w14:textId="77777777" w:rsidR="00831F32" w:rsidRPr="00E90C0F" w:rsidRDefault="00831F32" w:rsidP="00E90C0F">
            <w:pPr>
              <w:pStyle w:val="Tabletext"/>
            </w:pPr>
            <w:r w:rsidRPr="00E90C0F">
              <w:t>Associate Professor Hiran Selvadurai</w:t>
            </w:r>
          </w:p>
        </w:tc>
        <w:tc>
          <w:tcPr>
            <w:tcW w:w="1902" w:type="pct"/>
          </w:tcPr>
          <w:p w14:paraId="6769E047" w14:textId="77777777" w:rsidR="00831F32" w:rsidRPr="00E90C0F" w:rsidRDefault="00831F32" w:rsidP="00E90C0F">
            <w:pPr>
              <w:pStyle w:val="Tabletext"/>
            </w:pPr>
            <w:r w:rsidRPr="00E90C0F">
              <w:t xml:space="preserve">Head, Department of Respiratory Medicine, The Children's Hospital, Westmead, Sydney Children's Hospital Network </w:t>
            </w:r>
          </w:p>
        </w:tc>
        <w:tc>
          <w:tcPr>
            <w:tcW w:w="1902" w:type="pct"/>
          </w:tcPr>
          <w:p w14:paraId="63CDFF0C" w14:textId="77777777" w:rsidR="00831F32" w:rsidRPr="00E90C0F" w:rsidRDefault="00472400" w:rsidP="00E90C0F">
            <w:pPr>
              <w:pStyle w:val="Tabletext"/>
            </w:pPr>
            <w:r w:rsidRPr="00E90C0F">
              <w:t>Provider of MBS services</w:t>
            </w:r>
          </w:p>
        </w:tc>
      </w:tr>
      <w:tr w:rsidR="00831F32" w:rsidRPr="00A403FC" w14:paraId="48401625" w14:textId="77777777" w:rsidTr="0002627F">
        <w:trPr>
          <w:trHeight w:val="1037"/>
        </w:trPr>
        <w:tc>
          <w:tcPr>
            <w:tcW w:w="1196" w:type="pct"/>
          </w:tcPr>
          <w:p w14:paraId="53A2A64E" w14:textId="77777777" w:rsidR="00831F32" w:rsidRPr="00A403FC" w:rsidRDefault="00831F32" w:rsidP="00A403FC">
            <w:pPr>
              <w:pStyle w:val="Tabletext"/>
            </w:pPr>
            <w:r w:rsidRPr="00A403FC">
              <w:lastRenderedPageBreak/>
              <w:t xml:space="preserve">Dr Ronald Tomlins </w:t>
            </w:r>
          </w:p>
        </w:tc>
        <w:tc>
          <w:tcPr>
            <w:tcW w:w="1902" w:type="pct"/>
          </w:tcPr>
          <w:p w14:paraId="21D2DA46" w14:textId="77777777" w:rsidR="00831F32" w:rsidRPr="00A403FC" w:rsidRDefault="00831F32" w:rsidP="00A403FC">
            <w:pPr>
              <w:pStyle w:val="Tabletext"/>
            </w:pPr>
            <w:r w:rsidRPr="00A403FC">
              <w:t xml:space="preserve">Adjunct Associate Professor, Discipline of General Practice, University of Sydney, General Practitioner, Private Practice. President, International Primary Care Respiratory Group </w:t>
            </w:r>
          </w:p>
        </w:tc>
        <w:tc>
          <w:tcPr>
            <w:tcW w:w="1902" w:type="pct"/>
          </w:tcPr>
          <w:p w14:paraId="310C8466" w14:textId="77777777" w:rsidR="00831F32" w:rsidRPr="00A403FC" w:rsidRDefault="00472400" w:rsidP="00A403FC">
            <w:pPr>
              <w:pStyle w:val="Tabletext"/>
            </w:pPr>
            <w:r w:rsidRPr="00A403FC">
              <w:t>Provider of MBS services</w:t>
            </w:r>
          </w:p>
        </w:tc>
      </w:tr>
      <w:tr w:rsidR="00831F32" w:rsidRPr="00A403FC" w14:paraId="6AB4B8F6" w14:textId="77777777" w:rsidTr="0002627F">
        <w:trPr>
          <w:trHeight w:val="368"/>
        </w:trPr>
        <w:tc>
          <w:tcPr>
            <w:tcW w:w="1196" w:type="pct"/>
          </w:tcPr>
          <w:p w14:paraId="5D9E6228" w14:textId="77777777" w:rsidR="00831F32" w:rsidRPr="00A403FC" w:rsidRDefault="00831F32" w:rsidP="00A403FC">
            <w:pPr>
              <w:pStyle w:val="Tabletext"/>
            </w:pPr>
            <w:r w:rsidRPr="00A403FC">
              <w:t>Ms Debra Kay</w:t>
            </w:r>
          </w:p>
        </w:tc>
        <w:tc>
          <w:tcPr>
            <w:tcW w:w="1902" w:type="pct"/>
          </w:tcPr>
          <w:p w14:paraId="202874C5" w14:textId="77777777" w:rsidR="00831F32" w:rsidRPr="00A403FC" w:rsidRDefault="00831F32" w:rsidP="00A403FC">
            <w:pPr>
              <w:pStyle w:val="Tabletext"/>
            </w:pPr>
            <w:r w:rsidRPr="00A403FC">
              <w:t>Consumer Representative</w:t>
            </w:r>
          </w:p>
        </w:tc>
        <w:tc>
          <w:tcPr>
            <w:tcW w:w="1902" w:type="pct"/>
          </w:tcPr>
          <w:p w14:paraId="4B14740B" w14:textId="77777777" w:rsidR="00831F32" w:rsidRPr="00A403FC" w:rsidRDefault="00E2464D" w:rsidP="00A403FC">
            <w:pPr>
              <w:pStyle w:val="Tabletext"/>
            </w:pPr>
            <w:r>
              <w:t>None</w:t>
            </w:r>
          </w:p>
        </w:tc>
      </w:tr>
    </w:tbl>
    <w:p w14:paraId="3228B5F2" w14:textId="77777777" w:rsidR="00B40829" w:rsidRPr="00700528" w:rsidRDefault="00B40829" w:rsidP="00DF4FDF">
      <w:pPr>
        <w:pStyle w:val="Heading2"/>
      </w:pPr>
      <w:bookmarkStart w:id="68" w:name="_Toc458509989"/>
      <w:bookmarkStart w:id="69" w:name="_Toc458768457"/>
      <w:bookmarkStart w:id="70" w:name="_Toc458768637"/>
      <w:bookmarkStart w:id="71" w:name="_Toc478721497"/>
      <w:bookmarkStart w:id="72" w:name="_Toc457053415"/>
      <w:r w:rsidRPr="00DF4FDF">
        <w:t>Paediatric</w:t>
      </w:r>
      <w:r>
        <w:t xml:space="preserve"> Thoracic Working Group</w:t>
      </w:r>
      <w:r w:rsidRPr="00700528">
        <w:t xml:space="preserve"> members</w:t>
      </w:r>
      <w:bookmarkEnd w:id="68"/>
      <w:bookmarkEnd w:id="69"/>
      <w:bookmarkEnd w:id="70"/>
      <w:bookmarkEnd w:id="71"/>
    </w:p>
    <w:p w14:paraId="5ED8D310" w14:textId="77777777" w:rsidR="00B40829" w:rsidRPr="00E52BC8" w:rsidRDefault="00B40829" w:rsidP="00E52BC8">
      <w:pPr>
        <w:pStyle w:val="Caption"/>
      </w:pPr>
      <w:bookmarkStart w:id="73" w:name="_Toc457450641"/>
      <w:bookmarkStart w:id="74" w:name="_Toc478721536"/>
      <w:r w:rsidRPr="00E52BC8">
        <w:t>Table</w:t>
      </w:r>
      <w:r w:rsidR="00926B56">
        <w:t xml:space="preserve"> 2</w:t>
      </w:r>
      <w:r w:rsidRPr="00E52BC8">
        <w:t>:</w:t>
      </w:r>
      <w:r w:rsidRPr="00E52BC8">
        <w:tab/>
        <w:t>Paediatric Thoracic Working Group members</w:t>
      </w:r>
      <w:bookmarkEnd w:id="73"/>
      <w:bookmarkEnd w:id="74"/>
    </w:p>
    <w:tbl>
      <w:tblPr>
        <w:tblStyle w:val="TableGrid"/>
        <w:tblW w:w="5000"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2 lists the members of the Paediatric Thoracic Working Group, their positions and their declared conflicts of interest. All members provide MBS services."/>
      </w:tblPr>
      <w:tblGrid>
        <w:gridCol w:w="2160"/>
        <w:gridCol w:w="3433"/>
        <w:gridCol w:w="3433"/>
      </w:tblGrid>
      <w:tr w:rsidR="0032025F" w:rsidRPr="00A403FC" w14:paraId="179E93B4" w14:textId="77777777" w:rsidTr="0002627F">
        <w:trPr>
          <w:tblHeader/>
        </w:trPr>
        <w:tc>
          <w:tcPr>
            <w:tcW w:w="1196" w:type="pct"/>
            <w:shd w:val="clear" w:color="auto" w:fill="auto"/>
          </w:tcPr>
          <w:p w14:paraId="3F25F7F6" w14:textId="77777777" w:rsidR="0032025F" w:rsidRPr="00A403FC" w:rsidRDefault="0032025F" w:rsidP="00A403FC">
            <w:pPr>
              <w:pStyle w:val="Tableheading"/>
            </w:pPr>
            <w:r w:rsidRPr="00A403FC">
              <w:t>Name</w:t>
            </w:r>
          </w:p>
        </w:tc>
        <w:tc>
          <w:tcPr>
            <w:tcW w:w="1902" w:type="pct"/>
            <w:shd w:val="clear" w:color="auto" w:fill="auto"/>
          </w:tcPr>
          <w:p w14:paraId="2EA66878" w14:textId="77777777" w:rsidR="0032025F" w:rsidRPr="00A403FC" w:rsidRDefault="0032025F" w:rsidP="00A403FC">
            <w:pPr>
              <w:pStyle w:val="Tableheading"/>
            </w:pPr>
            <w:r w:rsidRPr="00A403FC">
              <w:t>Position/Organisation</w:t>
            </w:r>
          </w:p>
        </w:tc>
        <w:tc>
          <w:tcPr>
            <w:tcW w:w="1902" w:type="pct"/>
          </w:tcPr>
          <w:p w14:paraId="41027DBD" w14:textId="77777777" w:rsidR="0032025F" w:rsidRPr="00A403FC" w:rsidRDefault="0032025F" w:rsidP="00A403FC">
            <w:pPr>
              <w:pStyle w:val="Tableheading"/>
            </w:pPr>
            <w:r w:rsidRPr="00A403FC">
              <w:t>Declared conflict of interest</w:t>
            </w:r>
          </w:p>
        </w:tc>
      </w:tr>
      <w:tr w:rsidR="0032025F" w:rsidRPr="00A403FC" w14:paraId="07DEAB58" w14:textId="77777777" w:rsidTr="0002627F">
        <w:trPr>
          <w:trHeight w:val="549"/>
        </w:trPr>
        <w:tc>
          <w:tcPr>
            <w:tcW w:w="1196" w:type="pct"/>
            <w:hideMark/>
          </w:tcPr>
          <w:p w14:paraId="39952447" w14:textId="77777777" w:rsidR="0032025F" w:rsidRPr="00A403FC" w:rsidRDefault="0032025F" w:rsidP="00A403FC">
            <w:pPr>
              <w:pStyle w:val="Tabletext"/>
            </w:pPr>
            <w:r w:rsidRPr="00A403FC">
              <w:t>Associate Professor Hiran Selvadurai (Chair)</w:t>
            </w:r>
          </w:p>
        </w:tc>
        <w:tc>
          <w:tcPr>
            <w:tcW w:w="1902" w:type="pct"/>
          </w:tcPr>
          <w:p w14:paraId="299D8100" w14:textId="77777777" w:rsidR="0032025F" w:rsidRPr="00A403FC" w:rsidRDefault="0032025F" w:rsidP="00A403FC">
            <w:pPr>
              <w:pStyle w:val="Tabletext"/>
            </w:pPr>
            <w:r w:rsidRPr="00A403FC">
              <w:t xml:space="preserve">Head, Department of Respiratory Medicine, The Children's Hospital, Westmead, Sydney Children's Hospital Network </w:t>
            </w:r>
          </w:p>
        </w:tc>
        <w:tc>
          <w:tcPr>
            <w:tcW w:w="1902" w:type="pct"/>
          </w:tcPr>
          <w:p w14:paraId="1A6AA23D" w14:textId="77777777" w:rsidR="0032025F" w:rsidRPr="00A403FC" w:rsidRDefault="00472400" w:rsidP="00A403FC">
            <w:pPr>
              <w:pStyle w:val="Tabletext"/>
            </w:pPr>
            <w:r w:rsidRPr="00A403FC">
              <w:t>Provider of MBS services</w:t>
            </w:r>
          </w:p>
        </w:tc>
      </w:tr>
      <w:tr w:rsidR="0032025F" w:rsidRPr="00A403FC" w14:paraId="47B53EC7" w14:textId="77777777" w:rsidTr="0002627F">
        <w:trPr>
          <w:trHeight w:val="842"/>
        </w:trPr>
        <w:tc>
          <w:tcPr>
            <w:tcW w:w="1196" w:type="pct"/>
            <w:hideMark/>
          </w:tcPr>
          <w:p w14:paraId="046016C1" w14:textId="77777777" w:rsidR="0032025F" w:rsidRPr="00A403FC" w:rsidRDefault="0032025F" w:rsidP="00A403FC">
            <w:pPr>
              <w:pStyle w:val="Tabletext"/>
            </w:pPr>
            <w:r w:rsidRPr="00A403FC">
              <w:t xml:space="preserve">Dr Chris Dalton </w:t>
            </w:r>
          </w:p>
        </w:tc>
        <w:tc>
          <w:tcPr>
            <w:tcW w:w="1902" w:type="pct"/>
          </w:tcPr>
          <w:p w14:paraId="75559E09" w14:textId="77777777" w:rsidR="0032025F" w:rsidRPr="00A403FC" w:rsidRDefault="0032025F" w:rsidP="00A403FC">
            <w:pPr>
              <w:pStyle w:val="Tabletext"/>
            </w:pPr>
            <w:r w:rsidRPr="00A403FC">
              <w:t>National Medical Director, Bupa Australia and New Zealand. Ear, Nose and Throat Surgeon, Private practice</w:t>
            </w:r>
          </w:p>
        </w:tc>
        <w:tc>
          <w:tcPr>
            <w:tcW w:w="1902" w:type="pct"/>
          </w:tcPr>
          <w:p w14:paraId="709CBAC0" w14:textId="77777777" w:rsidR="0032025F" w:rsidRPr="00A403FC" w:rsidRDefault="00472400" w:rsidP="00A403FC">
            <w:pPr>
              <w:pStyle w:val="Tabletext"/>
            </w:pPr>
            <w:r w:rsidRPr="00A403FC">
              <w:t>Provider of MBS services</w:t>
            </w:r>
          </w:p>
        </w:tc>
      </w:tr>
      <w:tr w:rsidR="0032025F" w:rsidRPr="00A403FC" w14:paraId="4A75ED1F" w14:textId="77777777" w:rsidTr="0002627F">
        <w:trPr>
          <w:trHeight w:val="423"/>
        </w:trPr>
        <w:tc>
          <w:tcPr>
            <w:tcW w:w="1196" w:type="pct"/>
            <w:hideMark/>
          </w:tcPr>
          <w:p w14:paraId="0F3628D8" w14:textId="77777777" w:rsidR="0032025F" w:rsidRPr="00A403FC" w:rsidRDefault="0032025F" w:rsidP="00A403FC">
            <w:pPr>
              <w:pStyle w:val="Tabletext"/>
            </w:pPr>
            <w:r w:rsidRPr="00A403FC">
              <w:t>Associate Professor Gillian Nixon</w:t>
            </w:r>
          </w:p>
        </w:tc>
        <w:tc>
          <w:tcPr>
            <w:tcW w:w="1902" w:type="pct"/>
          </w:tcPr>
          <w:p w14:paraId="2BC9A410" w14:textId="77777777" w:rsidR="0032025F" w:rsidRPr="00A403FC" w:rsidRDefault="0032025F" w:rsidP="00A403FC">
            <w:pPr>
              <w:pStyle w:val="Tabletext"/>
            </w:pPr>
            <w:r w:rsidRPr="00A403FC">
              <w:t>Paediatric Respiratory and Sleep Physician, Monash Children’s Hospital and Department of Paediatrics, Monash University</w:t>
            </w:r>
            <w:r w:rsidR="00A403FC" w:rsidRPr="00A403FC">
              <w:t xml:space="preserve"> </w:t>
            </w:r>
          </w:p>
        </w:tc>
        <w:tc>
          <w:tcPr>
            <w:tcW w:w="1902" w:type="pct"/>
          </w:tcPr>
          <w:p w14:paraId="71A7B920" w14:textId="77777777" w:rsidR="0032025F" w:rsidRPr="00A403FC" w:rsidRDefault="00612222" w:rsidP="00A403FC">
            <w:pPr>
              <w:pStyle w:val="Tabletext"/>
            </w:pPr>
            <w:r w:rsidRPr="00A403FC">
              <w:t>Provider of MBS services</w:t>
            </w:r>
          </w:p>
        </w:tc>
      </w:tr>
      <w:tr w:rsidR="0032025F" w:rsidRPr="00A403FC" w14:paraId="7A4305BA" w14:textId="77777777" w:rsidTr="0002627F">
        <w:trPr>
          <w:trHeight w:val="716"/>
        </w:trPr>
        <w:tc>
          <w:tcPr>
            <w:tcW w:w="1196" w:type="pct"/>
            <w:hideMark/>
          </w:tcPr>
          <w:p w14:paraId="291698B4" w14:textId="77777777" w:rsidR="0032025F" w:rsidRPr="00A403FC" w:rsidRDefault="0032025F" w:rsidP="00A403FC">
            <w:pPr>
              <w:pStyle w:val="Tabletext"/>
            </w:pPr>
            <w:r w:rsidRPr="00A403FC">
              <w:t>Dr Sadasivam Suresh</w:t>
            </w:r>
          </w:p>
        </w:tc>
        <w:tc>
          <w:tcPr>
            <w:tcW w:w="1902" w:type="pct"/>
          </w:tcPr>
          <w:p w14:paraId="62ECEE15" w14:textId="77777777" w:rsidR="0032025F" w:rsidRPr="00A403FC" w:rsidRDefault="0032025F" w:rsidP="00A403FC">
            <w:pPr>
              <w:pStyle w:val="Tabletext"/>
            </w:pPr>
            <w:r w:rsidRPr="00A403FC">
              <w:t>Consultant Respiratory and Sleep Paediatrician, Lady Cilento Children’s Hospital and Queensland Children’s Lung &amp; Sleep Specialists</w:t>
            </w:r>
          </w:p>
        </w:tc>
        <w:tc>
          <w:tcPr>
            <w:tcW w:w="1902" w:type="pct"/>
          </w:tcPr>
          <w:p w14:paraId="36767A6A" w14:textId="77777777" w:rsidR="0032025F" w:rsidRPr="00A403FC" w:rsidRDefault="00472400" w:rsidP="00A403FC">
            <w:pPr>
              <w:pStyle w:val="Tabletext"/>
            </w:pPr>
            <w:r w:rsidRPr="00A403FC">
              <w:t>Provider of MBS services</w:t>
            </w:r>
          </w:p>
        </w:tc>
      </w:tr>
    </w:tbl>
    <w:p w14:paraId="783FACE0" w14:textId="77777777" w:rsidR="004D72E6" w:rsidRPr="00700528" w:rsidRDefault="004D72E6" w:rsidP="002C1E62">
      <w:pPr>
        <w:pStyle w:val="Heading2"/>
      </w:pPr>
      <w:bookmarkStart w:id="75" w:name="_Toc458509990"/>
      <w:bookmarkStart w:id="76" w:name="_Toc458768458"/>
      <w:bookmarkStart w:id="77" w:name="_Toc458768638"/>
      <w:bookmarkStart w:id="78" w:name="_Toc478721498"/>
      <w:r w:rsidRPr="00700528">
        <w:t>Conflicts of interest</w:t>
      </w:r>
      <w:bookmarkEnd w:id="72"/>
      <w:bookmarkEnd w:id="75"/>
      <w:bookmarkEnd w:id="76"/>
      <w:bookmarkEnd w:id="77"/>
      <w:bookmarkEnd w:id="78"/>
    </w:p>
    <w:p w14:paraId="3DD7F467" w14:textId="77777777" w:rsidR="004D72E6" w:rsidRPr="00A666BE" w:rsidRDefault="004D72E6" w:rsidP="00A666BE">
      <w:pPr>
        <w:rPr>
          <w:rFonts w:eastAsiaTheme="minorHAnsi"/>
          <w:highlight w:val="lightGray"/>
        </w:rPr>
      </w:pPr>
      <w:r w:rsidRPr="009D0EED">
        <w:rPr>
          <w:rFonts w:cs="Arial"/>
          <w:lang w:val="en-US" w:eastAsia="en-US"/>
        </w:rPr>
        <w:t xml:space="preserve">All members </w:t>
      </w:r>
      <w:r w:rsidRPr="00A666BE">
        <w:t>of the Taskforce, Clinical Committees and Working Groups are asked to declare any conflicts of interest at the start of their involvement and reminded to update their declarations periodically.</w:t>
      </w:r>
      <w:r w:rsidRPr="00A666BE">
        <w:rPr>
          <w:highlight w:val="lightGray"/>
        </w:rPr>
        <w:br w:type="page"/>
      </w:r>
    </w:p>
    <w:p w14:paraId="20C7E3F8" w14:textId="77777777" w:rsidR="00BC209F" w:rsidRDefault="00B40829" w:rsidP="00DF4FDF">
      <w:pPr>
        <w:pStyle w:val="Heading1"/>
      </w:pPr>
      <w:bookmarkStart w:id="79" w:name="_Toc458509991"/>
      <w:bookmarkStart w:id="80" w:name="_Toc458768459"/>
      <w:bookmarkStart w:id="81" w:name="_Toc458768639"/>
      <w:bookmarkStart w:id="82" w:name="_Toc478721499"/>
      <w:r>
        <w:lastRenderedPageBreak/>
        <w:t xml:space="preserve">Respiratory </w:t>
      </w:r>
      <w:r w:rsidRPr="00DF4FDF">
        <w:t>Function</w:t>
      </w:r>
      <w:r>
        <w:t xml:space="preserve"> Tests </w:t>
      </w:r>
      <w:r w:rsidR="009F523D">
        <w:t>– Spirometry</w:t>
      </w:r>
      <w:bookmarkEnd w:id="79"/>
      <w:bookmarkEnd w:id="80"/>
      <w:bookmarkEnd w:id="81"/>
      <w:bookmarkEnd w:id="82"/>
    </w:p>
    <w:p w14:paraId="2F815EB0" w14:textId="77777777" w:rsidR="009F523D" w:rsidRDefault="009F523D" w:rsidP="00F56E64">
      <w:pPr>
        <w:rPr>
          <w:lang w:val="en-US" w:eastAsia="en-US"/>
        </w:rPr>
      </w:pPr>
      <w:r>
        <w:rPr>
          <w:lang w:val="en-US" w:eastAsia="en-US"/>
        </w:rPr>
        <w:t>Three spirometry items are</w:t>
      </w:r>
      <w:r w:rsidRPr="003F1FC3">
        <w:rPr>
          <w:lang w:val="en-US" w:eastAsia="en-US"/>
        </w:rPr>
        <w:t xml:space="preserve"> considered in this section</w:t>
      </w:r>
      <w:r>
        <w:rPr>
          <w:lang w:val="en-US" w:eastAsia="en-US"/>
        </w:rPr>
        <w:t>:</w:t>
      </w:r>
    </w:p>
    <w:p w14:paraId="111A4541" w14:textId="77777777" w:rsidR="009F523D" w:rsidRDefault="009F523D" w:rsidP="009F523D">
      <w:pPr>
        <w:pStyle w:val="NormalBulleted"/>
      </w:pPr>
      <w:r w:rsidRPr="00B40829">
        <w:rPr>
          <w:b/>
        </w:rPr>
        <w:t>11506</w:t>
      </w:r>
      <w:r>
        <w:t xml:space="preserve"> – Office based spirometry</w:t>
      </w:r>
    </w:p>
    <w:p w14:paraId="37DF94BF" w14:textId="77777777" w:rsidR="009F523D" w:rsidRDefault="009F523D" w:rsidP="009F523D">
      <w:pPr>
        <w:pStyle w:val="NormalBulleted"/>
      </w:pPr>
      <w:r w:rsidRPr="00B40829">
        <w:rPr>
          <w:b/>
        </w:rPr>
        <w:t>11509</w:t>
      </w:r>
      <w:r w:rsidRPr="004A55CD">
        <w:t xml:space="preserve"> </w:t>
      </w:r>
      <w:r>
        <w:t>– Spirometry in a respiratory laboratory</w:t>
      </w:r>
    </w:p>
    <w:p w14:paraId="175A3DD4" w14:textId="77777777" w:rsidR="009F523D" w:rsidRPr="00B40829" w:rsidRDefault="009F523D" w:rsidP="009F523D">
      <w:pPr>
        <w:pStyle w:val="NormalBulleted"/>
      </w:pPr>
      <w:r w:rsidRPr="00B40829">
        <w:rPr>
          <w:b/>
        </w:rPr>
        <w:t>11512</w:t>
      </w:r>
      <w:r>
        <w:t xml:space="preserve"> – Spirometry in a respiratory laboratory</w:t>
      </w:r>
      <w:r w:rsidRPr="00B40829">
        <w:rPr>
          <w:b/>
        </w:rPr>
        <w:t xml:space="preserve"> </w:t>
      </w:r>
    </w:p>
    <w:p w14:paraId="7C02AAB4" w14:textId="77777777" w:rsidR="000377EC" w:rsidRDefault="000377EC" w:rsidP="00DF4FDF">
      <w:pPr>
        <w:pStyle w:val="Heading2"/>
      </w:pPr>
      <w:bookmarkStart w:id="83" w:name="_Toc458509992"/>
      <w:bookmarkStart w:id="84" w:name="_Toc458768460"/>
      <w:bookmarkStart w:id="85" w:name="_Toc458768640"/>
      <w:bookmarkStart w:id="86" w:name="_Toc478721500"/>
      <w:r w:rsidRPr="00DF4FDF">
        <w:t>Priority</w:t>
      </w:r>
      <w:r>
        <w:t xml:space="preserve"> review of respiratory function tests</w:t>
      </w:r>
      <w:bookmarkEnd w:id="83"/>
      <w:bookmarkEnd w:id="84"/>
      <w:bookmarkEnd w:id="85"/>
      <w:bookmarkEnd w:id="86"/>
    </w:p>
    <w:p w14:paraId="0D5BC08B" w14:textId="77777777" w:rsidR="000377EC" w:rsidRDefault="000377EC" w:rsidP="00F56E64">
      <w:r w:rsidRPr="004A55CD">
        <w:t xml:space="preserve">Respiratory function tests were identified by the Taskforce for priority review, based on concern expressed internationally about the clinical value of spirometry. </w:t>
      </w:r>
    </w:p>
    <w:p w14:paraId="13F63F6F" w14:textId="77777777" w:rsidR="000377EC" w:rsidRPr="004A55CD" w:rsidRDefault="000377EC" w:rsidP="00F56E64">
      <w:r w:rsidRPr="004A55CD">
        <w:t>These sources included:</w:t>
      </w:r>
    </w:p>
    <w:p w14:paraId="68EC3BDF" w14:textId="77777777" w:rsidR="000377EC" w:rsidRPr="004A55CD" w:rsidRDefault="000377EC" w:rsidP="000377EC">
      <w:pPr>
        <w:pStyle w:val="NormalBulleted"/>
      </w:pPr>
      <w:r w:rsidRPr="004A55CD">
        <w:t>Choosing Wisely</w:t>
      </w:r>
    </w:p>
    <w:p w14:paraId="49C1BCD8" w14:textId="77777777" w:rsidR="000377EC" w:rsidRPr="004A55CD" w:rsidRDefault="000377EC" w:rsidP="000377EC">
      <w:pPr>
        <w:pStyle w:val="NormalBulleted"/>
      </w:pPr>
      <w:r w:rsidRPr="004A55CD">
        <w:t xml:space="preserve">National Institute for Health and Care Excellence (NICE UK) </w:t>
      </w:r>
    </w:p>
    <w:p w14:paraId="2876745A" w14:textId="77777777" w:rsidR="000377EC" w:rsidRPr="004A55CD" w:rsidRDefault="000377EC" w:rsidP="000377EC">
      <w:pPr>
        <w:pStyle w:val="NormalBulleted"/>
      </w:pPr>
      <w:r w:rsidRPr="004A55CD">
        <w:t>Elshaug et al’s</w:t>
      </w:r>
      <w:r w:rsidR="001A3DE4" w:rsidRPr="001A3DE4">
        <w:rPr>
          <w:vertAlign w:val="superscript"/>
        </w:rPr>
        <w:t>1</w:t>
      </w:r>
      <w:r w:rsidRPr="004A55CD">
        <w:t xml:space="preserve"> Medical Journal of Australia article on potentially low value health services</w:t>
      </w:r>
      <w:r w:rsidR="00F16905">
        <w:t>.</w:t>
      </w:r>
      <w:r w:rsidRPr="004A55CD">
        <w:t xml:space="preserve"> </w:t>
      </w:r>
    </w:p>
    <w:p w14:paraId="635A57EA" w14:textId="77777777" w:rsidR="000377EC" w:rsidRPr="004A55CD" w:rsidRDefault="000377EC" w:rsidP="00F56E64">
      <w:r w:rsidRPr="004A55CD">
        <w:t>The Choosing Wisely and Elshaug et al</w:t>
      </w:r>
      <w:r w:rsidR="001A3DE4" w:rsidRPr="001A3DE4">
        <w:rPr>
          <w:vertAlign w:val="superscript"/>
        </w:rPr>
        <w:t>1</w:t>
      </w:r>
      <w:r w:rsidRPr="004A55CD">
        <w:t xml:space="preserve"> recommendations relate to the use of spirometry for COPD. These sources suggest that performing spirometry during a COPD exacerbation is of little value and although it is indicated to monitor disease progression, optimal intervals have not been established and clinical judgment should be used. In regard to using spirometry for COPD screening it is not recommended that respiratory spirometry be used for large</w:t>
      </w:r>
      <w:r w:rsidRPr="004A55CD">
        <w:rPr>
          <w:szCs w:val="22"/>
        </w:rPr>
        <w:t xml:space="preserve"> </w:t>
      </w:r>
      <w:r w:rsidRPr="004A55CD">
        <w:t>population screening for COPD, but that it be focused through a case finding approach on those most likely to be at risk.</w:t>
      </w:r>
    </w:p>
    <w:p w14:paraId="1BEBA731" w14:textId="77777777" w:rsidR="000377EC" w:rsidRPr="004A55CD" w:rsidRDefault="000377EC" w:rsidP="00F56E64">
      <w:r w:rsidRPr="004A55CD">
        <w:t>The National Institute for Health and Care Excellence (NICE)</w:t>
      </w:r>
      <w:r w:rsidR="001A3DE4">
        <w:t xml:space="preserve"> </w:t>
      </w:r>
      <w:r>
        <w:t xml:space="preserve">has </w:t>
      </w:r>
      <w:r w:rsidRPr="004A55CD">
        <w:t>published clinical guidance on the use of spirometry in relation to COPD, but also more broadly about use in general practice</w:t>
      </w:r>
      <w:r w:rsidR="001A3DE4">
        <w:rPr>
          <w:vertAlign w:val="superscript"/>
        </w:rPr>
        <w:t>2</w:t>
      </w:r>
      <w:r w:rsidRPr="004A55CD">
        <w:t>.</w:t>
      </w:r>
    </w:p>
    <w:p w14:paraId="3A79CDF4" w14:textId="77777777" w:rsidR="00983033" w:rsidRDefault="00983033" w:rsidP="00F56E64">
      <w:pPr>
        <w:rPr>
          <w:rFonts w:cs="Arial"/>
        </w:rPr>
      </w:pPr>
      <w:r w:rsidRPr="004A55CD">
        <w:rPr>
          <w:rFonts w:cs="Arial"/>
        </w:rPr>
        <w:t xml:space="preserve">At its first meeting the </w:t>
      </w:r>
      <w:r w:rsidR="007B78B9">
        <w:rPr>
          <w:rFonts w:cs="Arial"/>
        </w:rPr>
        <w:t>Committee</w:t>
      </w:r>
      <w:r w:rsidRPr="004A55CD">
        <w:rPr>
          <w:rFonts w:cs="Arial"/>
        </w:rPr>
        <w:t xml:space="preserve"> confirmed that these items should undergo a detailed review because of concerns about appropriate use (underuse), particularly in primary care.</w:t>
      </w:r>
    </w:p>
    <w:p w14:paraId="6DDEEA98" w14:textId="77777777" w:rsidR="000A6B51" w:rsidRPr="000A6B51" w:rsidRDefault="000A6B51" w:rsidP="005B5CF6">
      <w:pPr>
        <w:pStyle w:val="Heading3"/>
      </w:pPr>
      <w:bookmarkStart w:id="87" w:name="_Toc434329383"/>
      <w:bookmarkStart w:id="88" w:name="_Toc452990610"/>
      <w:r w:rsidRPr="000A6B51">
        <w:t>MBS context</w:t>
      </w:r>
      <w:bookmarkEnd w:id="87"/>
      <w:bookmarkEnd w:id="88"/>
    </w:p>
    <w:p w14:paraId="1BDACB12" w14:textId="05A147BD" w:rsidR="000A6B51" w:rsidRDefault="000A6B51" w:rsidP="00F56E64">
      <w:r w:rsidRPr="000A6B51">
        <w:t xml:space="preserve">There are three MBS items for spirometry, items 11506, 11509 and 11512. </w:t>
      </w:r>
      <w:r w:rsidR="00F16905">
        <w:t>T</w:t>
      </w:r>
      <w:r w:rsidRPr="000A6B51">
        <w:t xml:space="preserve">he </w:t>
      </w:r>
      <w:r w:rsidR="00F16905">
        <w:t>Committee</w:t>
      </w:r>
      <w:r w:rsidR="00F16905" w:rsidRPr="000A6B51">
        <w:t xml:space="preserve"> </w:t>
      </w:r>
      <w:r w:rsidRPr="000A6B51">
        <w:t>suggests that item 11509 is redundant</w:t>
      </w:r>
      <w:r w:rsidR="00F16905">
        <w:t xml:space="preserve"> – this is discussed in more detail in section </w:t>
      </w:r>
      <w:r w:rsidR="00F16905">
        <w:fldChar w:fldCharType="begin"/>
      </w:r>
      <w:r w:rsidR="00F16905">
        <w:instrText xml:space="preserve"> REF _Ref457198185 \r \h </w:instrText>
      </w:r>
      <w:r w:rsidR="00F56E64">
        <w:instrText xml:space="preserve"> \* MERGEFORMAT </w:instrText>
      </w:r>
      <w:r w:rsidR="00F16905">
        <w:fldChar w:fldCharType="separate"/>
      </w:r>
      <w:r w:rsidR="00F2203C">
        <w:t>8</w:t>
      </w:r>
      <w:r w:rsidR="00F16905">
        <w:fldChar w:fldCharType="end"/>
      </w:r>
      <w:r w:rsidRPr="000A6B51">
        <w:t>. Items 11506 and 11512 have similar requirements with both providing for pre and post bronchodilator spirometry. Item 11506 is an office based test and the higher rebated 11512, is a study performed in a respiratory laboratory, under the supervision of a respiratory specialist and requires a written report. These items have been MBS listed and unchanged since at least 1991</w:t>
      </w:r>
      <w:r w:rsidR="00F16905">
        <w:t xml:space="preserve"> (</w:t>
      </w:r>
      <w:r w:rsidR="00F16905" w:rsidRPr="00F15D21">
        <w:t xml:space="preserve">noting </w:t>
      </w:r>
      <w:r w:rsidR="00F16905" w:rsidRPr="005B5CF6">
        <w:t>that all existing MBS items were renumbered in 1991 – therefore this is the date stored as the item/descriptor start date in the database, however a large proportion of these items have been on the MBS for a long period before this date</w:t>
      </w:r>
      <w:r w:rsidR="00F16905">
        <w:t>)</w:t>
      </w:r>
      <w:r w:rsidR="00F16905" w:rsidRPr="005B5CF6">
        <w:t>.</w:t>
      </w:r>
    </w:p>
    <w:p w14:paraId="33AD4323" w14:textId="77777777" w:rsidR="000A6B51" w:rsidRDefault="000A6B51" w:rsidP="00F56E64">
      <w:r w:rsidRPr="000A6B51">
        <w:t>Item 11506 is used principally in primary care with 80 per cent of services in 2014-15 being provided by GPs. Conversely, item 11512 is almost exclusively provided by specialist respiratory physicians.</w:t>
      </w:r>
    </w:p>
    <w:p w14:paraId="18F56824" w14:textId="77777777" w:rsidR="000A6B51" w:rsidRDefault="000A6B51" w:rsidP="00F56E64">
      <w:r w:rsidRPr="005F35A4">
        <w:lastRenderedPageBreak/>
        <w:t>The item descriptors for items 11506 and 11512 are set in Appendix A and relevant MBS data in Appendix D.</w:t>
      </w:r>
    </w:p>
    <w:p w14:paraId="19A8D910" w14:textId="77777777" w:rsidR="000A6B51" w:rsidRPr="000A6B51" w:rsidRDefault="000A6B51" w:rsidP="00F56E64">
      <w:r w:rsidRPr="000A6B51">
        <w:t xml:space="preserve">It should be noted that less complex spirometry (pre or post bronchodilator spirometry or spirometry performed without reference to bronchodilation) does not currently have a MBS item. Many less complex tests and procedures do not attract specific MBS items and are covered under the accompanying consultation, however spirometry is a complex test even when performed before </w:t>
      </w:r>
      <w:r w:rsidRPr="00DA2C66">
        <w:t>or</w:t>
      </w:r>
      <w:r w:rsidRPr="000A6B51">
        <w:t xml:space="preserve"> after bronchodilator. The volume of less complex office-based spirometry is unknown.</w:t>
      </w:r>
    </w:p>
    <w:p w14:paraId="7D9C0630" w14:textId="77777777" w:rsidR="000A6B51" w:rsidRPr="000A6B51" w:rsidRDefault="000A6B51" w:rsidP="00CB2F80">
      <w:pPr>
        <w:pStyle w:val="Heading3"/>
      </w:pPr>
      <w:bookmarkStart w:id="89" w:name="_MBS_data_relating"/>
      <w:bookmarkEnd w:id="89"/>
      <w:r w:rsidRPr="000A6B51">
        <w:t>MBS data relating to item 11506</w:t>
      </w:r>
    </w:p>
    <w:p w14:paraId="65A6554C" w14:textId="77777777" w:rsidR="000A6B51" w:rsidRPr="000A6B51" w:rsidRDefault="000A6B51" w:rsidP="00253B22">
      <w:pPr>
        <w:pStyle w:val="Caption"/>
      </w:pPr>
      <w:bookmarkStart w:id="90" w:name="_Toc457450642"/>
      <w:bookmarkStart w:id="91" w:name="_Toc478721537"/>
      <w:r w:rsidRPr="000A6B51">
        <w:t>Table</w:t>
      </w:r>
      <w:r w:rsidR="00926B56">
        <w:t xml:space="preserve"> 3</w:t>
      </w:r>
      <w:r w:rsidRPr="000A6B51">
        <w:t>:</w:t>
      </w:r>
      <w:r w:rsidRPr="000A6B51">
        <w:tab/>
        <w:t>High level MBS data on spirometry item 11509, 2014-15 (date of processing)</w:t>
      </w:r>
      <w:bookmarkEnd w:id="90"/>
      <w:bookmarkEnd w:id="91"/>
    </w:p>
    <w:tbl>
      <w:tblPr>
        <w:tblStyle w:val="TableGrid"/>
        <w:tblW w:w="9214" w:type="dxa"/>
        <w:tblInd w:w="108" w:type="dxa"/>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ayout w:type="fixed"/>
        <w:tblLook w:val="04A0" w:firstRow="1" w:lastRow="0" w:firstColumn="1" w:lastColumn="0" w:noHBand="0" w:noVBand="1"/>
        <w:tblDescription w:val="Table 3 provides an overview of MBS data, including services and benefits, on spirometry item 11509 in 2014-15."/>
      </w:tblPr>
      <w:tblGrid>
        <w:gridCol w:w="6804"/>
        <w:gridCol w:w="2410"/>
      </w:tblGrid>
      <w:tr w:rsidR="00B76E12" w:rsidRPr="000A6B51" w14:paraId="787467B6" w14:textId="77777777" w:rsidTr="0099709F">
        <w:trPr>
          <w:tblHeader/>
        </w:trPr>
        <w:tc>
          <w:tcPr>
            <w:tcW w:w="6804" w:type="dxa"/>
            <w:tcBorders>
              <w:top w:val="single" w:sz="4" w:space="0" w:color="B56012"/>
            </w:tcBorders>
            <w:shd w:val="clear" w:color="auto" w:fill="auto"/>
          </w:tcPr>
          <w:p w14:paraId="39233A2C" w14:textId="77777777" w:rsidR="00B76E12" w:rsidRPr="000A6B51" w:rsidRDefault="00B76E12" w:rsidP="0099709F">
            <w:pPr>
              <w:pStyle w:val="Tableheading"/>
            </w:pPr>
            <w:r>
              <w:t>Statistic</w:t>
            </w:r>
          </w:p>
        </w:tc>
        <w:tc>
          <w:tcPr>
            <w:tcW w:w="2410" w:type="dxa"/>
            <w:tcBorders>
              <w:top w:val="single" w:sz="4" w:space="0" w:color="B56012"/>
            </w:tcBorders>
            <w:vAlign w:val="center"/>
          </w:tcPr>
          <w:p w14:paraId="177B839A" w14:textId="77777777" w:rsidR="00B76E12" w:rsidRPr="000A6B51" w:rsidRDefault="00B76E12" w:rsidP="0099709F">
            <w:pPr>
              <w:pStyle w:val="Tableheading"/>
            </w:pPr>
            <w:r>
              <w:t>Amount</w:t>
            </w:r>
          </w:p>
        </w:tc>
      </w:tr>
      <w:tr w:rsidR="000A6B51" w:rsidRPr="000A6B51" w14:paraId="16380C99" w14:textId="77777777" w:rsidTr="0099709F">
        <w:tc>
          <w:tcPr>
            <w:tcW w:w="6804" w:type="dxa"/>
            <w:tcBorders>
              <w:top w:val="single" w:sz="4" w:space="0" w:color="B56012"/>
            </w:tcBorders>
            <w:shd w:val="clear" w:color="auto" w:fill="auto"/>
          </w:tcPr>
          <w:p w14:paraId="24BB96DF" w14:textId="77777777" w:rsidR="000A6B51" w:rsidRPr="000A6B51" w:rsidRDefault="000A6B51" w:rsidP="00A403FC">
            <w:pPr>
              <w:pStyle w:val="Tabletext"/>
            </w:pPr>
            <w:r w:rsidRPr="000A6B51">
              <w:t>Schedule fee</w:t>
            </w:r>
          </w:p>
        </w:tc>
        <w:tc>
          <w:tcPr>
            <w:tcW w:w="2410" w:type="dxa"/>
            <w:tcBorders>
              <w:top w:val="single" w:sz="4" w:space="0" w:color="B56012"/>
            </w:tcBorders>
            <w:vAlign w:val="center"/>
          </w:tcPr>
          <w:p w14:paraId="4B97B643" w14:textId="77777777" w:rsidR="000A6B51" w:rsidRPr="000A6B51" w:rsidRDefault="000A6B51" w:rsidP="00A403FC">
            <w:pPr>
              <w:pStyle w:val="Tabletext"/>
            </w:pPr>
            <w:r w:rsidRPr="000A6B51">
              <w:t>$20.55</w:t>
            </w:r>
          </w:p>
        </w:tc>
      </w:tr>
      <w:tr w:rsidR="000A6B51" w:rsidRPr="000A6B51" w14:paraId="4552C2AF" w14:textId="77777777" w:rsidTr="0099709F">
        <w:tc>
          <w:tcPr>
            <w:tcW w:w="6804" w:type="dxa"/>
          </w:tcPr>
          <w:p w14:paraId="7F47FE67" w14:textId="77777777" w:rsidR="000A6B51" w:rsidRPr="000A6B51" w:rsidRDefault="000A6B51" w:rsidP="00A403FC">
            <w:pPr>
              <w:pStyle w:val="Tabletext"/>
            </w:pPr>
            <w:r w:rsidRPr="000A6B51">
              <w:t>Total benefits paid 2014-15</w:t>
            </w:r>
          </w:p>
        </w:tc>
        <w:tc>
          <w:tcPr>
            <w:tcW w:w="2410" w:type="dxa"/>
            <w:vAlign w:val="center"/>
          </w:tcPr>
          <w:p w14:paraId="07F7B7CC" w14:textId="77777777" w:rsidR="000A6B51" w:rsidRPr="000A6B51" w:rsidRDefault="000A6B51" w:rsidP="00A403FC">
            <w:pPr>
              <w:pStyle w:val="Tabletext"/>
            </w:pPr>
            <w:r w:rsidRPr="000A6B51">
              <w:t>$5,372,888</w:t>
            </w:r>
          </w:p>
        </w:tc>
      </w:tr>
      <w:tr w:rsidR="000A6B51" w:rsidRPr="000A6B51" w14:paraId="773AF434" w14:textId="77777777" w:rsidTr="0099709F">
        <w:tc>
          <w:tcPr>
            <w:tcW w:w="6804" w:type="dxa"/>
          </w:tcPr>
          <w:p w14:paraId="1303888C" w14:textId="77777777" w:rsidR="000A6B51" w:rsidRPr="000A6B51" w:rsidRDefault="000A6B51" w:rsidP="00A403FC">
            <w:pPr>
              <w:pStyle w:val="Tabletext"/>
            </w:pPr>
            <w:r w:rsidRPr="000A6B51">
              <w:t>Number of services 2014-15</w:t>
            </w:r>
          </w:p>
        </w:tc>
        <w:tc>
          <w:tcPr>
            <w:tcW w:w="2410" w:type="dxa"/>
            <w:vAlign w:val="center"/>
          </w:tcPr>
          <w:p w14:paraId="099A1597" w14:textId="77777777" w:rsidR="000A6B51" w:rsidRPr="000A6B51" w:rsidRDefault="000A6B51" w:rsidP="00A403FC">
            <w:pPr>
              <w:pStyle w:val="Tabletext"/>
            </w:pPr>
            <w:r w:rsidRPr="000A6B51">
              <w:t>270,258</w:t>
            </w:r>
          </w:p>
        </w:tc>
      </w:tr>
      <w:tr w:rsidR="000A6B51" w:rsidRPr="000A6B51" w14:paraId="39979B17" w14:textId="77777777" w:rsidTr="0099709F">
        <w:tc>
          <w:tcPr>
            <w:tcW w:w="6804" w:type="dxa"/>
          </w:tcPr>
          <w:p w14:paraId="2BB7717E" w14:textId="77777777" w:rsidR="000A6B51" w:rsidRPr="000A6B51" w:rsidRDefault="000A6B51" w:rsidP="00A403FC">
            <w:pPr>
              <w:pStyle w:val="Tabletext"/>
            </w:pPr>
            <w:r w:rsidRPr="000A6B51">
              <w:t>% of services provided out-of-hospital 2014-15</w:t>
            </w:r>
          </w:p>
        </w:tc>
        <w:tc>
          <w:tcPr>
            <w:tcW w:w="2410" w:type="dxa"/>
            <w:vAlign w:val="center"/>
          </w:tcPr>
          <w:p w14:paraId="3789B954" w14:textId="77777777" w:rsidR="000A6B51" w:rsidRPr="000A6B51" w:rsidRDefault="000A6B51" w:rsidP="00A403FC">
            <w:pPr>
              <w:pStyle w:val="Tabletext"/>
            </w:pPr>
            <w:r w:rsidRPr="000A6B51">
              <w:t>99.80%</w:t>
            </w:r>
          </w:p>
        </w:tc>
      </w:tr>
      <w:tr w:rsidR="000A6B51" w:rsidRPr="000A6B51" w14:paraId="397CA299" w14:textId="77777777" w:rsidTr="0099709F">
        <w:trPr>
          <w:trHeight w:val="306"/>
        </w:trPr>
        <w:tc>
          <w:tcPr>
            <w:tcW w:w="6804" w:type="dxa"/>
            <w:vAlign w:val="center"/>
          </w:tcPr>
          <w:p w14:paraId="08259774" w14:textId="77777777" w:rsidR="000A6B51" w:rsidRPr="000A6B51" w:rsidRDefault="000A6B51" w:rsidP="00A403FC">
            <w:pPr>
              <w:pStyle w:val="Tabletext"/>
            </w:pPr>
            <w:r w:rsidRPr="000A6B51">
              <w:t>Bulk-billing rate for out-of-hospital services 2014-15</w:t>
            </w:r>
          </w:p>
        </w:tc>
        <w:tc>
          <w:tcPr>
            <w:tcW w:w="2410" w:type="dxa"/>
            <w:vAlign w:val="center"/>
          </w:tcPr>
          <w:p w14:paraId="252FE54E" w14:textId="77777777" w:rsidR="000A6B51" w:rsidRPr="000A6B51" w:rsidRDefault="000A6B51" w:rsidP="00A403FC">
            <w:pPr>
              <w:pStyle w:val="Tabletext"/>
            </w:pPr>
            <w:r w:rsidRPr="000A6B51">
              <w:t>83.90%</w:t>
            </w:r>
          </w:p>
        </w:tc>
      </w:tr>
      <w:tr w:rsidR="000A6B51" w:rsidRPr="000A6B51" w14:paraId="1028490D" w14:textId="77777777" w:rsidTr="0099709F">
        <w:tc>
          <w:tcPr>
            <w:tcW w:w="6804" w:type="dxa"/>
            <w:vAlign w:val="center"/>
          </w:tcPr>
          <w:p w14:paraId="7D76A96F" w14:textId="77777777" w:rsidR="000A6B51" w:rsidRPr="000A6B51" w:rsidRDefault="000A6B51" w:rsidP="00A403FC">
            <w:pPr>
              <w:pStyle w:val="Tabletext"/>
            </w:pPr>
            <w:r w:rsidRPr="000A6B51">
              <w:t>Total patient count 2014-15</w:t>
            </w:r>
          </w:p>
        </w:tc>
        <w:tc>
          <w:tcPr>
            <w:tcW w:w="2410" w:type="dxa"/>
            <w:vAlign w:val="center"/>
          </w:tcPr>
          <w:p w14:paraId="4C4F1011" w14:textId="77777777" w:rsidR="000A6B51" w:rsidRPr="000A6B51" w:rsidRDefault="000A6B51" w:rsidP="00A403FC">
            <w:pPr>
              <w:pStyle w:val="Tabletext"/>
            </w:pPr>
            <w:r w:rsidRPr="000A6B51">
              <w:t>231,878</w:t>
            </w:r>
          </w:p>
        </w:tc>
      </w:tr>
      <w:tr w:rsidR="000A6B51" w:rsidRPr="000A6B51" w14:paraId="0C2CFD42" w14:textId="77777777" w:rsidTr="0099709F">
        <w:tc>
          <w:tcPr>
            <w:tcW w:w="6804" w:type="dxa"/>
            <w:vAlign w:val="center"/>
          </w:tcPr>
          <w:p w14:paraId="74872846" w14:textId="77777777" w:rsidR="000A6B51" w:rsidRPr="000A6B51" w:rsidRDefault="000A6B51" w:rsidP="00A403FC">
            <w:pPr>
              <w:pStyle w:val="Tabletext"/>
            </w:pPr>
            <w:r w:rsidRPr="000A6B51">
              <w:t>Total provider count 2014-15</w:t>
            </w:r>
          </w:p>
        </w:tc>
        <w:tc>
          <w:tcPr>
            <w:tcW w:w="2410" w:type="dxa"/>
            <w:vAlign w:val="center"/>
          </w:tcPr>
          <w:p w14:paraId="0020FA3F" w14:textId="77777777" w:rsidR="000A6B51" w:rsidRPr="000A6B51" w:rsidRDefault="000A6B51" w:rsidP="00A403FC">
            <w:pPr>
              <w:pStyle w:val="Tabletext"/>
            </w:pPr>
            <w:r w:rsidRPr="000A6B51">
              <w:t>18,358</w:t>
            </w:r>
          </w:p>
        </w:tc>
      </w:tr>
      <w:tr w:rsidR="000A6B51" w:rsidRPr="000A6B51" w14:paraId="4FC21144" w14:textId="77777777" w:rsidTr="0099709F">
        <w:tc>
          <w:tcPr>
            <w:tcW w:w="6804" w:type="dxa"/>
            <w:vAlign w:val="center"/>
          </w:tcPr>
          <w:p w14:paraId="34FC9390" w14:textId="77777777" w:rsidR="000A6B51" w:rsidRPr="000A6B51" w:rsidRDefault="000A6B51" w:rsidP="00A403FC">
            <w:pPr>
              <w:pStyle w:val="Tabletext"/>
            </w:pPr>
            <w:r w:rsidRPr="000A6B51">
              <w:t>Benefits change (%) from 2009-10 to 2014-15</w:t>
            </w:r>
          </w:p>
        </w:tc>
        <w:tc>
          <w:tcPr>
            <w:tcW w:w="2410" w:type="dxa"/>
            <w:vAlign w:val="center"/>
          </w:tcPr>
          <w:p w14:paraId="58B5C136" w14:textId="77777777" w:rsidR="000A6B51" w:rsidRPr="000A6B51" w:rsidRDefault="000A6B51" w:rsidP="00A403FC">
            <w:pPr>
              <w:pStyle w:val="Tabletext"/>
            </w:pPr>
            <w:r w:rsidRPr="000A6B51">
              <w:t>37.00%</w:t>
            </w:r>
          </w:p>
        </w:tc>
      </w:tr>
      <w:tr w:rsidR="000A6B51" w:rsidRPr="000A6B51" w14:paraId="5982E06F" w14:textId="77777777" w:rsidTr="0099709F">
        <w:tc>
          <w:tcPr>
            <w:tcW w:w="6804" w:type="dxa"/>
            <w:vAlign w:val="center"/>
          </w:tcPr>
          <w:p w14:paraId="631D3B5D" w14:textId="77777777" w:rsidR="000A6B51" w:rsidRPr="000A6B51" w:rsidRDefault="000A6B51" w:rsidP="00A403FC">
            <w:pPr>
              <w:pStyle w:val="Tabletext"/>
            </w:pPr>
            <w:r w:rsidRPr="000A6B51">
              <w:t>Service change (%) from 2009-10 to 2014-15</w:t>
            </w:r>
          </w:p>
        </w:tc>
        <w:tc>
          <w:tcPr>
            <w:tcW w:w="2410" w:type="dxa"/>
            <w:vAlign w:val="center"/>
          </w:tcPr>
          <w:p w14:paraId="737B3A92" w14:textId="77777777" w:rsidR="000A6B51" w:rsidRPr="000A6B51" w:rsidRDefault="000A6B51" w:rsidP="00A403FC">
            <w:pPr>
              <w:pStyle w:val="Tabletext"/>
            </w:pPr>
            <w:r w:rsidRPr="000A6B51">
              <w:t>14.40%</w:t>
            </w:r>
          </w:p>
        </w:tc>
      </w:tr>
    </w:tbl>
    <w:p w14:paraId="0CE8E3A9" w14:textId="77777777" w:rsidR="000A6B51" w:rsidRPr="00DA5B19" w:rsidRDefault="000A6B51" w:rsidP="00DA5B19">
      <w:pPr>
        <w:pStyle w:val="TableUnderLast"/>
      </w:pPr>
      <w:r w:rsidRPr="00DA5B19">
        <w:t>Unpublished data (Department of Health)</w:t>
      </w:r>
    </w:p>
    <w:p w14:paraId="5D727BFF" w14:textId="77777777" w:rsidR="000A6B51" w:rsidRPr="000A6B51" w:rsidRDefault="000A6B51" w:rsidP="00253B22">
      <w:pPr>
        <w:pStyle w:val="Caption"/>
      </w:pPr>
      <w:bookmarkStart w:id="92" w:name="_Toc457450643"/>
      <w:bookmarkStart w:id="93" w:name="_Toc478721538"/>
      <w:r w:rsidRPr="000A6B51">
        <w:t>Table</w:t>
      </w:r>
      <w:r w:rsidR="00926B56">
        <w:t xml:space="preserve"> 4</w:t>
      </w:r>
      <w:r w:rsidRPr="000A6B51">
        <w:t>:</w:t>
      </w:r>
      <w:r w:rsidRPr="000A6B51">
        <w:tab/>
        <w:t xml:space="preserve">Number of services by </w:t>
      </w:r>
      <w:r w:rsidR="00B3465E">
        <w:t>jurisdiction</w:t>
      </w:r>
      <w:r w:rsidRPr="000A6B51">
        <w:t>, item 11506, 2014-15</w:t>
      </w:r>
      <w:bookmarkEnd w:id="92"/>
      <w:bookmarkEnd w:id="93"/>
    </w:p>
    <w:tbl>
      <w:tblPr>
        <w:tblStyle w:val="TableGrid"/>
        <w:tblW w:w="9322"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4 provides the number of services for item 11506 in each Australian jurisdiction during 2014-15. There were 270,256 services in Australia."/>
      </w:tblPr>
      <w:tblGrid>
        <w:gridCol w:w="2330"/>
        <w:gridCol w:w="2331"/>
        <w:gridCol w:w="2330"/>
        <w:gridCol w:w="2331"/>
      </w:tblGrid>
      <w:tr w:rsidR="000A6B51" w:rsidRPr="000A6B51" w14:paraId="0F5FB7F2" w14:textId="77777777" w:rsidTr="0099709F">
        <w:trPr>
          <w:tblHeader/>
        </w:trPr>
        <w:tc>
          <w:tcPr>
            <w:tcW w:w="2330" w:type="dxa"/>
            <w:shd w:val="clear" w:color="auto" w:fill="auto"/>
          </w:tcPr>
          <w:p w14:paraId="0C0BC8EC" w14:textId="77777777" w:rsidR="000A6B51" w:rsidRPr="000A6B51" w:rsidRDefault="00B3465E" w:rsidP="00A403FC">
            <w:pPr>
              <w:pStyle w:val="Tableheading"/>
            </w:pPr>
            <w:r>
              <w:t>Jurisdiction</w:t>
            </w:r>
          </w:p>
        </w:tc>
        <w:tc>
          <w:tcPr>
            <w:tcW w:w="2331" w:type="dxa"/>
            <w:shd w:val="clear" w:color="auto" w:fill="auto"/>
          </w:tcPr>
          <w:p w14:paraId="3B27ACB3" w14:textId="77777777" w:rsidR="000A6B51" w:rsidRPr="000A6B51" w:rsidRDefault="00CB3F39" w:rsidP="00CB3F39">
            <w:pPr>
              <w:pStyle w:val="Tableheading"/>
            </w:pPr>
            <w:r w:rsidRPr="00CB3F39">
              <w:t>Estimated residential population</w:t>
            </w:r>
            <w:r w:rsidR="000A6B51" w:rsidRPr="000A6B51">
              <w:t>*</w:t>
            </w:r>
          </w:p>
        </w:tc>
        <w:tc>
          <w:tcPr>
            <w:tcW w:w="2330" w:type="dxa"/>
            <w:shd w:val="clear" w:color="auto" w:fill="auto"/>
          </w:tcPr>
          <w:p w14:paraId="7C1913E2" w14:textId="77777777" w:rsidR="000A6B51" w:rsidRPr="000A6B51" w:rsidRDefault="000A6B51" w:rsidP="00A403FC">
            <w:pPr>
              <w:pStyle w:val="Tableheading"/>
            </w:pPr>
            <w:r w:rsidRPr="000A6B51">
              <w:t>Number of Services</w:t>
            </w:r>
          </w:p>
        </w:tc>
        <w:tc>
          <w:tcPr>
            <w:tcW w:w="2331" w:type="dxa"/>
            <w:shd w:val="clear" w:color="auto" w:fill="auto"/>
          </w:tcPr>
          <w:p w14:paraId="691CC288" w14:textId="77777777" w:rsidR="000A6B51" w:rsidRPr="000A6B51" w:rsidRDefault="000A6B51" w:rsidP="00A403FC">
            <w:pPr>
              <w:pStyle w:val="Tableheading"/>
            </w:pPr>
            <w:r w:rsidRPr="000A6B51">
              <w:t>Service rate per 1,000</w:t>
            </w:r>
          </w:p>
        </w:tc>
      </w:tr>
      <w:tr w:rsidR="000A6B51" w:rsidRPr="000A6B51" w14:paraId="40446CF6" w14:textId="77777777" w:rsidTr="00E41CE7">
        <w:tc>
          <w:tcPr>
            <w:tcW w:w="2330" w:type="dxa"/>
            <w:shd w:val="clear" w:color="auto" w:fill="auto"/>
          </w:tcPr>
          <w:p w14:paraId="66207EE7" w14:textId="77777777" w:rsidR="000A6B51" w:rsidRPr="000A6B51" w:rsidRDefault="000A6B51" w:rsidP="00CB3F39">
            <w:pPr>
              <w:pStyle w:val="Tabletext"/>
            </w:pPr>
            <w:r w:rsidRPr="000A6B51">
              <w:t>NSW</w:t>
            </w:r>
          </w:p>
        </w:tc>
        <w:tc>
          <w:tcPr>
            <w:tcW w:w="2331" w:type="dxa"/>
            <w:shd w:val="clear" w:color="auto" w:fill="auto"/>
          </w:tcPr>
          <w:p w14:paraId="07B14268" w14:textId="77777777" w:rsidR="000A6B51" w:rsidRPr="000A6B51" w:rsidRDefault="000A6B51" w:rsidP="0099709F">
            <w:pPr>
              <w:pStyle w:val="Tabletext"/>
            </w:pPr>
            <w:r w:rsidRPr="000A6B51">
              <w:t>7,565,497</w:t>
            </w:r>
          </w:p>
        </w:tc>
        <w:tc>
          <w:tcPr>
            <w:tcW w:w="2330" w:type="dxa"/>
            <w:shd w:val="clear" w:color="auto" w:fill="auto"/>
          </w:tcPr>
          <w:p w14:paraId="364D4522" w14:textId="77777777" w:rsidR="000A6B51" w:rsidRPr="000A6B51" w:rsidRDefault="000A6B51" w:rsidP="0099709F">
            <w:pPr>
              <w:pStyle w:val="Tabletext"/>
            </w:pPr>
            <w:r w:rsidRPr="000A6B51">
              <w:t>109,903</w:t>
            </w:r>
          </w:p>
        </w:tc>
        <w:tc>
          <w:tcPr>
            <w:tcW w:w="2331" w:type="dxa"/>
            <w:shd w:val="clear" w:color="auto" w:fill="auto"/>
          </w:tcPr>
          <w:p w14:paraId="4D61E96A" w14:textId="77777777" w:rsidR="000A6B51" w:rsidRPr="000A6B51" w:rsidRDefault="000A6B51" w:rsidP="0099709F">
            <w:pPr>
              <w:pStyle w:val="Tabletext"/>
            </w:pPr>
            <w:r w:rsidRPr="000A6B51">
              <w:t>14.5</w:t>
            </w:r>
          </w:p>
        </w:tc>
      </w:tr>
      <w:tr w:rsidR="000A6B51" w:rsidRPr="000A6B51" w14:paraId="2D8FF30C" w14:textId="77777777" w:rsidTr="00E41CE7">
        <w:tc>
          <w:tcPr>
            <w:tcW w:w="2330" w:type="dxa"/>
            <w:shd w:val="clear" w:color="auto" w:fill="auto"/>
          </w:tcPr>
          <w:p w14:paraId="1C14F0F6" w14:textId="77777777" w:rsidR="000A6B51" w:rsidRPr="000A6B51" w:rsidRDefault="000A6B51" w:rsidP="00CB3F39">
            <w:pPr>
              <w:pStyle w:val="Tabletext"/>
            </w:pPr>
            <w:r w:rsidRPr="000A6B51">
              <w:t>VIC</w:t>
            </w:r>
          </w:p>
        </w:tc>
        <w:tc>
          <w:tcPr>
            <w:tcW w:w="2331" w:type="dxa"/>
            <w:shd w:val="clear" w:color="auto" w:fill="auto"/>
          </w:tcPr>
          <w:p w14:paraId="6A6CCDCE" w14:textId="77777777" w:rsidR="000A6B51" w:rsidRPr="000A6B51" w:rsidRDefault="000A6B51" w:rsidP="0099709F">
            <w:pPr>
              <w:pStyle w:val="Tabletext"/>
            </w:pPr>
            <w:r w:rsidRPr="000A6B51">
              <w:t>5,886,436</w:t>
            </w:r>
          </w:p>
        </w:tc>
        <w:tc>
          <w:tcPr>
            <w:tcW w:w="2330" w:type="dxa"/>
            <w:shd w:val="clear" w:color="auto" w:fill="auto"/>
          </w:tcPr>
          <w:p w14:paraId="6B2039C4" w14:textId="77777777" w:rsidR="000A6B51" w:rsidRPr="000A6B51" w:rsidRDefault="000A6B51" w:rsidP="0099709F">
            <w:pPr>
              <w:pStyle w:val="Tabletext"/>
            </w:pPr>
            <w:r w:rsidRPr="000A6B51">
              <w:t>29,228</w:t>
            </w:r>
          </w:p>
        </w:tc>
        <w:tc>
          <w:tcPr>
            <w:tcW w:w="2331" w:type="dxa"/>
            <w:shd w:val="clear" w:color="auto" w:fill="auto"/>
          </w:tcPr>
          <w:p w14:paraId="4E54FD8D" w14:textId="77777777" w:rsidR="000A6B51" w:rsidRPr="000A6B51" w:rsidRDefault="000A6B51" w:rsidP="0099709F">
            <w:pPr>
              <w:pStyle w:val="Tabletext"/>
            </w:pPr>
            <w:r w:rsidRPr="000A6B51">
              <w:t>5.0</w:t>
            </w:r>
          </w:p>
        </w:tc>
      </w:tr>
      <w:tr w:rsidR="000A6B51" w:rsidRPr="000A6B51" w14:paraId="59D21D2E" w14:textId="77777777" w:rsidTr="00E41CE7">
        <w:tc>
          <w:tcPr>
            <w:tcW w:w="2330" w:type="dxa"/>
            <w:shd w:val="clear" w:color="auto" w:fill="auto"/>
          </w:tcPr>
          <w:p w14:paraId="066BF19F" w14:textId="77777777" w:rsidR="000A6B51" w:rsidRPr="000A6B51" w:rsidRDefault="000A6B51" w:rsidP="00CB3F39">
            <w:pPr>
              <w:pStyle w:val="Tabletext"/>
            </w:pPr>
            <w:r w:rsidRPr="000A6B51">
              <w:t>QLD</w:t>
            </w:r>
          </w:p>
        </w:tc>
        <w:tc>
          <w:tcPr>
            <w:tcW w:w="2331" w:type="dxa"/>
            <w:shd w:val="clear" w:color="auto" w:fill="auto"/>
          </w:tcPr>
          <w:p w14:paraId="76212791" w14:textId="77777777" w:rsidR="000A6B51" w:rsidRPr="000A6B51" w:rsidRDefault="000A6B51" w:rsidP="0099709F">
            <w:pPr>
              <w:pStyle w:val="Tabletext"/>
            </w:pPr>
            <w:r w:rsidRPr="000A6B51">
              <w:t>4,750,513</w:t>
            </w:r>
          </w:p>
        </w:tc>
        <w:tc>
          <w:tcPr>
            <w:tcW w:w="2330" w:type="dxa"/>
            <w:shd w:val="clear" w:color="auto" w:fill="auto"/>
          </w:tcPr>
          <w:p w14:paraId="70F7D877" w14:textId="77777777" w:rsidR="000A6B51" w:rsidRPr="000A6B51" w:rsidRDefault="000A6B51" w:rsidP="0099709F">
            <w:pPr>
              <w:pStyle w:val="Tabletext"/>
            </w:pPr>
            <w:r w:rsidRPr="000A6B51">
              <w:t>78,751</w:t>
            </w:r>
          </w:p>
        </w:tc>
        <w:tc>
          <w:tcPr>
            <w:tcW w:w="2331" w:type="dxa"/>
            <w:shd w:val="clear" w:color="auto" w:fill="auto"/>
          </w:tcPr>
          <w:p w14:paraId="6F38318F" w14:textId="77777777" w:rsidR="000A6B51" w:rsidRPr="000A6B51" w:rsidRDefault="000A6B51" w:rsidP="0099709F">
            <w:pPr>
              <w:pStyle w:val="Tabletext"/>
            </w:pPr>
            <w:r w:rsidRPr="000A6B51">
              <w:t>16.6</w:t>
            </w:r>
          </w:p>
        </w:tc>
      </w:tr>
      <w:tr w:rsidR="000A6B51" w:rsidRPr="000A6B51" w14:paraId="47547CAF" w14:textId="77777777" w:rsidTr="00E41CE7">
        <w:tc>
          <w:tcPr>
            <w:tcW w:w="2330" w:type="dxa"/>
            <w:shd w:val="clear" w:color="auto" w:fill="auto"/>
          </w:tcPr>
          <w:p w14:paraId="6CB64CA5" w14:textId="77777777" w:rsidR="000A6B51" w:rsidRPr="000A6B51" w:rsidRDefault="000A6B51" w:rsidP="00CB3F39">
            <w:pPr>
              <w:pStyle w:val="Tabletext"/>
            </w:pPr>
            <w:r w:rsidRPr="000A6B51">
              <w:t>SA</w:t>
            </w:r>
          </w:p>
        </w:tc>
        <w:tc>
          <w:tcPr>
            <w:tcW w:w="2331" w:type="dxa"/>
            <w:shd w:val="clear" w:color="auto" w:fill="auto"/>
          </w:tcPr>
          <w:p w14:paraId="28A7351A" w14:textId="77777777" w:rsidR="000A6B51" w:rsidRPr="000A6B51" w:rsidRDefault="000A6B51" w:rsidP="0099709F">
            <w:pPr>
              <w:pStyle w:val="Tabletext"/>
            </w:pPr>
            <w:r w:rsidRPr="000A6B51">
              <w:t>1,691,503</w:t>
            </w:r>
          </w:p>
        </w:tc>
        <w:tc>
          <w:tcPr>
            <w:tcW w:w="2330" w:type="dxa"/>
            <w:shd w:val="clear" w:color="auto" w:fill="auto"/>
          </w:tcPr>
          <w:p w14:paraId="31ACF44C" w14:textId="77777777" w:rsidR="000A6B51" w:rsidRPr="000A6B51" w:rsidRDefault="000A6B51" w:rsidP="0099709F">
            <w:pPr>
              <w:pStyle w:val="Tabletext"/>
            </w:pPr>
            <w:r w:rsidRPr="000A6B51">
              <w:t>17,226</w:t>
            </w:r>
          </w:p>
        </w:tc>
        <w:tc>
          <w:tcPr>
            <w:tcW w:w="2331" w:type="dxa"/>
            <w:shd w:val="clear" w:color="auto" w:fill="auto"/>
          </w:tcPr>
          <w:p w14:paraId="5324D6E2" w14:textId="77777777" w:rsidR="000A6B51" w:rsidRPr="000A6B51" w:rsidRDefault="000A6B51" w:rsidP="0099709F">
            <w:pPr>
              <w:pStyle w:val="Tabletext"/>
            </w:pPr>
            <w:r w:rsidRPr="000A6B51">
              <w:t>10.2</w:t>
            </w:r>
          </w:p>
        </w:tc>
      </w:tr>
      <w:tr w:rsidR="000A6B51" w:rsidRPr="000A6B51" w14:paraId="3BEBA6B3" w14:textId="77777777" w:rsidTr="00E41CE7">
        <w:tc>
          <w:tcPr>
            <w:tcW w:w="2330" w:type="dxa"/>
            <w:shd w:val="clear" w:color="auto" w:fill="auto"/>
          </w:tcPr>
          <w:p w14:paraId="0F402496" w14:textId="77777777" w:rsidR="000A6B51" w:rsidRPr="000A6B51" w:rsidRDefault="000A6B51" w:rsidP="00CB3F39">
            <w:pPr>
              <w:pStyle w:val="Tabletext"/>
            </w:pPr>
            <w:r w:rsidRPr="000A6B51">
              <w:t>WA</w:t>
            </w:r>
          </w:p>
        </w:tc>
        <w:tc>
          <w:tcPr>
            <w:tcW w:w="2331" w:type="dxa"/>
            <w:shd w:val="clear" w:color="auto" w:fill="auto"/>
          </w:tcPr>
          <w:p w14:paraId="2AC84E42" w14:textId="77777777" w:rsidR="000A6B51" w:rsidRPr="000A6B51" w:rsidRDefault="000A6B51" w:rsidP="0099709F">
            <w:pPr>
              <w:pStyle w:val="Tabletext"/>
            </w:pPr>
            <w:r w:rsidRPr="000A6B51">
              <w:t>2,581,250</w:t>
            </w:r>
          </w:p>
        </w:tc>
        <w:tc>
          <w:tcPr>
            <w:tcW w:w="2330" w:type="dxa"/>
            <w:shd w:val="clear" w:color="auto" w:fill="auto"/>
          </w:tcPr>
          <w:p w14:paraId="616F038E" w14:textId="77777777" w:rsidR="000A6B51" w:rsidRPr="000A6B51" w:rsidRDefault="000A6B51" w:rsidP="0099709F">
            <w:pPr>
              <w:pStyle w:val="Tabletext"/>
            </w:pPr>
            <w:r w:rsidRPr="000A6B51">
              <w:t>25,436</w:t>
            </w:r>
          </w:p>
        </w:tc>
        <w:tc>
          <w:tcPr>
            <w:tcW w:w="2331" w:type="dxa"/>
            <w:shd w:val="clear" w:color="auto" w:fill="auto"/>
          </w:tcPr>
          <w:p w14:paraId="7AE846A8" w14:textId="77777777" w:rsidR="000A6B51" w:rsidRPr="000A6B51" w:rsidRDefault="000A6B51" w:rsidP="0099709F">
            <w:pPr>
              <w:pStyle w:val="Tabletext"/>
            </w:pPr>
            <w:r w:rsidRPr="000A6B51">
              <w:t>9.9</w:t>
            </w:r>
          </w:p>
        </w:tc>
      </w:tr>
      <w:tr w:rsidR="000A6B51" w:rsidRPr="000A6B51" w14:paraId="6060B83C" w14:textId="77777777" w:rsidTr="00E41CE7">
        <w:tc>
          <w:tcPr>
            <w:tcW w:w="2330" w:type="dxa"/>
            <w:shd w:val="clear" w:color="auto" w:fill="auto"/>
          </w:tcPr>
          <w:p w14:paraId="5A66EAAE" w14:textId="77777777" w:rsidR="000A6B51" w:rsidRPr="000A6B51" w:rsidRDefault="000A6B51" w:rsidP="00CB3F39">
            <w:pPr>
              <w:pStyle w:val="Tabletext"/>
            </w:pPr>
            <w:r w:rsidRPr="000A6B51">
              <w:t>TAS</w:t>
            </w:r>
          </w:p>
        </w:tc>
        <w:tc>
          <w:tcPr>
            <w:tcW w:w="2331" w:type="dxa"/>
            <w:shd w:val="clear" w:color="auto" w:fill="auto"/>
          </w:tcPr>
          <w:p w14:paraId="39460441" w14:textId="77777777" w:rsidR="000A6B51" w:rsidRPr="000A6B51" w:rsidRDefault="000A6B51" w:rsidP="0099709F">
            <w:pPr>
              <w:pStyle w:val="Tabletext"/>
            </w:pPr>
            <w:r w:rsidRPr="000A6B51">
              <w:t>515,235</w:t>
            </w:r>
          </w:p>
        </w:tc>
        <w:tc>
          <w:tcPr>
            <w:tcW w:w="2330" w:type="dxa"/>
            <w:shd w:val="clear" w:color="auto" w:fill="auto"/>
          </w:tcPr>
          <w:p w14:paraId="4E1E12CB" w14:textId="77777777" w:rsidR="000A6B51" w:rsidRPr="000A6B51" w:rsidRDefault="000A6B51" w:rsidP="0099709F">
            <w:pPr>
              <w:pStyle w:val="Tabletext"/>
            </w:pPr>
            <w:r w:rsidRPr="000A6B51">
              <w:t>6,559</w:t>
            </w:r>
          </w:p>
        </w:tc>
        <w:tc>
          <w:tcPr>
            <w:tcW w:w="2331" w:type="dxa"/>
            <w:shd w:val="clear" w:color="auto" w:fill="auto"/>
          </w:tcPr>
          <w:p w14:paraId="72C3E623" w14:textId="77777777" w:rsidR="000A6B51" w:rsidRPr="000A6B51" w:rsidRDefault="000A6B51" w:rsidP="0099709F">
            <w:pPr>
              <w:pStyle w:val="Tabletext"/>
            </w:pPr>
            <w:r w:rsidRPr="000A6B51">
              <w:t>12.7</w:t>
            </w:r>
          </w:p>
        </w:tc>
      </w:tr>
      <w:tr w:rsidR="000A6B51" w:rsidRPr="000A6B51" w14:paraId="751DC788" w14:textId="77777777" w:rsidTr="00E41CE7">
        <w:tc>
          <w:tcPr>
            <w:tcW w:w="2330" w:type="dxa"/>
            <w:shd w:val="clear" w:color="auto" w:fill="auto"/>
          </w:tcPr>
          <w:p w14:paraId="7988C8CF" w14:textId="77777777" w:rsidR="000A6B51" w:rsidRPr="000A6B51" w:rsidRDefault="000A6B51" w:rsidP="00CB3F39">
            <w:pPr>
              <w:pStyle w:val="Tabletext"/>
            </w:pPr>
            <w:r w:rsidRPr="000A6B51">
              <w:t>NT</w:t>
            </w:r>
          </w:p>
        </w:tc>
        <w:tc>
          <w:tcPr>
            <w:tcW w:w="2331" w:type="dxa"/>
            <w:shd w:val="clear" w:color="auto" w:fill="auto"/>
          </w:tcPr>
          <w:p w14:paraId="0F8CA670" w14:textId="77777777" w:rsidR="000A6B51" w:rsidRPr="000A6B51" w:rsidRDefault="000A6B51" w:rsidP="0099709F">
            <w:pPr>
              <w:pStyle w:val="Tabletext"/>
            </w:pPr>
            <w:r w:rsidRPr="000A6B51">
              <w:t>244,265</w:t>
            </w:r>
          </w:p>
        </w:tc>
        <w:tc>
          <w:tcPr>
            <w:tcW w:w="2330" w:type="dxa"/>
            <w:shd w:val="clear" w:color="auto" w:fill="auto"/>
          </w:tcPr>
          <w:p w14:paraId="21D9C645" w14:textId="77777777" w:rsidR="000A6B51" w:rsidRPr="000A6B51" w:rsidRDefault="000A6B51" w:rsidP="0099709F">
            <w:pPr>
              <w:pStyle w:val="Tabletext"/>
            </w:pPr>
            <w:r w:rsidRPr="000A6B51">
              <w:t>1,199</w:t>
            </w:r>
          </w:p>
        </w:tc>
        <w:tc>
          <w:tcPr>
            <w:tcW w:w="2331" w:type="dxa"/>
            <w:shd w:val="clear" w:color="auto" w:fill="auto"/>
          </w:tcPr>
          <w:p w14:paraId="3A9805A8" w14:textId="77777777" w:rsidR="000A6B51" w:rsidRPr="000A6B51" w:rsidRDefault="000A6B51" w:rsidP="0099709F">
            <w:pPr>
              <w:pStyle w:val="Tabletext"/>
            </w:pPr>
            <w:r w:rsidRPr="000A6B51">
              <w:t>4.9</w:t>
            </w:r>
          </w:p>
        </w:tc>
      </w:tr>
      <w:tr w:rsidR="000A6B51" w:rsidRPr="000A6B51" w14:paraId="660198DA" w14:textId="77777777" w:rsidTr="00E41CE7">
        <w:tc>
          <w:tcPr>
            <w:tcW w:w="2330" w:type="dxa"/>
            <w:shd w:val="clear" w:color="auto" w:fill="auto"/>
          </w:tcPr>
          <w:p w14:paraId="127CB3E1" w14:textId="77777777" w:rsidR="000A6B51" w:rsidRPr="000A6B51" w:rsidRDefault="000A6B51" w:rsidP="00CB3F39">
            <w:pPr>
              <w:pStyle w:val="Tabletext"/>
            </w:pPr>
            <w:r w:rsidRPr="000A6B51">
              <w:t>ACT</w:t>
            </w:r>
          </w:p>
        </w:tc>
        <w:tc>
          <w:tcPr>
            <w:tcW w:w="2331" w:type="dxa"/>
            <w:shd w:val="clear" w:color="auto" w:fill="auto"/>
          </w:tcPr>
          <w:p w14:paraId="550D81CC" w14:textId="77777777" w:rsidR="000A6B51" w:rsidRPr="000A6B51" w:rsidRDefault="000A6B51" w:rsidP="0099709F">
            <w:pPr>
              <w:pStyle w:val="Tabletext"/>
            </w:pPr>
            <w:r w:rsidRPr="000A6B51">
              <w:t>387,640</w:t>
            </w:r>
          </w:p>
        </w:tc>
        <w:tc>
          <w:tcPr>
            <w:tcW w:w="2330" w:type="dxa"/>
            <w:shd w:val="clear" w:color="auto" w:fill="auto"/>
          </w:tcPr>
          <w:p w14:paraId="02395EC2" w14:textId="77777777" w:rsidR="000A6B51" w:rsidRPr="000A6B51" w:rsidRDefault="000A6B51" w:rsidP="0099709F">
            <w:pPr>
              <w:pStyle w:val="Tabletext"/>
            </w:pPr>
            <w:r w:rsidRPr="000A6B51">
              <w:t>1,934</w:t>
            </w:r>
          </w:p>
        </w:tc>
        <w:tc>
          <w:tcPr>
            <w:tcW w:w="2331" w:type="dxa"/>
            <w:shd w:val="clear" w:color="auto" w:fill="auto"/>
          </w:tcPr>
          <w:p w14:paraId="6DF4DE50" w14:textId="77777777" w:rsidR="000A6B51" w:rsidRPr="000A6B51" w:rsidRDefault="000A6B51" w:rsidP="0099709F">
            <w:pPr>
              <w:pStyle w:val="Tabletext"/>
            </w:pPr>
            <w:r w:rsidRPr="000A6B51">
              <w:t>5.0</w:t>
            </w:r>
          </w:p>
        </w:tc>
      </w:tr>
      <w:tr w:rsidR="000A6B51" w:rsidRPr="000A6B51" w14:paraId="66FAD49C" w14:textId="77777777" w:rsidTr="00E41CE7">
        <w:trPr>
          <w:trHeight w:val="267"/>
        </w:trPr>
        <w:tc>
          <w:tcPr>
            <w:tcW w:w="2330" w:type="dxa"/>
            <w:shd w:val="clear" w:color="auto" w:fill="auto"/>
          </w:tcPr>
          <w:p w14:paraId="6651C26D" w14:textId="77777777" w:rsidR="000A6B51" w:rsidRPr="000A6B51" w:rsidRDefault="000A6B51" w:rsidP="00CB3F39">
            <w:pPr>
              <w:pStyle w:val="Tabletext"/>
            </w:pPr>
            <w:r w:rsidRPr="000A6B51">
              <w:t>AUSTRALIA</w:t>
            </w:r>
          </w:p>
        </w:tc>
        <w:tc>
          <w:tcPr>
            <w:tcW w:w="2331" w:type="dxa"/>
            <w:shd w:val="clear" w:color="auto" w:fill="auto"/>
          </w:tcPr>
          <w:p w14:paraId="699CCAA1" w14:textId="77777777" w:rsidR="000A6B51" w:rsidRPr="000A6B51" w:rsidRDefault="000A6B51" w:rsidP="0099709F">
            <w:pPr>
              <w:pStyle w:val="Tabletext"/>
            </w:pPr>
            <w:r w:rsidRPr="000A6B51">
              <w:t>23,625,561</w:t>
            </w:r>
          </w:p>
        </w:tc>
        <w:tc>
          <w:tcPr>
            <w:tcW w:w="2330" w:type="dxa"/>
            <w:shd w:val="clear" w:color="auto" w:fill="auto"/>
          </w:tcPr>
          <w:p w14:paraId="3F166612" w14:textId="77777777" w:rsidR="000A6B51" w:rsidRPr="000A6B51" w:rsidRDefault="000A6B51" w:rsidP="0099709F">
            <w:pPr>
              <w:pStyle w:val="Tabletext"/>
            </w:pPr>
            <w:r w:rsidRPr="000A6B51">
              <w:t>270,258</w:t>
            </w:r>
          </w:p>
        </w:tc>
        <w:tc>
          <w:tcPr>
            <w:tcW w:w="2331" w:type="dxa"/>
            <w:shd w:val="clear" w:color="auto" w:fill="auto"/>
          </w:tcPr>
          <w:p w14:paraId="59568360" w14:textId="77777777" w:rsidR="000A6B51" w:rsidRPr="000A6B51" w:rsidRDefault="000A6B51" w:rsidP="0099709F">
            <w:pPr>
              <w:pStyle w:val="Tabletext"/>
            </w:pPr>
            <w:r w:rsidRPr="000A6B51">
              <w:t>11.4</w:t>
            </w:r>
          </w:p>
        </w:tc>
      </w:tr>
    </w:tbl>
    <w:p w14:paraId="3FBB639A" w14:textId="77777777" w:rsidR="00B76E12" w:rsidRDefault="000A6B51" w:rsidP="00253B22">
      <w:pPr>
        <w:pStyle w:val="TableUnderLast"/>
      </w:pPr>
      <w:r w:rsidRPr="00BC6937">
        <w:t xml:space="preserve">* </w:t>
      </w:r>
      <w:r w:rsidRPr="005F190C">
        <w:t xml:space="preserve">Estimated residential population at December 2014 (ABS). </w:t>
      </w:r>
      <w:r w:rsidR="002E6CC2" w:rsidRPr="005F190C">
        <w:t>Note that NSW and QLD have a service rate greater than 1 standard deviation from the mean, and NT and ACT have a service rate of less than 1 standard deviation.</w:t>
      </w:r>
      <w:r w:rsidR="00EE3C7E" w:rsidRPr="005F190C">
        <w:t xml:space="preserve"> </w:t>
      </w:r>
      <w:r w:rsidR="00CB2F80" w:rsidRPr="005F190C">
        <w:t>Unpublished data (Department of Health).</w:t>
      </w:r>
      <w:r w:rsidR="00B76E12">
        <w:br w:type="page"/>
      </w:r>
    </w:p>
    <w:p w14:paraId="12E8D940" w14:textId="77777777" w:rsidR="000A6B51" w:rsidRPr="000A6B51" w:rsidRDefault="000A6B51" w:rsidP="00CB2F80">
      <w:pPr>
        <w:pStyle w:val="Heading3"/>
      </w:pPr>
      <w:r w:rsidRPr="000A6B51">
        <w:lastRenderedPageBreak/>
        <w:t>MBS data relating to item 11512</w:t>
      </w:r>
    </w:p>
    <w:p w14:paraId="09E3189C" w14:textId="77777777" w:rsidR="000A6B51" w:rsidRPr="000A6B51" w:rsidRDefault="000A6B51" w:rsidP="00253B22">
      <w:pPr>
        <w:pStyle w:val="Caption"/>
      </w:pPr>
      <w:bookmarkStart w:id="94" w:name="_Toc457450644"/>
      <w:bookmarkStart w:id="95" w:name="_Toc478721539"/>
      <w:r w:rsidRPr="00253B22">
        <w:t>Table</w:t>
      </w:r>
      <w:r w:rsidR="00926B56">
        <w:t xml:space="preserve"> 5</w:t>
      </w:r>
      <w:r w:rsidRPr="000A6B51">
        <w:t>:</w:t>
      </w:r>
      <w:r w:rsidRPr="000A6B51">
        <w:tab/>
        <w:t>High level MBS data on spirometry item 11512, 2014-15 (date of processing)</w:t>
      </w:r>
      <w:bookmarkEnd w:id="94"/>
      <w:bookmarkEnd w:id="95"/>
    </w:p>
    <w:tbl>
      <w:tblPr>
        <w:tblStyle w:val="TableGrid"/>
        <w:tblW w:w="9214" w:type="dxa"/>
        <w:tblInd w:w="108" w:type="dxa"/>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ayout w:type="fixed"/>
        <w:tblLook w:val="04A0" w:firstRow="1" w:lastRow="0" w:firstColumn="1" w:lastColumn="0" w:noHBand="0" w:noVBand="1"/>
        <w:tblDescription w:val="Table 5 provides an overview of MBS data, including services and benefits, on spirometry item 11512 in 2014-15."/>
      </w:tblPr>
      <w:tblGrid>
        <w:gridCol w:w="6804"/>
        <w:gridCol w:w="2410"/>
      </w:tblGrid>
      <w:tr w:rsidR="002B460A" w:rsidRPr="000A6B51" w14:paraId="1D6266F9" w14:textId="77777777" w:rsidTr="002B460A">
        <w:trPr>
          <w:tblHeader/>
        </w:trPr>
        <w:tc>
          <w:tcPr>
            <w:tcW w:w="6804" w:type="dxa"/>
            <w:tcBorders>
              <w:top w:val="single" w:sz="4" w:space="0" w:color="B56012"/>
            </w:tcBorders>
            <w:shd w:val="clear" w:color="auto" w:fill="auto"/>
          </w:tcPr>
          <w:p w14:paraId="6833E087" w14:textId="77777777" w:rsidR="002B460A" w:rsidRPr="000A6B51" w:rsidRDefault="00B76E12" w:rsidP="00A403FC">
            <w:pPr>
              <w:pStyle w:val="Tableheading"/>
            </w:pPr>
            <w:r>
              <w:t>Statistic</w:t>
            </w:r>
          </w:p>
        </w:tc>
        <w:tc>
          <w:tcPr>
            <w:tcW w:w="2410" w:type="dxa"/>
            <w:tcBorders>
              <w:top w:val="single" w:sz="4" w:space="0" w:color="B56012"/>
            </w:tcBorders>
          </w:tcPr>
          <w:p w14:paraId="29397C4D" w14:textId="77777777" w:rsidR="002B460A" w:rsidRPr="000A6B51" w:rsidRDefault="00B76E12" w:rsidP="00A403FC">
            <w:pPr>
              <w:pStyle w:val="Tableheading"/>
            </w:pPr>
            <w:r>
              <w:t>Amount</w:t>
            </w:r>
          </w:p>
        </w:tc>
      </w:tr>
      <w:tr w:rsidR="000A6B51" w:rsidRPr="000A6B51" w14:paraId="33B6F2BD" w14:textId="77777777" w:rsidTr="002B460A">
        <w:tc>
          <w:tcPr>
            <w:tcW w:w="6804" w:type="dxa"/>
            <w:tcBorders>
              <w:top w:val="single" w:sz="4" w:space="0" w:color="B56012"/>
            </w:tcBorders>
            <w:shd w:val="clear" w:color="auto" w:fill="auto"/>
          </w:tcPr>
          <w:p w14:paraId="63151F7E" w14:textId="77777777" w:rsidR="000A6B51" w:rsidRPr="000A6B51" w:rsidRDefault="000A6B51" w:rsidP="00A403FC">
            <w:pPr>
              <w:pStyle w:val="Tabletext"/>
            </w:pPr>
            <w:r w:rsidRPr="000A6B51">
              <w:t>Schedule fee</w:t>
            </w:r>
          </w:p>
        </w:tc>
        <w:tc>
          <w:tcPr>
            <w:tcW w:w="2410" w:type="dxa"/>
            <w:tcBorders>
              <w:top w:val="single" w:sz="4" w:space="0" w:color="B56012"/>
            </w:tcBorders>
          </w:tcPr>
          <w:p w14:paraId="3C661817" w14:textId="77777777" w:rsidR="000A6B51" w:rsidRPr="000A6B51" w:rsidRDefault="000A6B51" w:rsidP="00A403FC">
            <w:pPr>
              <w:pStyle w:val="Tabletext"/>
            </w:pPr>
            <w:r w:rsidRPr="000A6B51">
              <w:t>$61.75</w:t>
            </w:r>
          </w:p>
        </w:tc>
      </w:tr>
      <w:tr w:rsidR="000A6B51" w:rsidRPr="000A6B51" w14:paraId="20C86156" w14:textId="77777777" w:rsidTr="002B460A">
        <w:tc>
          <w:tcPr>
            <w:tcW w:w="6804" w:type="dxa"/>
          </w:tcPr>
          <w:p w14:paraId="0C8B01F9" w14:textId="77777777" w:rsidR="000A6B51" w:rsidRPr="000A6B51" w:rsidRDefault="000A6B51" w:rsidP="00A403FC">
            <w:pPr>
              <w:pStyle w:val="Tabletext"/>
            </w:pPr>
            <w:r w:rsidRPr="000A6B51">
              <w:t>Total benefits paid 2014-15</w:t>
            </w:r>
          </w:p>
        </w:tc>
        <w:tc>
          <w:tcPr>
            <w:tcW w:w="2410" w:type="dxa"/>
          </w:tcPr>
          <w:p w14:paraId="4BD7619B" w14:textId="77777777" w:rsidR="000A6B51" w:rsidRPr="000A6B51" w:rsidRDefault="000A6B51" w:rsidP="00A403FC">
            <w:pPr>
              <w:pStyle w:val="Tabletext"/>
            </w:pPr>
            <w:r w:rsidRPr="000A6B51">
              <w:t>$4,381,468</w:t>
            </w:r>
          </w:p>
        </w:tc>
      </w:tr>
      <w:tr w:rsidR="000A6B51" w:rsidRPr="000A6B51" w14:paraId="6C322D23" w14:textId="77777777" w:rsidTr="002B460A">
        <w:tc>
          <w:tcPr>
            <w:tcW w:w="6804" w:type="dxa"/>
          </w:tcPr>
          <w:p w14:paraId="424AD48B" w14:textId="77777777" w:rsidR="000A6B51" w:rsidRPr="000A6B51" w:rsidRDefault="000A6B51" w:rsidP="00A403FC">
            <w:pPr>
              <w:pStyle w:val="Tabletext"/>
            </w:pPr>
            <w:r w:rsidRPr="000A6B51">
              <w:t>Number of services 2014-15</w:t>
            </w:r>
          </w:p>
        </w:tc>
        <w:tc>
          <w:tcPr>
            <w:tcW w:w="2410" w:type="dxa"/>
          </w:tcPr>
          <w:p w14:paraId="4BC8AA18" w14:textId="77777777" w:rsidR="000A6B51" w:rsidRPr="000A6B51" w:rsidRDefault="000A6B51" w:rsidP="00A403FC">
            <w:pPr>
              <w:pStyle w:val="Tabletext"/>
            </w:pPr>
            <w:r w:rsidRPr="000A6B51">
              <w:t>82,705</w:t>
            </w:r>
          </w:p>
        </w:tc>
      </w:tr>
      <w:tr w:rsidR="000A6B51" w:rsidRPr="000A6B51" w14:paraId="6B94D630" w14:textId="77777777" w:rsidTr="002B460A">
        <w:tc>
          <w:tcPr>
            <w:tcW w:w="6804" w:type="dxa"/>
          </w:tcPr>
          <w:p w14:paraId="5BFA906C" w14:textId="77777777" w:rsidR="000A6B51" w:rsidRPr="000A6B51" w:rsidRDefault="000A6B51" w:rsidP="00A403FC">
            <w:pPr>
              <w:pStyle w:val="Tabletext"/>
            </w:pPr>
            <w:r w:rsidRPr="000A6B51">
              <w:t>% of services provided out-of-hospital 2014-15</w:t>
            </w:r>
          </w:p>
        </w:tc>
        <w:tc>
          <w:tcPr>
            <w:tcW w:w="2410" w:type="dxa"/>
          </w:tcPr>
          <w:p w14:paraId="3683710D" w14:textId="77777777" w:rsidR="000A6B51" w:rsidRPr="000A6B51" w:rsidRDefault="000A6B51" w:rsidP="00A403FC">
            <w:pPr>
              <w:pStyle w:val="Tabletext"/>
            </w:pPr>
            <w:r w:rsidRPr="000A6B51">
              <w:t>95.50%</w:t>
            </w:r>
          </w:p>
        </w:tc>
      </w:tr>
      <w:tr w:rsidR="000A6B51" w:rsidRPr="000A6B51" w14:paraId="3756C229" w14:textId="77777777" w:rsidTr="002B460A">
        <w:tc>
          <w:tcPr>
            <w:tcW w:w="6804" w:type="dxa"/>
            <w:vAlign w:val="center"/>
          </w:tcPr>
          <w:p w14:paraId="47E9E0CE" w14:textId="77777777" w:rsidR="000A6B51" w:rsidRPr="000A6B51" w:rsidRDefault="000A6B51" w:rsidP="00A403FC">
            <w:pPr>
              <w:pStyle w:val="Tabletext"/>
            </w:pPr>
            <w:r w:rsidRPr="000A6B51">
              <w:t>Bulk-billing rate for out-of-hospital services 2014-15</w:t>
            </w:r>
          </w:p>
        </w:tc>
        <w:tc>
          <w:tcPr>
            <w:tcW w:w="2410" w:type="dxa"/>
          </w:tcPr>
          <w:p w14:paraId="726211EE" w14:textId="77777777" w:rsidR="000A6B51" w:rsidRPr="000A6B51" w:rsidRDefault="000A6B51" w:rsidP="00A403FC">
            <w:pPr>
              <w:pStyle w:val="Tabletext"/>
            </w:pPr>
            <w:r w:rsidRPr="000A6B51">
              <w:t>72.60%</w:t>
            </w:r>
          </w:p>
        </w:tc>
      </w:tr>
      <w:tr w:rsidR="000A6B51" w:rsidRPr="000A6B51" w14:paraId="49EC57BA" w14:textId="77777777" w:rsidTr="002B460A">
        <w:tc>
          <w:tcPr>
            <w:tcW w:w="6804" w:type="dxa"/>
            <w:vAlign w:val="center"/>
          </w:tcPr>
          <w:p w14:paraId="16636B8D" w14:textId="77777777" w:rsidR="000A6B51" w:rsidRPr="000A6B51" w:rsidRDefault="000A6B51" w:rsidP="00A403FC">
            <w:pPr>
              <w:pStyle w:val="Tabletext"/>
            </w:pPr>
            <w:r w:rsidRPr="000A6B51">
              <w:t>Total patient count 2014-15</w:t>
            </w:r>
          </w:p>
        </w:tc>
        <w:tc>
          <w:tcPr>
            <w:tcW w:w="2410" w:type="dxa"/>
          </w:tcPr>
          <w:p w14:paraId="7F21ACBA" w14:textId="77777777" w:rsidR="000A6B51" w:rsidRPr="000A6B51" w:rsidRDefault="000A6B51" w:rsidP="00A403FC">
            <w:pPr>
              <w:pStyle w:val="Tabletext"/>
            </w:pPr>
            <w:r w:rsidRPr="000A6B51">
              <w:t>57,659</w:t>
            </w:r>
          </w:p>
        </w:tc>
      </w:tr>
      <w:tr w:rsidR="000A6B51" w:rsidRPr="000A6B51" w14:paraId="17DD3569" w14:textId="77777777" w:rsidTr="002B460A">
        <w:tc>
          <w:tcPr>
            <w:tcW w:w="6804" w:type="dxa"/>
            <w:vAlign w:val="center"/>
          </w:tcPr>
          <w:p w14:paraId="0AEE53AA" w14:textId="77777777" w:rsidR="000A6B51" w:rsidRPr="000A6B51" w:rsidRDefault="000A6B51" w:rsidP="00A403FC">
            <w:pPr>
              <w:pStyle w:val="Tabletext"/>
            </w:pPr>
            <w:r w:rsidRPr="000A6B51">
              <w:t>Total provider count 2014-15</w:t>
            </w:r>
          </w:p>
        </w:tc>
        <w:tc>
          <w:tcPr>
            <w:tcW w:w="2410" w:type="dxa"/>
          </w:tcPr>
          <w:p w14:paraId="740C531B" w14:textId="77777777" w:rsidR="000A6B51" w:rsidRPr="000A6B51" w:rsidRDefault="000A6B51" w:rsidP="00A403FC">
            <w:pPr>
              <w:pStyle w:val="Tabletext"/>
            </w:pPr>
            <w:r w:rsidRPr="000A6B51">
              <w:t>467</w:t>
            </w:r>
          </w:p>
        </w:tc>
      </w:tr>
      <w:tr w:rsidR="000A6B51" w:rsidRPr="000A6B51" w14:paraId="24A3030A" w14:textId="77777777" w:rsidTr="002B460A">
        <w:tc>
          <w:tcPr>
            <w:tcW w:w="6804" w:type="dxa"/>
            <w:vAlign w:val="center"/>
          </w:tcPr>
          <w:p w14:paraId="1C56C7B3" w14:textId="77777777" w:rsidR="000A6B51" w:rsidRPr="000A6B51" w:rsidRDefault="000A6B51" w:rsidP="00A403FC">
            <w:pPr>
              <w:pStyle w:val="Tabletext"/>
            </w:pPr>
            <w:r w:rsidRPr="000A6B51">
              <w:t>Benefits change (%) from 2009-10 to 2014-15</w:t>
            </w:r>
          </w:p>
        </w:tc>
        <w:tc>
          <w:tcPr>
            <w:tcW w:w="2410" w:type="dxa"/>
          </w:tcPr>
          <w:p w14:paraId="4837ED9A" w14:textId="77777777" w:rsidR="000A6B51" w:rsidRPr="000A6B51" w:rsidRDefault="000A6B51" w:rsidP="00A403FC">
            <w:pPr>
              <w:pStyle w:val="Tabletext"/>
            </w:pPr>
            <w:r w:rsidRPr="000A6B51">
              <w:t>26.80%</w:t>
            </w:r>
          </w:p>
        </w:tc>
      </w:tr>
      <w:tr w:rsidR="000A6B51" w:rsidRPr="000A6B51" w14:paraId="496CBB63" w14:textId="77777777" w:rsidTr="002B460A">
        <w:tc>
          <w:tcPr>
            <w:tcW w:w="6804" w:type="dxa"/>
            <w:vAlign w:val="center"/>
          </w:tcPr>
          <w:p w14:paraId="1CB86529" w14:textId="77777777" w:rsidR="000A6B51" w:rsidRPr="000A6B51" w:rsidRDefault="000A6B51" w:rsidP="00A403FC">
            <w:pPr>
              <w:pStyle w:val="Tabletext"/>
            </w:pPr>
            <w:r w:rsidRPr="000A6B51">
              <w:t>Service change (%) from 2009-10 to 2014-15</w:t>
            </w:r>
          </w:p>
        </w:tc>
        <w:tc>
          <w:tcPr>
            <w:tcW w:w="2410" w:type="dxa"/>
          </w:tcPr>
          <w:p w14:paraId="690D9728" w14:textId="77777777" w:rsidR="000A6B51" w:rsidRPr="000A6B51" w:rsidRDefault="000A6B51" w:rsidP="00A403FC">
            <w:pPr>
              <w:pStyle w:val="Tabletext"/>
            </w:pPr>
            <w:r w:rsidRPr="000A6B51">
              <w:t>18.60%</w:t>
            </w:r>
          </w:p>
        </w:tc>
      </w:tr>
    </w:tbl>
    <w:p w14:paraId="6B5DA758" w14:textId="77777777" w:rsidR="000A6B51" w:rsidRPr="000339D7" w:rsidRDefault="000A6B51" w:rsidP="00CB2F80">
      <w:pPr>
        <w:pStyle w:val="TableUnderLast"/>
      </w:pPr>
      <w:r w:rsidRPr="000339D7">
        <w:t>Unpublished data (Department of Health)</w:t>
      </w:r>
    </w:p>
    <w:p w14:paraId="02E9C7C5" w14:textId="77777777" w:rsidR="000A6B51" w:rsidRPr="000A6B51" w:rsidRDefault="000A6B51" w:rsidP="00253B22">
      <w:pPr>
        <w:pStyle w:val="Caption"/>
      </w:pPr>
      <w:bookmarkStart w:id="96" w:name="_Toc457450645"/>
      <w:bookmarkStart w:id="97" w:name="_Toc478721540"/>
      <w:r w:rsidRPr="000A6B51">
        <w:t>Table</w:t>
      </w:r>
      <w:r w:rsidR="00926B56">
        <w:t xml:space="preserve"> 6</w:t>
      </w:r>
      <w:r w:rsidRPr="000A6B51">
        <w:t>:</w:t>
      </w:r>
      <w:r w:rsidRPr="000A6B51">
        <w:tab/>
        <w:t xml:space="preserve">Number of services by </w:t>
      </w:r>
      <w:r w:rsidR="00B3465E">
        <w:t>jurisdiction</w:t>
      </w:r>
      <w:r w:rsidRPr="000A6B51">
        <w:t>, item 11512, 2014-15</w:t>
      </w:r>
      <w:bookmarkEnd w:id="96"/>
      <w:bookmarkEnd w:id="97"/>
    </w:p>
    <w:tbl>
      <w:tblPr>
        <w:tblStyle w:val="TableGrid"/>
        <w:tblW w:w="9322"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6 provides the number of services for item 11512 in each Australian jurisdiction during 2014-15. There were 82,705 services in Australia."/>
      </w:tblPr>
      <w:tblGrid>
        <w:gridCol w:w="2330"/>
        <w:gridCol w:w="2331"/>
        <w:gridCol w:w="2330"/>
        <w:gridCol w:w="2331"/>
      </w:tblGrid>
      <w:tr w:rsidR="000A6B51" w:rsidRPr="005B5CF6" w14:paraId="6FB3787A" w14:textId="77777777" w:rsidTr="002B460A">
        <w:trPr>
          <w:tblHeader/>
        </w:trPr>
        <w:tc>
          <w:tcPr>
            <w:tcW w:w="2330" w:type="dxa"/>
            <w:shd w:val="clear" w:color="auto" w:fill="auto"/>
          </w:tcPr>
          <w:p w14:paraId="5DA17A26" w14:textId="77777777" w:rsidR="000A6B51" w:rsidRPr="000339D7" w:rsidRDefault="00B3465E" w:rsidP="00A403FC">
            <w:pPr>
              <w:pStyle w:val="Tableheading"/>
            </w:pPr>
            <w:r>
              <w:t>Jurisdiction</w:t>
            </w:r>
          </w:p>
        </w:tc>
        <w:tc>
          <w:tcPr>
            <w:tcW w:w="2331" w:type="dxa"/>
            <w:shd w:val="clear" w:color="auto" w:fill="auto"/>
          </w:tcPr>
          <w:p w14:paraId="16D7FCBE" w14:textId="77777777" w:rsidR="000A6B51" w:rsidRPr="000339D7" w:rsidRDefault="00B3465E" w:rsidP="00A403FC">
            <w:pPr>
              <w:pStyle w:val="Tableheading"/>
            </w:pPr>
            <w:r w:rsidRPr="00B3465E">
              <w:t xml:space="preserve">Estimated residential population </w:t>
            </w:r>
            <w:r w:rsidR="000A6B51" w:rsidRPr="000339D7">
              <w:t>*</w:t>
            </w:r>
          </w:p>
        </w:tc>
        <w:tc>
          <w:tcPr>
            <w:tcW w:w="2330" w:type="dxa"/>
            <w:shd w:val="clear" w:color="auto" w:fill="auto"/>
          </w:tcPr>
          <w:p w14:paraId="7707D5F1" w14:textId="77777777" w:rsidR="000A6B51" w:rsidRPr="000339D7" w:rsidRDefault="000A6B51" w:rsidP="00A403FC">
            <w:pPr>
              <w:pStyle w:val="Tableheading"/>
            </w:pPr>
            <w:r w:rsidRPr="000339D7">
              <w:t xml:space="preserve">Number of Services </w:t>
            </w:r>
          </w:p>
        </w:tc>
        <w:tc>
          <w:tcPr>
            <w:tcW w:w="2331" w:type="dxa"/>
            <w:shd w:val="clear" w:color="auto" w:fill="auto"/>
          </w:tcPr>
          <w:p w14:paraId="02A7855A" w14:textId="77777777" w:rsidR="000A6B51" w:rsidRPr="000339D7" w:rsidRDefault="000A6B51" w:rsidP="00A403FC">
            <w:pPr>
              <w:pStyle w:val="Tableheading"/>
            </w:pPr>
            <w:r w:rsidRPr="000339D7">
              <w:t>Service rate per 1,000</w:t>
            </w:r>
          </w:p>
        </w:tc>
      </w:tr>
      <w:tr w:rsidR="000A6B51" w:rsidRPr="005B5CF6" w14:paraId="3AC9080B" w14:textId="77777777" w:rsidTr="00E41CE7">
        <w:tc>
          <w:tcPr>
            <w:tcW w:w="2330" w:type="dxa"/>
            <w:shd w:val="clear" w:color="auto" w:fill="auto"/>
          </w:tcPr>
          <w:p w14:paraId="5321D5A9" w14:textId="77777777" w:rsidR="000A6B51" w:rsidRPr="005B5CF6" w:rsidRDefault="000A6B51" w:rsidP="00B3465E">
            <w:pPr>
              <w:pStyle w:val="Tabletext"/>
              <w:rPr>
                <w:rFonts w:cs="Arial"/>
              </w:rPr>
            </w:pPr>
            <w:r w:rsidRPr="005B5CF6">
              <w:t>NSW</w:t>
            </w:r>
          </w:p>
        </w:tc>
        <w:tc>
          <w:tcPr>
            <w:tcW w:w="2331" w:type="dxa"/>
            <w:shd w:val="clear" w:color="auto" w:fill="auto"/>
          </w:tcPr>
          <w:p w14:paraId="540E902E" w14:textId="77777777" w:rsidR="000A6B51" w:rsidRPr="005B5CF6" w:rsidRDefault="000A6B51" w:rsidP="0099709F">
            <w:pPr>
              <w:pStyle w:val="Tabletext"/>
            </w:pPr>
            <w:r w:rsidRPr="005B5CF6">
              <w:t>7,565,497</w:t>
            </w:r>
          </w:p>
        </w:tc>
        <w:tc>
          <w:tcPr>
            <w:tcW w:w="2330" w:type="dxa"/>
            <w:shd w:val="clear" w:color="auto" w:fill="auto"/>
          </w:tcPr>
          <w:p w14:paraId="4DBE221B" w14:textId="77777777" w:rsidR="000A6B51" w:rsidRPr="005B5CF6" w:rsidRDefault="000A6B51" w:rsidP="0099709F">
            <w:pPr>
              <w:pStyle w:val="Tabletext"/>
            </w:pPr>
            <w:r w:rsidRPr="005B5CF6">
              <w:t>24,741</w:t>
            </w:r>
          </w:p>
        </w:tc>
        <w:tc>
          <w:tcPr>
            <w:tcW w:w="2331" w:type="dxa"/>
            <w:shd w:val="clear" w:color="auto" w:fill="auto"/>
          </w:tcPr>
          <w:p w14:paraId="122F4725" w14:textId="77777777" w:rsidR="000A6B51" w:rsidRPr="005B5CF6" w:rsidRDefault="000A6B51" w:rsidP="0099709F">
            <w:pPr>
              <w:pStyle w:val="Tabletext"/>
            </w:pPr>
            <w:r w:rsidRPr="005B5CF6">
              <w:t>3.3</w:t>
            </w:r>
          </w:p>
        </w:tc>
      </w:tr>
      <w:tr w:rsidR="000A6B51" w:rsidRPr="000A6B51" w14:paraId="43802EE7" w14:textId="77777777" w:rsidTr="00E41CE7">
        <w:tc>
          <w:tcPr>
            <w:tcW w:w="2330" w:type="dxa"/>
            <w:shd w:val="clear" w:color="auto" w:fill="auto"/>
          </w:tcPr>
          <w:p w14:paraId="4D467147" w14:textId="77777777" w:rsidR="000A6B51" w:rsidRPr="000A6B51" w:rsidRDefault="000A6B51" w:rsidP="00B3465E">
            <w:pPr>
              <w:pStyle w:val="Tabletext"/>
              <w:rPr>
                <w:rFonts w:cs="Arial"/>
              </w:rPr>
            </w:pPr>
            <w:r w:rsidRPr="000A6B51">
              <w:rPr>
                <w:rFonts w:cs="Arial"/>
              </w:rPr>
              <w:t>VIC</w:t>
            </w:r>
          </w:p>
        </w:tc>
        <w:tc>
          <w:tcPr>
            <w:tcW w:w="2331" w:type="dxa"/>
            <w:shd w:val="clear" w:color="auto" w:fill="auto"/>
          </w:tcPr>
          <w:p w14:paraId="22747E1F" w14:textId="77777777" w:rsidR="000A6B51" w:rsidRPr="000A6B51" w:rsidRDefault="000A6B51" w:rsidP="0099709F">
            <w:pPr>
              <w:pStyle w:val="Tabletext"/>
            </w:pPr>
            <w:r w:rsidRPr="000A6B51">
              <w:t>5,886,436</w:t>
            </w:r>
          </w:p>
        </w:tc>
        <w:tc>
          <w:tcPr>
            <w:tcW w:w="2330" w:type="dxa"/>
            <w:shd w:val="clear" w:color="auto" w:fill="auto"/>
          </w:tcPr>
          <w:p w14:paraId="6A17301E" w14:textId="77777777" w:rsidR="000A6B51" w:rsidRPr="000A6B51" w:rsidRDefault="000A6B51" w:rsidP="0099709F">
            <w:pPr>
              <w:pStyle w:val="Tabletext"/>
            </w:pPr>
            <w:r w:rsidRPr="000A6B51">
              <w:t>23,161</w:t>
            </w:r>
          </w:p>
        </w:tc>
        <w:tc>
          <w:tcPr>
            <w:tcW w:w="2331" w:type="dxa"/>
            <w:shd w:val="clear" w:color="auto" w:fill="auto"/>
          </w:tcPr>
          <w:p w14:paraId="169DEC55" w14:textId="77777777" w:rsidR="000A6B51" w:rsidRPr="000A6B51" w:rsidRDefault="000A6B51" w:rsidP="0099709F">
            <w:pPr>
              <w:pStyle w:val="Tabletext"/>
            </w:pPr>
            <w:r w:rsidRPr="000A6B51">
              <w:t>3.9</w:t>
            </w:r>
          </w:p>
        </w:tc>
      </w:tr>
      <w:tr w:rsidR="000A6B51" w:rsidRPr="000A6B51" w14:paraId="5A0C7BCF" w14:textId="77777777" w:rsidTr="00E41CE7">
        <w:tc>
          <w:tcPr>
            <w:tcW w:w="2330" w:type="dxa"/>
            <w:shd w:val="clear" w:color="auto" w:fill="auto"/>
          </w:tcPr>
          <w:p w14:paraId="27942C56" w14:textId="77777777" w:rsidR="000A6B51" w:rsidRPr="000A6B51" w:rsidRDefault="000A6B51" w:rsidP="00B3465E">
            <w:pPr>
              <w:pStyle w:val="Tabletext"/>
              <w:rPr>
                <w:rFonts w:cs="Arial"/>
              </w:rPr>
            </w:pPr>
            <w:r w:rsidRPr="000A6B51">
              <w:rPr>
                <w:rFonts w:cs="Arial"/>
              </w:rPr>
              <w:t>QLD</w:t>
            </w:r>
          </w:p>
        </w:tc>
        <w:tc>
          <w:tcPr>
            <w:tcW w:w="2331" w:type="dxa"/>
            <w:shd w:val="clear" w:color="auto" w:fill="auto"/>
          </w:tcPr>
          <w:p w14:paraId="7A759F9A" w14:textId="77777777" w:rsidR="000A6B51" w:rsidRPr="000A6B51" w:rsidRDefault="000A6B51" w:rsidP="0099709F">
            <w:pPr>
              <w:pStyle w:val="Tabletext"/>
            </w:pPr>
            <w:r w:rsidRPr="000A6B51">
              <w:t>4,750,513</w:t>
            </w:r>
          </w:p>
        </w:tc>
        <w:tc>
          <w:tcPr>
            <w:tcW w:w="2330" w:type="dxa"/>
            <w:shd w:val="clear" w:color="auto" w:fill="auto"/>
          </w:tcPr>
          <w:p w14:paraId="0D78D846" w14:textId="77777777" w:rsidR="000A6B51" w:rsidRPr="000A6B51" w:rsidRDefault="000A6B51" w:rsidP="0099709F">
            <w:pPr>
              <w:pStyle w:val="Tabletext"/>
            </w:pPr>
            <w:r w:rsidRPr="000A6B51">
              <w:t>18,246</w:t>
            </w:r>
          </w:p>
        </w:tc>
        <w:tc>
          <w:tcPr>
            <w:tcW w:w="2331" w:type="dxa"/>
            <w:shd w:val="clear" w:color="auto" w:fill="auto"/>
          </w:tcPr>
          <w:p w14:paraId="700DBCAF" w14:textId="77777777" w:rsidR="000A6B51" w:rsidRPr="000A6B51" w:rsidRDefault="000A6B51" w:rsidP="0099709F">
            <w:pPr>
              <w:pStyle w:val="Tabletext"/>
            </w:pPr>
            <w:r w:rsidRPr="000A6B51">
              <w:t>3.8</w:t>
            </w:r>
          </w:p>
        </w:tc>
      </w:tr>
      <w:tr w:rsidR="000A6B51" w:rsidRPr="000A6B51" w14:paraId="5194DE6A" w14:textId="77777777" w:rsidTr="00E41CE7">
        <w:tc>
          <w:tcPr>
            <w:tcW w:w="2330" w:type="dxa"/>
            <w:shd w:val="clear" w:color="auto" w:fill="auto"/>
          </w:tcPr>
          <w:p w14:paraId="2BF6A651" w14:textId="77777777" w:rsidR="000A6B51" w:rsidRPr="000A6B51" w:rsidRDefault="000A6B51" w:rsidP="00B3465E">
            <w:pPr>
              <w:pStyle w:val="Tabletext"/>
              <w:rPr>
                <w:rFonts w:cs="Arial"/>
              </w:rPr>
            </w:pPr>
            <w:r w:rsidRPr="000A6B51">
              <w:rPr>
                <w:rFonts w:cs="Arial"/>
              </w:rPr>
              <w:t>SA</w:t>
            </w:r>
          </w:p>
        </w:tc>
        <w:tc>
          <w:tcPr>
            <w:tcW w:w="2331" w:type="dxa"/>
            <w:shd w:val="clear" w:color="auto" w:fill="auto"/>
          </w:tcPr>
          <w:p w14:paraId="30573D68" w14:textId="77777777" w:rsidR="000A6B51" w:rsidRPr="000A6B51" w:rsidRDefault="000A6B51" w:rsidP="0099709F">
            <w:pPr>
              <w:pStyle w:val="Tabletext"/>
            </w:pPr>
            <w:r w:rsidRPr="000A6B51">
              <w:t>1,691,503</w:t>
            </w:r>
          </w:p>
        </w:tc>
        <w:tc>
          <w:tcPr>
            <w:tcW w:w="2330" w:type="dxa"/>
            <w:shd w:val="clear" w:color="auto" w:fill="auto"/>
          </w:tcPr>
          <w:p w14:paraId="1DDB794D" w14:textId="77777777" w:rsidR="000A6B51" w:rsidRPr="000A6B51" w:rsidRDefault="000A6B51" w:rsidP="0099709F">
            <w:pPr>
              <w:pStyle w:val="Tabletext"/>
            </w:pPr>
            <w:r w:rsidRPr="000A6B51">
              <w:t>3,301</w:t>
            </w:r>
          </w:p>
        </w:tc>
        <w:tc>
          <w:tcPr>
            <w:tcW w:w="2331" w:type="dxa"/>
            <w:shd w:val="clear" w:color="auto" w:fill="auto"/>
          </w:tcPr>
          <w:p w14:paraId="07C9537F" w14:textId="77777777" w:rsidR="000A6B51" w:rsidRPr="000A6B51" w:rsidRDefault="000A6B51" w:rsidP="0099709F">
            <w:pPr>
              <w:pStyle w:val="Tabletext"/>
            </w:pPr>
            <w:r w:rsidRPr="000A6B51">
              <w:t>2.0</w:t>
            </w:r>
          </w:p>
        </w:tc>
      </w:tr>
      <w:tr w:rsidR="000A6B51" w:rsidRPr="000A6B51" w14:paraId="47F46997" w14:textId="77777777" w:rsidTr="00E41CE7">
        <w:tc>
          <w:tcPr>
            <w:tcW w:w="2330" w:type="dxa"/>
            <w:shd w:val="clear" w:color="auto" w:fill="auto"/>
          </w:tcPr>
          <w:p w14:paraId="572579F3" w14:textId="77777777" w:rsidR="000A6B51" w:rsidRPr="000A6B51" w:rsidRDefault="000A6B51" w:rsidP="00B3465E">
            <w:pPr>
              <w:pStyle w:val="Tabletext"/>
              <w:rPr>
                <w:rFonts w:cs="Arial"/>
              </w:rPr>
            </w:pPr>
            <w:r w:rsidRPr="000A6B51">
              <w:rPr>
                <w:rFonts w:cs="Arial"/>
              </w:rPr>
              <w:t>WA</w:t>
            </w:r>
          </w:p>
        </w:tc>
        <w:tc>
          <w:tcPr>
            <w:tcW w:w="2331" w:type="dxa"/>
            <w:shd w:val="clear" w:color="auto" w:fill="auto"/>
          </w:tcPr>
          <w:p w14:paraId="53C43944" w14:textId="77777777" w:rsidR="000A6B51" w:rsidRPr="000A6B51" w:rsidRDefault="000A6B51" w:rsidP="0099709F">
            <w:pPr>
              <w:pStyle w:val="Tabletext"/>
            </w:pPr>
            <w:r w:rsidRPr="000A6B51">
              <w:t>2,581,250</w:t>
            </w:r>
          </w:p>
        </w:tc>
        <w:tc>
          <w:tcPr>
            <w:tcW w:w="2330" w:type="dxa"/>
            <w:shd w:val="clear" w:color="auto" w:fill="auto"/>
          </w:tcPr>
          <w:p w14:paraId="29D5C550" w14:textId="77777777" w:rsidR="000A6B51" w:rsidRPr="000A6B51" w:rsidRDefault="000A6B51" w:rsidP="0099709F">
            <w:pPr>
              <w:pStyle w:val="Tabletext"/>
            </w:pPr>
            <w:r w:rsidRPr="000A6B51">
              <w:t>11,586</w:t>
            </w:r>
          </w:p>
        </w:tc>
        <w:tc>
          <w:tcPr>
            <w:tcW w:w="2331" w:type="dxa"/>
            <w:shd w:val="clear" w:color="auto" w:fill="auto"/>
          </w:tcPr>
          <w:p w14:paraId="08FF5F37" w14:textId="77777777" w:rsidR="000A6B51" w:rsidRPr="000A6B51" w:rsidRDefault="000A6B51" w:rsidP="0099709F">
            <w:pPr>
              <w:pStyle w:val="Tabletext"/>
            </w:pPr>
            <w:r w:rsidRPr="000A6B51">
              <w:t>4.5</w:t>
            </w:r>
          </w:p>
        </w:tc>
      </w:tr>
      <w:tr w:rsidR="000A6B51" w:rsidRPr="000A6B51" w14:paraId="5ACBCBE3" w14:textId="77777777" w:rsidTr="00E41CE7">
        <w:tc>
          <w:tcPr>
            <w:tcW w:w="2330" w:type="dxa"/>
            <w:shd w:val="clear" w:color="auto" w:fill="auto"/>
          </w:tcPr>
          <w:p w14:paraId="0683B0EF" w14:textId="77777777" w:rsidR="000A6B51" w:rsidRPr="000A6B51" w:rsidRDefault="000A6B51" w:rsidP="00B3465E">
            <w:pPr>
              <w:pStyle w:val="Tabletext"/>
              <w:rPr>
                <w:rFonts w:cs="Arial"/>
              </w:rPr>
            </w:pPr>
            <w:r w:rsidRPr="000A6B51">
              <w:rPr>
                <w:rFonts w:cs="Arial"/>
              </w:rPr>
              <w:t>TAS</w:t>
            </w:r>
          </w:p>
        </w:tc>
        <w:tc>
          <w:tcPr>
            <w:tcW w:w="2331" w:type="dxa"/>
            <w:shd w:val="clear" w:color="auto" w:fill="auto"/>
          </w:tcPr>
          <w:p w14:paraId="05276398" w14:textId="77777777" w:rsidR="000A6B51" w:rsidRPr="000A6B51" w:rsidRDefault="000A6B51" w:rsidP="0099709F">
            <w:pPr>
              <w:pStyle w:val="Tabletext"/>
            </w:pPr>
            <w:r w:rsidRPr="000A6B51">
              <w:t>515,235</w:t>
            </w:r>
          </w:p>
        </w:tc>
        <w:tc>
          <w:tcPr>
            <w:tcW w:w="2330" w:type="dxa"/>
            <w:shd w:val="clear" w:color="auto" w:fill="auto"/>
          </w:tcPr>
          <w:p w14:paraId="53247C7C" w14:textId="77777777" w:rsidR="000A6B51" w:rsidRPr="000A6B51" w:rsidRDefault="000A6B51" w:rsidP="0099709F">
            <w:pPr>
              <w:pStyle w:val="Tabletext"/>
            </w:pPr>
            <w:r w:rsidRPr="000A6B51">
              <w:t>1,045</w:t>
            </w:r>
          </w:p>
        </w:tc>
        <w:tc>
          <w:tcPr>
            <w:tcW w:w="2331" w:type="dxa"/>
            <w:shd w:val="clear" w:color="auto" w:fill="auto"/>
          </w:tcPr>
          <w:p w14:paraId="39C878B7" w14:textId="77777777" w:rsidR="000A6B51" w:rsidRPr="000A6B51" w:rsidRDefault="000A6B51" w:rsidP="0099709F">
            <w:pPr>
              <w:pStyle w:val="Tabletext"/>
            </w:pPr>
            <w:r w:rsidRPr="000A6B51">
              <w:t>2.0</w:t>
            </w:r>
          </w:p>
        </w:tc>
      </w:tr>
      <w:tr w:rsidR="000A6B51" w:rsidRPr="000A6B51" w14:paraId="7ED4B3EE" w14:textId="77777777" w:rsidTr="00E41CE7">
        <w:tc>
          <w:tcPr>
            <w:tcW w:w="2330" w:type="dxa"/>
            <w:shd w:val="clear" w:color="auto" w:fill="auto"/>
          </w:tcPr>
          <w:p w14:paraId="5759A146" w14:textId="77777777" w:rsidR="000A6B51" w:rsidRPr="000A6B51" w:rsidRDefault="000A6B51" w:rsidP="00B3465E">
            <w:pPr>
              <w:pStyle w:val="Tabletext"/>
              <w:rPr>
                <w:rFonts w:cs="Arial"/>
              </w:rPr>
            </w:pPr>
            <w:r w:rsidRPr="000A6B51">
              <w:rPr>
                <w:rFonts w:cs="Arial"/>
              </w:rPr>
              <w:t>NT</w:t>
            </w:r>
          </w:p>
        </w:tc>
        <w:tc>
          <w:tcPr>
            <w:tcW w:w="2331" w:type="dxa"/>
            <w:shd w:val="clear" w:color="auto" w:fill="auto"/>
          </w:tcPr>
          <w:p w14:paraId="248CE428" w14:textId="77777777" w:rsidR="000A6B51" w:rsidRPr="000A6B51" w:rsidRDefault="000A6B51" w:rsidP="0099709F">
            <w:pPr>
              <w:pStyle w:val="Tabletext"/>
            </w:pPr>
            <w:r w:rsidRPr="000A6B51">
              <w:t>244,265</w:t>
            </w:r>
          </w:p>
        </w:tc>
        <w:tc>
          <w:tcPr>
            <w:tcW w:w="2330" w:type="dxa"/>
            <w:shd w:val="clear" w:color="auto" w:fill="auto"/>
          </w:tcPr>
          <w:p w14:paraId="4C199152" w14:textId="77777777" w:rsidR="000A6B51" w:rsidRPr="000A6B51" w:rsidRDefault="000A6B51" w:rsidP="0099709F">
            <w:pPr>
              <w:pStyle w:val="Tabletext"/>
            </w:pPr>
            <w:r w:rsidRPr="000A6B51">
              <w:t>83</w:t>
            </w:r>
          </w:p>
        </w:tc>
        <w:tc>
          <w:tcPr>
            <w:tcW w:w="2331" w:type="dxa"/>
            <w:shd w:val="clear" w:color="auto" w:fill="auto"/>
          </w:tcPr>
          <w:p w14:paraId="0BE8D8E0" w14:textId="77777777" w:rsidR="000A6B51" w:rsidRPr="000A6B51" w:rsidRDefault="000A6B51" w:rsidP="0099709F">
            <w:pPr>
              <w:pStyle w:val="Tabletext"/>
            </w:pPr>
            <w:r w:rsidRPr="000A6B51">
              <w:t>0.3</w:t>
            </w:r>
          </w:p>
        </w:tc>
      </w:tr>
      <w:tr w:rsidR="000A6B51" w:rsidRPr="000A6B51" w14:paraId="14EE192A" w14:textId="77777777" w:rsidTr="00E41CE7">
        <w:tc>
          <w:tcPr>
            <w:tcW w:w="2330" w:type="dxa"/>
            <w:shd w:val="clear" w:color="auto" w:fill="auto"/>
          </w:tcPr>
          <w:p w14:paraId="4107B842" w14:textId="77777777" w:rsidR="000A6B51" w:rsidRPr="000A6B51" w:rsidRDefault="000A6B51" w:rsidP="00B3465E">
            <w:pPr>
              <w:pStyle w:val="Tabletext"/>
              <w:rPr>
                <w:rFonts w:cs="Arial"/>
              </w:rPr>
            </w:pPr>
            <w:r w:rsidRPr="000A6B51">
              <w:rPr>
                <w:rFonts w:cs="Arial"/>
              </w:rPr>
              <w:t>ACT</w:t>
            </w:r>
          </w:p>
        </w:tc>
        <w:tc>
          <w:tcPr>
            <w:tcW w:w="2331" w:type="dxa"/>
            <w:shd w:val="clear" w:color="auto" w:fill="auto"/>
          </w:tcPr>
          <w:p w14:paraId="60348D1F" w14:textId="77777777" w:rsidR="000A6B51" w:rsidRPr="000A6B51" w:rsidRDefault="000A6B51" w:rsidP="0099709F">
            <w:pPr>
              <w:pStyle w:val="Tabletext"/>
            </w:pPr>
            <w:r w:rsidRPr="000A6B51">
              <w:t>387,640</w:t>
            </w:r>
          </w:p>
        </w:tc>
        <w:tc>
          <w:tcPr>
            <w:tcW w:w="2330" w:type="dxa"/>
            <w:shd w:val="clear" w:color="auto" w:fill="auto"/>
          </w:tcPr>
          <w:p w14:paraId="5B16D399" w14:textId="77777777" w:rsidR="000A6B51" w:rsidRPr="000A6B51" w:rsidRDefault="000A6B51" w:rsidP="0099709F">
            <w:pPr>
              <w:pStyle w:val="Tabletext"/>
            </w:pPr>
            <w:r w:rsidRPr="000A6B51">
              <w:t>535</w:t>
            </w:r>
          </w:p>
        </w:tc>
        <w:tc>
          <w:tcPr>
            <w:tcW w:w="2331" w:type="dxa"/>
            <w:shd w:val="clear" w:color="auto" w:fill="auto"/>
          </w:tcPr>
          <w:p w14:paraId="15C07FA8" w14:textId="77777777" w:rsidR="000A6B51" w:rsidRPr="000A6B51" w:rsidRDefault="000A6B51" w:rsidP="0099709F">
            <w:pPr>
              <w:pStyle w:val="Tabletext"/>
            </w:pPr>
            <w:r w:rsidRPr="000A6B51">
              <w:t>1.4</w:t>
            </w:r>
          </w:p>
        </w:tc>
      </w:tr>
      <w:tr w:rsidR="000A6B51" w:rsidRPr="000A6B51" w14:paraId="28163452" w14:textId="77777777" w:rsidTr="00E41CE7">
        <w:trPr>
          <w:trHeight w:val="267"/>
        </w:trPr>
        <w:tc>
          <w:tcPr>
            <w:tcW w:w="2330" w:type="dxa"/>
            <w:shd w:val="clear" w:color="auto" w:fill="auto"/>
          </w:tcPr>
          <w:p w14:paraId="0D481E87" w14:textId="77777777" w:rsidR="000A6B51" w:rsidRPr="000A6B51" w:rsidRDefault="000A6B51" w:rsidP="00B3465E">
            <w:pPr>
              <w:pStyle w:val="Tabletext"/>
              <w:rPr>
                <w:rFonts w:cs="Arial"/>
              </w:rPr>
            </w:pPr>
            <w:r w:rsidRPr="000A6B51">
              <w:rPr>
                <w:rFonts w:cs="Arial"/>
              </w:rPr>
              <w:t>AUSTRALIA</w:t>
            </w:r>
          </w:p>
        </w:tc>
        <w:tc>
          <w:tcPr>
            <w:tcW w:w="2331" w:type="dxa"/>
            <w:shd w:val="clear" w:color="auto" w:fill="auto"/>
          </w:tcPr>
          <w:p w14:paraId="22C7D259" w14:textId="77777777" w:rsidR="000A6B51" w:rsidRPr="000A6B51" w:rsidRDefault="000A6B51" w:rsidP="0099709F">
            <w:pPr>
              <w:pStyle w:val="Tabletext"/>
            </w:pPr>
            <w:r w:rsidRPr="000A6B51">
              <w:t>23,625,561</w:t>
            </w:r>
          </w:p>
        </w:tc>
        <w:tc>
          <w:tcPr>
            <w:tcW w:w="2330" w:type="dxa"/>
            <w:shd w:val="clear" w:color="auto" w:fill="auto"/>
          </w:tcPr>
          <w:p w14:paraId="66DD67BD" w14:textId="77777777" w:rsidR="000A6B51" w:rsidRPr="000A6B51" w:rsidRDefault="000A6B51" w:rsidP="0099709F">
            <w:pPr>
              <w:pStyle w:val="Tabletext"/>
            </w:pPr>
            <w:r w:rsidRPr="000A6B51">
              <w:t>82,705</w:t>
            </w:r>
          </w:p>
        </w:tc>
        <w:tc>
          <w:tcPr>
            <w:tcW w:w="2331" w:type="dxa"/>
            <w:shd w:val="clear" w:color="auto" w:fill="auto"/>
          </w:tcPr>
          <w:p w14:paraId="56E19B78" w14:textId="77777777" w:rsidR="000A6B51" w:rsidRPr="000A6B51" w:rsidRDefault="000A6B51" w:rsidP="0099709F">
            <w:pPr>
              <w:pStyle w:val="Tabletext"/>
            </w:pPr>
            <w:r w:rsidRPr="000A6B51">
              <w:t>3.5</w:t>
            </w:r>
          </w:p>
        </w:tc>
      </w:tr>
    </w:tbl>
    <w:p w14:paraId="76E1EC93" w14:textId="77777777" w:rsidR="000A6B51" w:rsidRDefault="000A6B51" w:rsidP="0099709F">
      <w:pPr>
        <w:pStyle w:val="Tabletext"/>
      </w:pPr>
      <w:r w:rsidRPr="000A6B51">
        <w:t xml:space="preserve">* Estimated residential population at December 2014 (ABS). </w:t>
      </w:r>
      <w:r w:rsidR="002E6CC2">
        <w:t>Note that WA has a service rate greater than 1 standard deviation from the mean, and NT has a service rate of less than 1 standard deviation.</w:t>
      </w:r>
      <w:r w:rsidR="00EE3C7E">
        <w:t xml:space="preserve"> </w:t>
      </w:r>
      <w:r w:rsidR="00CB2F80" w:rsidRPr="00EE3C7E">
        <w:t>Unpublished data (Department of Health).</w:t>
      </w:r>
    </w:p>
    <w:p w14:paraId="543DCBD9" w14:textId="77777777" w:rsidR="00FA525B" w:rsidRPr="000A6B51" w:rsidRDefault="00FA525B" w:rsidP="00CB2F80">
      <w:pPr>
        <w:pStyle w:val="Heading3"/>
      </w:pPr>
      <w:r w:rsidRPr="000A6B51">
        <w:t>Issues identified by the Committee – Spirometry</w:t>
      </w:r>
    </w:p>
    <w:p w14:paraId="61C214D4" w14:textId="77777777" w:rsidR="00FA525B" w:rsidRPr="000A6B51" w:rsidRDefault="00FA525B" w:rsidP="00CB2F80">
      <w:pPr>
        <w:pStyle w:val="Heading4"/>
      </w:pPr>
      <w:r w:rsidRPr="000A6B51">
        <w:t>Underuse of spirometry in primary care</w:t>
      </w:r>
    </w:p>
    <w:p w14:paraId="6DA5F06A" w14:textId="77777777" w:rsidR="00FA525B" w:rsidRPr="000A6B51" w:rsidRDefault="00FA525B" w:rsidP="00F56E64">
      <w:pPr>
        <w:rPr>
          <w:b/>
          <w:i/>
        </w:rPr>
      </w:pPr>
      <w:r w:rsidRPr="000A6B51">
        <w:t>In Australia and internationally it is accepted that well performed spirometry is underused in primary care. Pre and post bronchodilator spirometry (“reversibility testing”) has an important role in confirming the diagnosis of asthma, COPD and other causes of airflow limitation. Underuse of testing means that these conditions are both under and over diagnosed and as a consequence, patients are under and over medicated. Both situations generate avoidable healthcare costs.</w:t>
      </w:r>
    </w:p>
    <w:p w14:paraId="120505D3" w14:textId="77777777" w:rsidR="00FA525B" w:rsidRPr="000A6B51" w:rsidRDefault="00FA525B" w:rsidP="00F56E64">
      <w:r w:rsidRPr="000A6B51">
        <w:t>In primary care, spirometry may be performed by the GP or a practice nurse. A number of studies have identified barriers to the uptake of testing including lack of training, lack of confidence in interpreting results, interruption to workflows, beliefs that other clinical assessment is preferred and lack of remuneration.</w:t>
      </w:r>
      <w:r w:rsidR="00DA2C66">
        <w:rPr>
          <w:vertAlign w:val="superscript"/>
        </w:rPr>
        <w:t>3</w:t>
      </w:r>
      <w:r w:rsidR="00DA2C66" w:rsidRPr="000A6B51">
        <w:t xml:space="preserve"> </w:t>
      </w:r>
      <w:r w:rsidRPr="000A6B51">
        <w:t>Ownership of spirometers in Australian general practice is high,</w:t>
      </w:r>
      <w:r w:rsidR="00DA2C66">
        <w:rPr>
          <w:vertAlign w:val="superscript"/>
        </w:rPr>
        <w:t>4</w:t>
      </w:r>
      <w:r w:rsidR="00DA2C66" w:rsidRPr="000A6B51">
        <w:t xml:space="preserve"> </w:t>
      </w:r>
      <w:r w:rsidRPr="000A6B51">
        <w:t>but performance is low relative to the prevalence of obstructive lung disease and other diseases (such as restrictive lung diseases) for which this test is clinically indicated.</w:t>
      </w:r>
    </w:p>
    <w:p w14:paraId="65BD381B" w14:textId="77777777" w:rsidR="00AC0E98" w:rsidRPr="00517FC9" w:rsidRDefault="00AC0E98" w:rsidP="00F56E64">
      <w:pPr>
        <w:rPr>
          <w:color w:val="000000"/>
        </w:rPr>
      </w:pPr>
      <w:r>
        <w:rPr>
          <w:color w:val="000000"/>
        </w:rPr>
        <w:lastRenderedPageBreak/>
        <w:t>I</w:t>
      </w:r>
      <w:r w:rsidRPr="00517FC9">
        <w:rPr>
          <w:color w:val="000000"/>
        </w:rPr>
        <w:t xml:space="preserve">tem 11506 covers office based reversibility testing and is the only MBS item available for spirometry that is performed outside of a respiratory laboratory. In </w:t>
      </w:r>
      <w:r>
        <w:rPr>
          <w:color w:val="000000"/>
        </w:rPr>
        <w:t>2014-15</w:t>
      </w:r>
      <w:r w:rsidRPr="00517FC9">
        <w:rPr>
          <w:color w:val="000000"/>
        </w:rPr>
        <w:t>, there were 270,258 services provided to 231,878 patients (</w:t>
      </w:r>
      <w:hyperlink w:anchor="_MBS_data_relating" w:history="1">
        <w:r w:rsidR="00CA74BA" w:rsidRPr="00CA74BA">
          <w:t>Table 3</w:t>
        </w:r>
      </w:hyperlink>
      <w:r w:rsidRPr="00517FC9">
        <w:rPr>
          <w:color w:val="000000"/>
        </w:rPr>
        <w:t xml:space="preserve">). Over 90 percent of these services were provided by GPs, with respiratory physicians providing most of the remaining services. For the year </w:t>
      </w:r>
      <w:r>
        <w:rPr>
          <w:color w:val="000000"/>
        </w:rPr>
        <w:t>2014-15</w:t>
      </w:r>
      <w:r w:rsidRPr="00517FC9">
        <w:rPr>
          <w:color w:val="000000"/>
        </w:rPr>
        <w:t>, the average number of services for each GP who performed spirometry was 11 over 12 months. For specialists the average was 75. Relatively few patients have repeat testing with approximately 20 percent of patients having more than one service over a five</w:t>
      </w:r>
      <w:r>
        <w:rPr>
          <w:color w:val="000000"/>
        </w:rPr>
        <w:t>-</w:t>
      </w:r>
      <w:r w:rsidRPr="00517FC9">
        <w:rPr>
          <w:color w:val="000000"/>
        </w:rPr>
        <w:t>year period. Although the MBS data do not disclose the overall volume of office based spirometry these data are consistent with the expressed concern internationally that spirometry is underused.</w:t>
      </w:r>
    </w:p>
    <w:p w14:paraId="271E5673" w14:textId="77777777" w:rsidR="004527D9" w:rsidRPr="000A6B51" w:rsidRDefault="004527D9" w:rsidP="00F56E64">
      <w:r w:rsidRPr="000A6B51">
        <w:t>To address the problem of underuse of spirometry particularly in primary care settings and for the purpose of better diagnosing and managing asthma and COPD, the Committee has proposed:</w:t>
      </w:r>
    </w:p>
    <w:p w14:paraId="51E7502B" w14:textId="77777777" w:rsidR="004527D9" w:rsidRPr="00957CB3" w:rsidRDefault="004527D9" w:rsidP="00663CB2">
      <w:pPr>
        <w:pStyle w:val="Numbering"/>
        <w:numPr>
          <w:ilvl w:val="0"/>
          <w:numId w:val="26"/>
        </w:numPr>
        <w:ind w:left="426" w:hanging="426"/>
      </w:pPr>
      <w:r w:rsidRPr="00957CB3">
        <w:t>The MBS fee and rebate for reversibility testing (item 11506) should be increased.</w:t>
      </w:r>
    </w:p>
    <w:p w14:paraId="31FB6C05" w14:textId="77777777" w:rsidR="004527D9" w:rsidRPr="00957CB3" w:rsidRDefault="004527D9" w:rsidP="00663CB2">
      <w:pPr>
        <w:pStyle w:val="Numbering"/>
        <w:numPr>
          <w:ilvl w:val="0"/>
          <w:numId w:val="26"/>
        </w:numPr>
        <w:ind w:left="426" w:hanging="426"/>
      </w:pPr>
      <w:r w:rsidRPr="00957CB3">
        <w:t xml:space="preserve">An item for less complex spirometry (pre </w:t>
      </w:r>
      <w:r w:rsidRPr="004C7889">
        <w:t>or</w:t>
      </w:r>
      <w:r w:rsidRPr="00957CB3">
        <w:t xml:space="preserve"> post bronchodilator) should be introduced.</w:t>
      </w:r>
      <w:r w:rsidR="00A403FC" w:rsidRPr="00957CB3">
        <w:t xml:space="preserve"> </w:t>
      </w:r>
    </w:p>
    <w:p w14:paraId="156BD2F6" w14:textId="77777777" w:rsidR="004527D9" w:rsidRPr="00957CB3" w:rsidRDefault="004527D9" w:rsidP="00663CB2">
      <w:pPr>
        <w:pStyle w:val="Numbering"/>
        <w:numPr>
          <w:ilvl w:val="0"/>
          <w:numId w:val="26"/>
        </w:numPr>
        <w:ind w:left="426" w:hanging="426"/>
      </w:pPr>
      <w:r w:rsidRPr="00957CB3">
        <w:t>The MBS item for laboratory based spirometry be retained.</w:t>
      </w:r>
    </w:p>
    <w:p w14:paraId="6488E45B" w14:textId="77777777" w:rsidR="004527D9" w:rsidRPr="00957CB3" w:rsidRDefault="004527D9" w:rsidP="00663CB2">
      <w:pPr>
        <w:pStyle w:val="Numbering"/>
        <w:numPr>
          <w:ilvl w:val="0"/>
          <w:numId w:val="26"/>
        </w:numPr>
        <w:ind w:left="426" w:hanging="426"/>
      </w:pPr>
      <w:r w:rsidRPr="00957CB3">
        <w:t>A new item for a laboratory based spirometry plus FeNO be introduced.</w:t>
      </w:r>
    </w:p>
    <w:p w14:paraId="72AD71B7" w14:textId="77777777" w:rsidR="00FA525B" w:rsidRPr="000A6B51" w:rsidRDefault="004527D9" w:rsidP="004527D9">
      <w:pPr>
        <w:rPr>
          <w:rFonts w:cs="Arial"/>
        </w:rPr>
      </w:pPr>
      <w:r w:rsidRPr="00EB1F99">
        <w:rPr>
          <w:rFonts w:cs="Arial"/>
        </w:rPr>
        <w:t xml:space="preserve">To enable better consideration of these proposals, the </w:t>
      </w:r>
      <w:r w:rsidR="00090640">
        <w:rPr>
          <w:rFonts w:cs="Arial"/>
        </w:rPr>
        <w:t>Committee</w:t>
      </w:r>
      <w:r w:rsidR="00090640" w:rsidRPr="00EB1F99">
        <w:rPr>
          <w:rFonts w:cs="Arial"/>
        </w:rPr>
        <w:t xml:space="preserve"> </w:t>
      </w:r>
      <w:r w:rsidRPr="00EB1F99">
        <w:rPr>
          <w:rFonts w:cs="Arial"/>
        </w:rPr>
        <w:t>commissioned a rapid evidence review.</w:t>
      </w:r>
    </w:p>
    <w:p w14:paraId="02F06096" w14:textId="77777777" w:rsidR="000A6B51" w:rsidRPr="000A6B51" w:rsidRDefault="000A6B51" w:rsidP="00CA74BA">
      <w:pPr>
        <w:pStyle w:val="Heading3"/>
      </w:pPr>
      <w:r w:rsidRPr="000A6B51">
        <w:t>Rapid Evidence Review</w:t>
      </w:r>
      <w:r w:rsidR="004527D9">
        <w:t>: Questions and summary of report findings</w:t>
      </w:r>
      <w:r w:rsidRPr="000A6B51">
        <w:t xml:space="preserve"> </w:t>
      </w:r>
    </w:p>
    <w:p w14:paraId="5AB60B92" w14:textId="77777777" w:rsidR="000A6B51" w:rsidRPr="000A6B51" w:rsidRDefault="004527D9" w:rsidP="00F56E64">
      <w:r>
        <w:t>The</w:t>
      </w:r>
      <w:r w:rsidR="000A6B51" w:rsidRPr="000A6B51">
        <w:t xml:space="preserve"> rapid evidence review was undertaken by HealthConsult Pty Ltd. The evidence review was restricted to Level 1 evidence (systematic reviews), Clinical Practice Guidelines (CPGs) and evidence from international Health Technology Assessment agencies. The research questions and findings are summarised below. </w:t>
      </w:r>
    </w:p>
    <w:p w14:paraId="14E6B8E9" w14:textId="77777777" w:rsidR="000A6B51" w:rsidRPr="000A6B51" w:rsidRDefault="000A6B51" w:rsidP="00CA74BA">
      <w:pPr>
        <w:pStyle w:val="Heading4"/>
      </w:pPr>
      <w:r w:rsidRPr="000A6B51">
        <w:t>Questions and summary of Rapid Evidence Review findings</w:t>
      </w:r>
    </w:p>
    <w:p w14:paraId="72507717" w14:textId="77777777" w:rsidR="000A6B51" w:rsidRPr="007C4794" w:rsidRDefault="000A6B51" w:rsidP="006E7571">
      <w:pPr>
        <w:pStyle w:val="Heading5"/>
      </w:pPr>
      <w:r w:rsidRPr="007C4794">
        <w:t>Q1.</w:t>
      </w:r>
      <w:r w:rsidRPr="007C4794">
        <w:tab/>
        <w:t>Does the use of spirometry improve diagnostic accuracy and health outcomes in people presenting with respiratory symptoms?</w:t>
      </w:r>
    </w:p>
    <w:p w14:paraId="13F5B341" w14:textId="77777777" w:rsidR="000A6B51" w:rsidRPr="000A6B51" w:rsidRDefault="000A6B51" w:rsidP="00F20F9A">
      <w:pPr>
        <w:pStyle w:val="NormalBulleteddash"/>
      </w:pPr>
      <w:r w:rsidRPr="000A6B51">
        <w:t>The review found that high-quality spirometry may reduce rates of under-diagnosis and misdiagnosis of asthma, COPD and other causes of airflow limitation.</w:t>
      </w:r>
    </w:p>
    <w:p w14:paraId="53EA8EDE" w14:textId="77777777" w:rsidR="000A6B51" w:rsidRPr="000A6B51" w:rsidRDefault="000A6B51" w:rsidP="00F20F9A">
      <w:pPr>
        <w:pStyle w:val="NormalBulleteddash"/>
      </w:pPr>
      <w:r w:rsidRPr="000A6B51">
        <w:t>Pre-bronchodilator spirometry, post-bronchodilator spirometry, and reversibility testing (pre- and post-bronchodilator spirometry) all have a role in the diagnosis of patients presenting with respiratory symptoms suggestive of asthma, COPD or other causes of airflow limitation.</w:t>
      </w:r>
    </w:p>
    <w:p w14:paraId="6877B4B6" w14:textId="77777777" w:rsidR="000A6B51" w:rsidRPr="000A6B51" w:rsidRDefault="000A6B51" w:rsidP="00F20F9A">
      <w:pPr>
        <w:pStyle w:val="NormalBulleteddash"/>
      </w:pPr>
      <w:r w:rsidRPr="000A6B51">
        <w:t>International CPGs recommend use of reversibility testing in the diagnosis of asthma in adults and children (&gt;5 years of age) with evidence of airflow limitation (according to pre-bronchodilator spirometry). For the diagnosis of COPD, international CPGs recommend the use of post-bronchodilator spirometry, however, bronchodilator reversibility testing may have a place where diagnostic doubt remains, or both COPD and asthma are suspected, particularly in elderly patients.</w:t>
      </w:r>
    </w:p>
    <w:p w14:paraId="535C90B1" w14:textId="77777777" w:rsidR="000A6B51" w:rsidRPr="007C4794" w:rsidRDefault="000A6B51" w:rsidP="006E7571">
      <w:pPr>
        <w:pStyle w:val="Heading5"/>
      </w:pPr>
      <w:r w:rsidRPr="007C4794">
        <w:t>Q2.</w:t>
      </w:r>
      <w:r w:rsidRPr="007C4794">
        <w:tab/>
        <w:t xml:space="preserve">In patients diagnosed with asthma or COPD, what is the clinical utility of spirometry for: </w:t>
      </w:r>
    </w:p>
    <w:p w14:paraId="2127C9B1" w14:textId="77777777" w:rsidR="000A6B51" w:rsidRPr="00CE1D83" w:rsidRDefault="00CE1D83" w:rsidP="00F20F9A">
      <w:pPr>
        <w:pStyle w:val="Numbering"/>
      </w:pPr>
      <w:r>
        <w:lastRenderedPageBreak/>
        <w:t>1.</w:t>
      </w:r>
      <w:r>
        <w:tab/>
      </w:r>
      <w:r w:rsidR="000A6B51" w:rsidRPr="00CE1D83">
        <w:t>assessing acute exacerbations?</w:t>
      </w:r>
    </w:p>
    <w:p w14:paraId="0E715AA7" w14:textId="77777777" w:rsidR="000A6B51" w:rsidRDefault="000A6B51" w:rsidP="00F20F9A">
      <w:pPr>
        <w:pStyle w:val="NormalBulleteddash"/>
      </w:pPr>
      <w:r w:rsidRPr="00F20F9A">
        <w:t>While some asthma and COPD CPGs advised that spirometry is of little value in the mana</w:t>
      </w:r>
      <w:r w:rsidRPr="000A6B51">
        <w:t>gement of acute exacerbations, others suggested that it may be useful for categorising severity and assessing patients during recovery.</w:t>
      </w:r>
    </w:p>
    <w:p w14:paraId="2DAF79DB" w14:textId="77777777" w:rsidR="000A6B51" w:rsidRPr="007C4794" w:rsidRDefault="00CE1D83" w:rsidP="00F20F9A">
      <w:pPr>
        <w:pStyle w:val="Numbering"/>
      </w:pPr>
      <w:r>
        <w:t>2.</w:t>
      </w:r>
      <w:r>
        <w:tab/>
      </w:r>
      <w:r w:rsidR="000A6B51" w:rsidRPr="007C4794">
        <w:t>long-term monitoring?</w:t>
      </w:r>
    </w:p>
    <w:p w14:paraId="3FE2A172" w14:textId="77777777" w:rsidR="000A6B51" w:rsidRPr="000A6B51" w:rsidRDefault="000A6B51" w:rsidP="00F20F9A">
      <w:pPr>
        <w:pStyle w:val="NormalBulleteddash"/>
      </w:pPr>
      <w:r w:rsidRPr="000A6B51">
        <w:t xml:space="preserve">For asthma, there is evidence to suggest that low Forced Expiratory Volume (FEV1) is a strong independent predictor of risk of exacerbations. This therefore supports the use of lung function testing as part of long-term monitoring. </w:t>
      </w:r>
    </w:p>
    <w:p w14:paraId="745878EA" w14:textId="77777777" w:rsidR="000A6B51" w:rsidRPr="000A6B51" w:rsidRDefault="000A6B51" w:rsidP="00F20F9A">
      <w:pPr>
        <w:pStyle w:val="NormalBulleteddash"/>
      </w:pPr>
      <w:r w:rsidRPr="000A6B51">
        <w:t>For COPD, FEV1 is a poor predictor of disease status and prognosis, but spirometry may still have a role alongside other tests in long-term monitoring because worsening airflow limitation is associated with an increasing frequency of exacerbations and adverse events.</w:t>
      </w:r>
    </w:p>
    <w:p w14:paraId="0123956F" w14:textId="77777777" w:rsidR="000A6B51" w:rsidRPr="007C4794" w:rsidRDefault="000A6B51" w:rsidP="006E7571">
      <w:pPr>
        <w:pStyle w:val="Heading5"/>
      </w:pPr>
      <w:r w:rsidRPr="007C4794">
        <w:t>Q3.</w:t>
      </w:r>
      <w:r w:rsidRPr="007C4794">
        <w:tab/>
        <w:t>What is the published evidence for the cost-effectiveness of spirometry for the diagnosis of people presenting with respiratory symptoms?</w:t>
      </w:r>
    </w:p>
    <w:p w14:paraId="4D287081" w14:textId="77777777" w:rsidR="000A6B51" w:rsidRPr="000A6B51" w:rsidRDefault="000A6B51" w:rsidP="00F20F9A">
      <w:pPr>
        <w:pStyle w:val="NormalBulleteddash"/>
      </w:pPr>
      <w:r w:rsidRPr="000A6B51">
        <w:t>A recent economic evaluation commissioned by the National Institute for Health and Care Excellence (NICE, 2016) found that the cost-effectiveness of diagnostic strategies using spirometry and reversibility testing was contingent on further diagnostic tests being performed downstream.</w:t>
      </w:r>
    </w:p>
    <w:p w14:paraId="2370F303" w14:textId="77777777" w:rsidR="000A6B51" w:rsidRPr="005C4637" w:rsidRDefault="000A6B51" w:rsidP="00F20F9A">
      <w:pPr>
        <w:pStyle w:val="NormalBulleteddash"/>
      </w:pPr>
      <w:r w:rsidRPr="000A6B51">
        <w:t>No literature was identified to provide evidence for the cost-effectiveness of a spirometric diagnosis of COPD.</w:t>
      </w:r>
    </w:p>
    <w:p w14:paraId="3F27797B" w14:textId="77777777" w:rsidR="000A6B51" w:rsidRPr="007C4794" w:rsidRDefault="000A6B51" w:rsidP="006E7571">
      <w:pPr>
        <w:pStyle w:val="Heading5"/>
      </w:pPr>
      <w:r w:rsidRPr="007C4794">
        <w:t>Q4.</w:t>
      </w:r>
      <w:r w:rsidRPr="007C4794">
        <w:tab/>
        <w:t>What is the evidence that</w:t>
      </w:r>
      <w:r w:rsidR="007C4794" w:rsidRPr="007C4794">
        <w:t xml:space="preserve"> </w:t>
      </w:r>
      <w:r w:rsidRPr="007C4794">
        <w:t>an increase in spirometry service fees (a) increases the number of accurate diagnoses of asthma or COPD in people presenting with respiratory symptoms, and (b) improves health outcomes?</w:t>
      </w:r>
    </w:p>
    <w:p w14:paraId="686C30C8" w14:textId="77777777" w:rsidR="000A6B51" w:rsidRPr="007C4794" w:rsidRDefault="007C4794" w:rsidP="006E7571">
      <w:pPr>
        <w:pStyle w:val="Heading5"/>
      </w:pPr>
      <w:r w:rsidRPr="007C4794">
        <w:t>Q5.</w:t>
      </w:r>
      <w:r w:rsidR="006E7571">
        <w:tab/>
      </w:r>
      <w:r w:rsidRPr="007C4794">
        <w:t xml:space="preserve">What is the evidence that </w:t>
      </w:r>
      <w:r w:rsidR="000A6B51" w:rsidRPr="007C4794">
        <w:t>financial incentives for performing spirometry over and above a fee for service (a) increases the number of accurate diagnoses of asthma or COPD in people presenting with respiratory symptoms, and (b) improves health outcomes?</w:t>
      </w:r>
    </w:p>
    <w:p w14:paraId="19986557" w14:textId="77777777" w:rsidR="000A6B51" w:rsidRPr="007C4794" w:rsidRDefault="006E7571" w:rsidP="006E7571">
      <w:pPr>
        <w:pStyle w:val="Heading5"/>
      </w:pPr>
      <w:r>
        <w:t>Q6.</w:t>
      </w:r>
      <w:r>
        <w:tab/>
      </w:r>
      <w:r w:rsidR="007C4794" w:rsidRPr="007C4794">
        <w:t xml:space="preserve">What is the evidence that </w:t>
      </w:r>
      <w:r w:rsidR="000A6B51" w:rsidRPr="007C4794">
        <w:t>introduction of an outcome based payment model that links provider payment to accurate diagnosis of asthma or COPD (a) increases the number of accurate diagnoses of asthma or COPD in people presenting with respiratory symptoms, and (b) improves health outcomes?</w:t>
      </w:r>
    </w:p>
    <w:p w14:paraId="067477AD" w14:textId="77777777" w:rsidR="000A6B51" w:rsidRPr="000A6B51" w:rsidRDefault="000A6B51" w:rsidP="00F20F9A">
      <w:pPr>
        <w:pStyle w:val="NormalBulleteddash"/>
      </w:pPr>
      <w:r w:rsidRPr="000A6B51">
        <w:t>There is evidence from the United Kingdom to suggest that a financial incentive to undertake spirometry (over and above a fee for service) increases the quantity, but not necessarily the quality, of spirometry in primary care.</w:t>
      </w:r>
    </w:p>
    <w:p w14:paraId="3D1FDCBF" w14:textId="77777777" w:rsidR="000A6B51" w:rsidRPr="000A6B51" w:rsidRDefault="000A6B51" w:rsidP="00F20F9A">
      <w:pPr>
        <w:pStyle w:val="NormalBulleteddash"/>
      </w:pPr>
      <w:r w:rsidRPr="000A6B51">
        <w:t>No literature was identified that assessed the impact of financial incentives for the use of spirometry in primary care, on diagnostic accuracy or patient health outcomes.</w:t>
      </w:r>
    </w:p>
    <w:p w14:paraId="0A646E5F" w14:textId="77777777" w:rsidR="000A6B51" w:rsidRPr="0002627F" w:rsidRDefault="000A6B51" w:rsidP="00DA2B53">
      <w:pPr>
        <w:pStyle w:val="Heading4"/>
      </w:pPr>
      <w:r w:rsidRPr="0002627F">
        <w:t>Other observations and conclusions described in the rapid evidence review</w:t>
      </w:r>
    </w:p>
    <w:p w14:paraId="49EAE3F7" w14:textId="77777777" w:rsidR="000A6B51" w:rsidRPr="000A6B51" w:rsidRDefault="000A6B51" w:rsidP="00E74CB1">
      <w:pPr>
        <w:pStyle w:val="NormalBulleted"/>
      </w:pPr>
      <w:r w:rsidRPr="000A6B51">
        <w:t xml:space="preserve">Pre-bronchodilator spirometry is not reimbursed through the MBS but is recommended in international CPGs as a first line objective test to confirm airflow obstruction in adults and </w:t>
      </w:r>
      <w:r w:rsidRPr="000A6B51">
        <w:lastRenderedPageBreak/>
        <w:t>children (&gt;5 years) who present with respiratory symptoms suggestive of asthma; bronchodilator reversibility testing should only follow if airflow limitation is detected.</w:t>
      </w:r>
    </w:p>
    <w:p w14:paraId="53385013" w14:textId="77777777" w:rsidR="000A6B51" w:rsidRPr="000A6B51" w:rsidRDefault="000A6B51" w:rsidP="00E74CB1">
      <w:pPr>
        <w:pStyle w:val="NormalBulleted"/>
      </w:pPr>
      <w:r w:rsidRPr="000A6B51">
        <w:t>Post-bronchodilator spirometry as a standalone service is not reimbursed through the MBS but is recommended in international CPGs for the diagnosis of COPD, in cases where asthma or asthma-COPD overlap syndrome (ACOS) are not suspected.</w:t>
      </w:r>
    </w:p>
    <w:p w14:paraId="3264BE79" w14:textId="77777777" w:rsidR="000A6B51" w:rsidRPr="000A6B51" w:rsidRDefault="000A6B51" w:rsidP="00E74CB1">
      <w:pPr>
        <w:pStyle w:val="NormalBulleted"/>
      </w:pPr>
      <w:r w:rsidRPr="000A6B51">
        <w:t>Despite a lack of clear evidence of benefit, international CPGs generally support the use of spirometry (pre- or post-bronchodilator) for long-term monitoring of asthma or COPD; a role for spirometry in the assessment of acute exacerbations is less clear.</w:t>
      </w:r>
    </w:p>
    <w:p w14:paraId="5DEBEC11" w14:textId="77777777" w:rsidR="000A6B51" w:rsidRPr="000A6B51" w:rsidRDefault="000A6B51" w:rsidP="00E74CB1">
      <w:pPr>
        <w:pStyle w:val="NormalBulleted"/>
        <w:rPr>
          <w:bCs/>
        </w:rPr>
      </w:pPr>
      <w:r w:rsidRPr="000A6B51">
        <w:rPr>
          <w:bCs/>
        </w:rPr>
        <w:t>Australian CPGs tend to support the use of reversibility testing, which is currently reimbursed on the MBS, to a greater extent than international CPGs.</w:t>
      </w:r>
    </w:p>
    <w:p w14:paraId="3ECC2649" w14:textId="77777777" w:rsidR="000A6B51" w:rsidRPr="000A6B51" w:rsidRDefault="000A6B51" w:rsidP="00E74CB1">
      <w:pPr>
        <w:pStyle w:val="NormalBulleted"/>
        <w:rPr>
          <w:bCs/>
        </w:rPr>
      </w:pPr>
      <w:r w:rsidRPr="000A6B51">
        <w:rPr>
          <w:bCs/>
        </w:rPr>
        <w:t>Financial incentives may increase the use of spirometry in primary care, but the extent to which it improves diagnosis and health outcomes is unknown.</w:t>
      </w:r>
    </w:p>
    <w:p w14:paraId="38E59DC1" w14:textId="77777777" w:rsidR="000A6B51" w:rsidRPr="000A6B51" w:rsidRDefault="000A6B51" w:rsidP="00F56E64">
      <w:r w:rsidRPr="000A6B51">
        <w:t>A copy of the full rapid evidence review report is at Appendix C</w:t>
      </w:r>
      <w:r w:rsidRPr="000A6B51">
        <w:rPr>
          <w:b/>
        </w:rPr>
        <w:t>.</w:t>
      </w:r>
    </w:p>
    <w:p w14:paraId="5BE1C9C8" w14:textId="77777777" w:rsidR="000A6B51" w:rsidRPr="0002627F" w:rsidRDefault="000A6B51" w:rsidP="00DF4FDF">
      <w:pPr>
        <w:pStyle w:val="Heading3"/>
      </w:pPr>
      <w:r w:rsidRPr="0002627F">
        <w:t xml:space="preserve">The Committee’s </w:t>
      </w:r>
      <w:r w:rsidRPr="00DF4FDF">
        <w:t>findings</w:t>
      </w:r>
      <w:r w:rsidRPr="0002627F">
        <w:t xml:space="preserve"> on the Rapid Evidence Review</w:t>
      </w:r>
    </w:p>
    <w:p w14:paraId="0006E13D" w14:textId="77777777" w:rsidR="000A6B51" w:rsidRPr="000A6B51" w:rsidRDefault="000A6B51" w:rsidP="00F56E64">
      <w:r w:rsidRPr="000A6B51">
        <w:t xml:space="preserve">The Committee accepted that the rapid evidence review properly summarised the current evidence and answered the research questions. The Committee concluded that: </w:t>
      </w:r>
    </w:p>
    <w:p w14:paraId="22FBA400" w14:textId="77777777" w:rsidR="000A6B51" w:rsidRPr="000A6B51" w:rsidRDefault="000A6B51" w:rsidP="00E74CB1">
      <w:pPr>
        <w:pStyle w:val="NormalBulleted"/>
      </w:pPr>
      <w:r w:rsidRPr="000A6B51">
        <w:t>There is moderate quality evidence and a high degree of concordance between national and international clinical practice guidelines to support the use of pre and post bronchodilator testing to confirm the diagnosis of asthma and other causes of airflow limitation.</w:t>
      </w:r>
    </w:p>
    <w:p w14:paraId="2ACF4861" w14:textId="77777777" w:rsidR="000A6B51" w:rsidRPr="000A6B51" w:rsidRDefault="000A6B51" w:rsidP="00E74CB1">
      <w:pPr>
        <w:pStyle w:val="NormalBulleted"/>
      </w:pPr>
      <w:r w:rsidRPr="000A6B51">
        <w:t>There is moderate quality evidence and a high degree of concordance between national and international clinical practice guidelines to support the use of post bronchodilator testing to confirm the diagnosis of COPD.</w:t>
      </w:r>
    </w:p>
    <w:p w14:paraId="6D187113" w14:textId="77777777" w:rsidR="000A6B51" w:rsidRPr="000A6B51" w:rsidRDefault="000A6B51" w:rsidP="00E74CB1">
      <w:pPr>
        <w:pStyle w:val="NormalBulleted"/>
      </w:pPr>
      <w:r w:rsidRPr="000A6B51">
        <w:t>There is some evidence that spirometry is useful in long term monitoring of asthma and COPD (expert consensus/CPGs).</w:t>
      </w:r>
    </w:p>
    <w:p w14:paraId="5DB6DCD0" w14:textId="77777777" w:rsidR="000A6B51" w:rsidRPr="000A6B51" w:rsidRDefault="000A6B51" w:rsidP="00E74CB1">
      <w:pPr>
        <w:pStyle w:val="NormalBulleted"/>
      </w:pPr>
      <w:r w:rsidRPr="000A6B51">
        <w:t xml:space="preserve">There is little evidence on the utility of spirometry for the assessment of acute exacerbations in asthma and COPD. </w:t>
      </w:r>
    </w:p>
    <w:p w14:paraId="4B41FB97" w14:textId="77777777" w:rsidR="000A6B51" w:rsidRPr="000A6B51" w:rsidRDefault="000A6B51" w:rsidP="00E74CB1">
      <w:pPr>
        <w:pStyle w:val="NormalBulleted"/>
      </w:pPr>
      <w:r w:rsidRPr="000A6B51">
        <w:t xml:space="preserve"> Although not noted in the evidence review, some CPGs recommend using spirometry to grade severity and thus treatment of COPD. Both GOLD and COPD X use FEV1% predicted ranges to recommend specific therapies</w:t>
      </w:r>
      <w:r w:rsidR="001C3252">
        <w:t>.</w:t>
      </w:r>
    </w:p>
    <w:p w14:paraId="3D5DBC81" w14:textId="77777777" w:rsidR="000A6B51" w:rsidRPr="000A6B51" w:rsidRDefault="000A6B51" w:rsidP="00E74CB1">
      <w:pPr>
        <w:pStyle w:val="NormalBulleted"/>
      </w:pPr>
      <w:r w:rsidRPr="000A6B51">
        <w:t>Evidence from the UK NICE indicates that financial incentives increase the number of spirometry services provided in primary care.</w:t>
      </w:r>
    </w:p>
    <w:p w14:paraId="501562E0" w14:textId="77777777" w:rsidR="000A6B51" w:rsidRPr="000A6B51" w:rsidRDefault="000A6B51" w:rsidP="00E74CB1">
      <w:pPr>
        <w:pStyle w:val="NormalBulleted"/>
      </w:pPr>
      <w:r w:rsidRPr="000A6B51">
        <w:t>There is a lack of published studies addressing whether</w:t>
      </w:r>
      <w:r w:rsidRPr="000A6B51" w:rsidDel="00D849A5">
        <w:t xml:space="preserve"> </w:t>
      </w:r>
      <w:r w:rsidRPr="000A6B51">
        <w:t>financial incentives to perform spirometry in primary care improve diagnosis and health outcomes.</w:t>
      </w:r>
    </w:p>
    <w:p w14:paraId="5F7F0630" w14:textId="77777777" w:rsidR="000A6B51" w:rsidRPr="000A6B51" w:rsidRDefault="000A6B51" w:rsidP="00E74CB1">
      <w:pPr>
        <w:pStyle w:val="NormalBulleted"/>
      </w:pPr>
      <w:r w:rsidRPr="000A6B51">
        <w:t>Evidence from the UK NICE indicates that the cost-effectiveness of using spirometry and bronchodilator reversibility testing to diagnose asthma and COPD is variable (contingent on further diagnostic tests being performed downstream (eg FeNO, bronchial provocation).</w:t>
      </w:r>
      <w:r w:rsidR="00A403FC">
        <w:t xml:space="preserve"> </w:t>
      </w:r>
      <w:r w:rsidRPr="000A6B51">
        <w:t>It should be noted that UK evidence on cost effectiveness is not necessarily translatable to Australia because input costs are different.</w:t>
      </w:r>
    </w:p>
    <w:p w14:paraId="271D3EF9" w14:textId="77777777" w:rsidR="000A6B51" w:rsidRPr="000A6B51" w:rsidRDefault="000A6B51" w:rsidP="00E74CB1">
      <w:pPr>
        <w:pStyle w:val="NormalBulleted"/>
      </w:pPr>
      <w:r w:rsidRPr="000A6B51">
        <w:lastRenderedPageBreak/>
        <w:t xml:space="preserve">The emphasis on reversibility testing in Australian CPGs is likely a consequence of MBS funding which currently reimburses reversibility testing but not less complex spirometry (pre </w:t>
      </w:r>
      <w:r w:rsidRPr="00DA2C66">
        <w:t>or</w:t>
      </w:r>
      <w:r w:rsidRPr="000A6B51">
        <w:t xml:space="preserve"> post-bronchodilator only).</w:t>
      </w:r>
    </w:p>
    <w:p w14:paraId="2805A0A3" w14:textId="77777777" w:rsidR="000A6B51" w:rsidRPr="000A6B51" w:rsidRDefault="000A6B51" w:rsidP="00DA2B53">
      <w:pPr>
        <w:pStyle w:val="Heading3"/>
      </w:pPr>
      <w:r w:rsidRPr="000A6B51">
        <w:t>MBS fee</w:t>
      </w:r>
      <w:r w:rsidR="00597E1B">
        <w:t>s</w:t>
      </w:r>
      <w:r w:rsidRPr="000A6B51">
        <w:t xml:space="preserve"> for spirometry </w:t>
      </w:r>
    </w:p>
    <w:p w14:paraId="7AF0604F" w14:textId="77777777" w:rsidR="000A6B51" w:rsidRPr="000A6B51" w:rsidRDefault="000A6B51" w:rsidP="00F56E64">
      <w:r w:rsidRPr="000A6B51">
        <w:t xml:space="preserve">Spirometry in primary care is funded through the MBS (item 11506), the Practice Incentive Program (PIP) Asthma Incentive and the Practice Nurse Incentive Program (PNIP). PIP </w:t>
      </w:r>
      <w:r w:rsidR="001C3252">
        <w:t xml:space="preserve">Asthma Incentive </w:t>
      </w:r>
      <w:r w:rsidRPr="000A6B51">
        <w:t>is designed to encourage GPs to better manage the clinical care of people with moderate to severe asthma while the PNIP provides incentive payments to practices to support an expanded role for nurses working in general practice. The Committee suggested that these funding arrangements are insufficient and do not adequately encourage the use of spirometry for diagnosing and monitoring asthma and COPD in primary care.</w:t>
      </w:r>
      <w:r w:rsidR="00A403FC">
        <w:t xml:space="preserve"> </w:t>
      </w:r>
      <w:r w:rsidRPr="000A6B51">
        <w:t>The MBS fee for existing item 11506 is $20.55.</w:t>
      </w:r>
    </w:p>
    <w:p w14:paraId="72ABA165" w14:textId="77777777" w:rsidR="000A6B51" w:rsidRPr="000A6B51" w:rsidRDefault="000A6B51" w:rsidP="00F56E64">
      <w:r w:rsidRPr="000A6B51">
        <w:t xml:space="preserve">The Cranston Research </w:t>
      </w:r>
      <w:r w:rsidR="00C052AF" w:rsidRPr="000A6B51">
        <w:t>Paper</w:t>
      </w:r>
      <w:r w:rsidR="00C052AF">
        <w:rPr>
          <w:vertAlign w:val="superscript"/>
        </w:rPr>
        <w:t>5</w:t>
      </w:r>
      <w:r w:rsidR="00C052AF" w:rsidRPr="000A6B51">
        <w:t xml:space="preserve"> </w:t>
      </w:r>
      <w:r w:rsidRPr="000A6B51">
        <w:t>examined models of chronic disease management in primary care for patients with mild to moderate asthma or COPD and gave an estimated cost of providing pre and post bronchodilator spirometry in primary care in South Australia (</w:t>
      </w:r>
      <w:r w:rsidR="00926B56">
        <w:t>Table 7</w:t>
      </w:r>
      <w:r w:rsidRPr="000A6B51">
        <w:t>). The figures from the Cranston Research Paper have been adjusted to reflect current costs (2015). The table also includes an estimate of costs provided by the Committee and incorporates information from the Lung Health Alliance.</w:t>
      </w:r>
    </w:p>
    <w:p w14:paraId="3D5B92B5" w14:textId="77777777" w:rsidR="000A6B51" w:rsidRPr="000A6B51" w:rsidRDefault="000A6B51" w:rsidP="000A6B51">
      <w:pPr>
        <w:rPr>
          <w:rFonts w:cs="Arial"/>
          <w:i/>
        </w:rPr>
      </w:pPr>
      <w:bookmarkStart w:id="98" w:name="_Ref457453097"/>
      <w:bookmarkStart w:id="99" w:name="_Toc478721541"/>
      <w:bookmarkStart w:id="100" w:name="_Toc457450646"/>
      <w:bookmarkStart w:id="101" w:name="_Ref457453091"/>
      <w:r w:rsidRPr="00253B22">
        <w:rPr>
          <w:rStyle w:val="CaptionChar"/>
        </w:rPr>
        <w:t>Table</w:t>
      </w:r>
      <w:r w:rsidR="00926B56">
        <w:rPr>
          <w:rStyle w:val="CaptionChar"/>
        </w:rPr>
        <w:t xml:space="preserve"> 7</w:t>
      </w:r>
      <w:bookmarkEnd w:id="98"/>
      <w:r w:rsidRPr="00253B22">
        <w:rPr>
          <w:rStyle w:val="CaptionChar"/>
        </w:rPr>
        <w:t>:</w:t>
      </w:r>
      <w:r w:rsidRPr="00253B22">
        <w:rPr>
          <w:rStyle w:val="CaptionChar"/>
        </w:rPr>
        <w:tab/>
        <w:t>Estimate of the cost of pre and post bronchodilator spirometry in primary care for South</w:t>
      </w:r>
      <w:bookmarkEnd w:id="99"/>
      <w:r w:rsidRPr="000A6B51">
        <w:rPr>
          <w:rFonts w:cs="Arial"/>
          <w:i/>
          <w:lang w:val="en-US"/>
        </w:rPr>
        <w:t xml:space="preserve"> Australia</w:t>
      </w:r>
      <w:bookmarkEnd w:id="100"/>
      <w:bookmarkEnd w:id="101"/>
    </w:p>
    <w:tbl>
      <w:tblPr>
        <w:tblStyle w:val="TableGrid"/>
        <w:tblW w:w="9214"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7 provides alternative estimates from Cranston and colleagues, and the committee for the cost per bronchodilator test provided by a practice nurse and a general practitiioner."/>
      </w:tblPr>
      <w:tblGrid>
        <w:gridCol w:w="3261"/>
        <w:gridCol w:w="3010"/>
        <w:gridCol w:w="2943"/>
      </w:tblGrid>
      <w:tr w:rsidR="000A6B51" w:rsidRPr="00807B09" w14:paraId="7154FAA7" w14:textId="77777777" w:rsidTr="0099709F">
        <w:trPr>
          <w:tblHeader/>
        </w:trPr>
        <w:tc>
          <w:tcPr>
            <w:tcW w:w="3261" w:type="dxa"/>
            <w:shd w:val="clear" w:color="auto" w:fill="auto"/>
            <w:vAlign w:val="center"/>
          </w:tcPr>
          <w:p w14:paraId="7D17FCB2" w14:textId="77777777" w:rsidR="000A6B51" w:rsidRPr="00B3465E" w:rsidRDefault="000A6B51" w:rsidP="00B3465E">
            <w:pPr>
              <w:pStyle w:val="Tableheading"/>
            </w:pPr>
            <w:r w:rsidRPr="00B3465E">
              <w:t>Source</w:t>
            </w:r>
          </w:p>
        </w:tc>
        <w:tc>
          <w:tcPr>
            <w:tcW w:w="3010" w:type="dxa"/>
            <w:shd w:val="clear" w:color="auto" w:fill="auto"/>
          </w:tcPr>
          <w:p w14:paraId="1C463BCB" w14:textId="77777777" w:rsidR="000A6B51" w:rsidRPr="00DF2610" w:rsidRDefault="000A6B51" w:rsidP="00DF2610">
            <w:pPr>
              <w:pStyle w:val="Tableheading"/>
            </w:pPr>
            <w:r w:rsidRPr="00DF2610">
              <w:t>Cost per test when provided by a practice nurse</w:t>
            </w:r>
          </w:p>
        </w:tc>
        <w:tc>
          <w:tcPr>
            <w:tcW w:w="2943" w:type="dxa"/>
            <w:shd w:val="clear" w:color="auto" w:fill="auto"/>
          </w:tcPr>
          <w:p w14:paraId="4D70896D" w14:textId="77777777" w:rsidR="000A6B51" w:rsidRPr="00EF7E31" w:rsidRDefault="000A6B51" w:rsidP="00EF7E31">
            <w:pPr>
              <w:pStyle w:val="Tableheading"/>
            </w:pPr>
            <w:r w:rsidRPr="00EF7E31">
              <w:t>Cost per test when provided by a General Practitioner</w:t>
            </w:r>
          </w:p>
        </w:tc>
      </w:tr>
      <w:tr w:rsidR="000A6B51" w:rsidRPr="000A6B51" w14:paraId="2F752BA7" w14:textId="77777777" w:rsidTr="00E41CE7">
        <w:tc>
          <w:tcPr>
            <w:tcW w:w="3261" w:type="dxa"/>
            <w:shd w:val="clear" w:color="auto" w:fill="auto"/>
          </w:tcPr>
          <w:p w14:paraId="6420D3A0" w14:textId="77777777" w:rsidR="000A6B51" w:rsidRPr="000A6B51" w:rsidRDefault="000A6B51" w:rsidP="00A403FC">
            <w:pPr>
              <w:pStyle w:val="Tabletext"/>
            </w:pPr>
            <w:r w:rsidRPr="000A6B51">
              <w:t xml:space="preserve">Cranston et al </w:t>
            </w:r>
          </w:p>
        </w:tc>
        <w:tc>
          <w:tcPr>
            <w:tcW w:w="3010" w:type="dxa"/>
            <w:shd w:val="clear" w:color="auto" w:fill="auto"/>
          </w:tcPr>
          <w:p w14:paraId="5A637DCF" w14:textId="77777777" w:rsidR="000A6B51" w:rsidRPr="000A6B51" w:rsidRDefault="000A6B51" w:rsidP="00A403FC">
            <w:pPr>
              <w:pStyle w:val="Tabletext"/>
            </w:pPr>
            <w:r w:rsidRPr="000A6B51">
              <w:t>$43.69</w:t>
            </w:r>
          </w:p>
        </w:tc>
        <w:tc>
          <w:tcPr>
            <w:tcW w:w="2943" w:type="dxa"/>
            <w:shd w:val="clear" w:color="auto" w:fill="auto"/>
          </w:tcPr>
          <w:p w14:paraId="35DE627D" w14:textId="77777777" w:rsidR="000A6B51" w:rsidRPr="000A6B51" w:rsidRDefault="000A6B51" w:rsidP="00A403FC">
            <w:pPr>
              <w:pStyle w:val="Tabletext"/>
            </w:pPr>
            <w:r w:rsidRPr="000A6B51">
              <w:t>$98.69</w:t>
            </w:r>
          </w:p>
        </w:tc>
      </w:tr>
      <w:tr w:rsidR="000A6B51" w:rsidRPr="000A6B51" w14:paraId="4EDA403C" w14:textId="77777777" w:rsidTr="00E41CE7">
        <w:tc>
          <w:tcPr>
            <w:tcW w:w="3261" w:type="dxa"/>
            <w:shd w:val="clear" w:color="auto" w:fill="auto"/>
          </w:tcPr>
          <w:p w14:paraId="3D188221" w14:textId="77777777" w:rsidR="000A6B51" w:rsidRPr="000A6B51" w:rsidRDefault="000A6B51" w:rsidP="00A403FC">
            <w:pPr>
              <w:pStyle w:val="Tabletext"/>
            </w:pPr>
            <w:r w:rsidRPr="000A6B51">
              <w:t>Committee/Lung Health Alliance</w:t>
            </w:r>
          </w:p>
        </w:tc>
        <w:tc>
          <w:tcPr>
            <w:tcW w:w="3010" w:type="dxa"/>
            <w:shd w:val="clear" w:color="auto" w:fill="auto"/>
          </w:tcPr>
          <w:p w14:paraId="70450B5F" w14:textId="77777777" w:rsidR="000A6B51" w:rsidRPr="000A6B51" w:rsidRDefault="000A6B51" w:rsidP="00A403FC">
            <w:pPr>
              <w:pStyle w:val="Tabletext"/>
            </w:pPr>
            <w:r w:rsidRPr="000A6B51">
              <w:t>$64.90</w:t>
            </w:r>
          </w:p>
        </w:tc>
        <w:tc>
          <w:tcPr>
            <w:tcW w:w="2943" w:type="dxa"/>
            <w:shd w:val="clear" w:color="auto" w:fill="auto"/>
          </w:tcPr>
          <w:p w14:paraId="23D21E1F" w14:textId="77777777" w:rsidR="000A6B51" w:rsidRPr="000A6B51" w:rsidRDefault="000A6B51" w:rsidP="00A403FC">
            <w:pPr>
              <w:pStyle w:val="Tabletext"/>
            </w:pPr>
            <w:r w:rsidRPr="000A6B51">
              <w:t>$110.49</w:t>
            </w:r>
          </w:p>
        </w:tc>
      </w:tr>
      <w:tr w:rsidR="000A6B51" w:rsidRPr="000A6B51" w14:paraId="42706561" w14:textId="77777777" w:rsidTr="00E41CE7">
        <w:tc>
          <w:tcPr>
            <w:tcW w:w="3261" w:type="dxa"/>
            <w:shd w:val="clear" w:color="auto" w:fill="auto"/>
          </w:tcPr>
          <w:p w14:paraId="25DF27BF" w14:textId="77777777" w:rsidR="000A6B51" w:rsidRPr="000A6B51" w:rsidRDefault="000A6B51" w:rsidP="00A403FC">
            <w:pPr>
              <w:pStyle w:val="Tabletext"/>
            </w:pPr>
            <w:r w:rsidRPr="000A6B51">
              <w:t>Average</w:t>
            </w:r>
          </w:p>
        </w:tc>
        <w:tc>
          <w:tcPr>
            <w:tcW w:w="3010" w:type="dxa"/>
            <w:shd w:val="clear" w:color="auto" w:fill="auto"/>
          </w:tcPr>
          <w:p w14:paraId="7D049E14" w14:textId="77777777" w:rsidR="000A6B51" w:rsidRPr="000A6B51" w:rsidRDefault="000A6B51" w:rsidP="00A403FC">
            <w:pPr>
              <w:pStyle w:val="Tabletext"/>
            </w:pPr>
            <w:r w:rsidRPr="000A6B51">
              <w:t>$54.30</w:t>
            </w:r>
          </w:p>
        </w:tc>
        <w:tc>
          <w:tcPr>
            <w:tcW w:w="2943" w:type="dxa"/>
            <w:shd w:val="clear" w:color="auto" w:fill="auto"/>
          </w:tcPr>
          <w:p w14:paraId="35316159" w14:textId="77777777" w:rsidR="000A6B51" w:rsidRPr="000A6B51" w:rsidRDefault="000A6B51" w:rsidP="00A403FC">
            <w:pPr>
              <w:pStyle w:val="Tabletext"/>
            </w:pPr>
            <w:r w:rsidRPr="000A6B51">
              <w:t>$104.60</w:t>
            </w:r>
          </w:p>
        </w:tc>
      </w:tr>
    </w:tbl>
    <w:p w14:paraId="6CEE101B" w14:textId="77777777" w:rsidR="000A6B51" w:rsidRPr="000A6B51" w:rsidRDefault="000A6B51" w:rsidP="00F56E64">
      <w:r w:rsidRPr="000A6B51">
        <w:t>Taking account of the current MBS fee for 11506 and the evidence above, the Committee recommended a revised MBS fee in the range of $40-45.</w:t>
      </w:r>
    </w:p>
    <w:p w14:paraId="03ECBBCC" w14:textId="77777777" w:rsidR="00B76E12" w:rsidRDefault="000A6B51" w:rsidP="000A6B51">
      <w:pPr>
        <w:rPr>
          <w:rFonts w:cs="Arial"/>
          <w:i/>
        </w:rPr>
      </w:pPr>
      <w:r w:rsidRPr="000A6B51">
        <w:t xml:space="preserve">The Committee also recommended adding a new MBS item for less complex spirometry (pre </w:t>
      </w:r>
      <w:r w:rsidRPr="000A6B51">
        <w:rPr>
          <w:u w:val="single"/>
        </w:rPr>
        <w:t>or</w:t>
      </w:r>
      <w:r w:rsidRPr="000A6B51">
        <w:t xml:space="preserve"> post bronchodilator) for the diagnosis of COPD; assessment of acute exacerbations of asthma but not COPD; and long term monitoring of both asthma and COPD. The Committee, incorporating information from the Lung Health Alliance, has provided an estimate of the cost of pre </w:t>
      </w:r>
      <w:r w:rsidR="008E5DE9">
        <w:rPr>
          <w:u w:val="single"/>
        </w:rPr>
        <w:t>or</w:t>
      </w:r>
      <w:r w:rsidR="008E5DE9" w:rsidRPr="000A6B51">
        <w:t xml:space="preserve"> </w:t>
      </w:r>
      <w:r w:rsidRPr="000A6B51">
        <w:t xml:space="preserve">post spirometry in primary care. </w:t>
      </w:r>
      <w:bookmarkStart w:id="102" w:name="_Toc457450647"/>
      <w:r w:rsidR="00B76E12">
        <w:rPr>
          <w:rFonts w:cs="Arial"/>
          <w:i/>
        </w:rPr>
        <w:br w:type="page"/>
      </w:r>
    </w:p>
    <w:p w14:paraId="2BED2873" w14:textId="77777777" w:rsidR="000A6B51" w:rsidRPr="00253B22" w:rsidRDefault="000A6B51" w:rsidP="000A6B51">
      <w:pPr>
        <w:rPr>
          <w:rStyle w:val="CaptionChar"/>
        </w:rPr>
      </w:pPr>
      <w:bookmarkStart w:id="103" w:name="_Toc478721542"/>
      <w:r w:rsidRPr="00253B22">
        <w:rPr>
          <w:rStyle w:val="CaptionChar"/>
        </w:rPr>
        <w:lastRenderedPageBreak/>
        <w:t>Table</w:t>
      </w:r>
      <w:r w:rsidR="00926B56">
        <w:rPr>
          <w:rStyle w:val="CaptionChar"/>
        </w:rPr>
        <w:t xml:space="preserve"> 8</w:t>
      </w:r>
      <w:r w:rsidRPr="00253B22">
        <w:rPr>
          <w:rStyle w:val="CaptionChar"/>
        </w:rPr>
        <w:t>:</w:t>
      </w:r>
      <w:r w:rsidRPr="00253B22">
        <w:rPr>
          <w:rStyle w:val="CaptionChar"/>
        </w:rPr>
        <w:tab/>
        <w:t>Estimate of the cost of pre or post bronchodilator spirometry in primary care for South</w:t>
      </w:r>
      <w:bookmarkEnd w:id="103"/>
      <w:r w:rsidRPr="000A6B51">
        <w:rPr>
          <w:rFonts w:cs="Arial"/>
          <w:i/>
          <w:lang w:val="en-US"/>
        </w:rPr>
        <w:t xml:space="preserve"> </w:t>
      </w:r>
      <w:r w:rsidRPr="00253B22">
        <w:rPr>
          <w:rStyle w:val="CaptionChar"/>
        </w:rPr>
        <w:t>Australia</w:t>
      </w:r>
      <w:bookmarkEnd w:id="102"/>
    </w:p>
    <w:tbl>
      <w:tblPr>
        <w:tblStyle w:val="TableGrid"/>
        <w:tblW w:w="9214"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8 provides estimates from the committee for the cost per pre or post bronchodilator test provided by a practice nurse and a general practitiioner."/>
      </w:tblPr>
      <w:tblGrid>
        <w:gridCol w:w="3294"/>
        <w:gridCol w:w="2960"/>
        <w:gridCol w:w="2960"/>
      </w:tblGrid>
      <w:tr w:rsidR="000A6B51" w:rsidRPr="000A6B51" w14:paraId="291C4D62" w14:textId="77777777" w:rsidTr="0099709F">
        <w:trPr>
          <w:tblHeader/>
        </w:trPr>
        <w:tc>
          <w:tcPr>
            <w:tcW w:w="3294" w:type="dxa"/>
            <w:shd w:val="clear" w:color="auto" w:fill="auto"/>
            <w:vAlign w:val="center"/>
          </w:tcPr>
          <w:p w14:paraId="4435851D" w14:textId="77777777" w:rsidR="000A6B51" w:rsidRPr="000A6B51" w:rsidRDefault="000A6B51" w:rsidP="00A403FC">
            <w:pPr>
              <w:pStyle w:val="Tableheading"/>
            </w:pPr>
            <w:r w:rsidRPr="000A6B51">
              <w:t>Source</w:t>
            </w:r>
          </w:p>
        </w:tc>
        <w:tc>
          <w:tcPr>
            <w:tcW w:w="2960" w:type="dxa"/>
            <w:shd w:val="clear" w:color="auto" w:fill="auto"/>
          </w:tcPr>
          <w:p w14:paraId="5440925C" w14:textId="77777777" w:rsidR="000A6B51" w:rsidRPr="000A6B51" w:rsidRDefault="000A6B51" w:rsidP="00A403FC">
            <w:pPr>
              <w:pStyle w:val="Tableheading"/>
            </w:pPr>
            <w:r w:rsidRPr="000A6B51">
              <w:t>Cost per test when provided by a practice nurse</w:t>
            </w:r>
          </w:p>
        </w:tc>
        <w:tc>
          <w:tcPr>
            <w:tcW w:w="2960" w:type="dxa"/>
            <w:shd w:val="clear" w:color="auto" w:fill="auto"/>
          </w:tcPr>
          <w:p w14:paraId="4C3BB1AE" w14:textId="77777777" w:rsidR="000A6B51" w:rsidRPr="000A6B51" w:rsidRDefault="000A6B51" w:rsidP="00A403FC">
            <w:pPr>
              <w:pStyle w:val="Tableheading"/>
            </w:pPr>
            <w:r w:rsidRPr="000A6B51">
              <w:t>Cost per test when provided by a General Practitioner</w:t>
            </w:r>
          </w:p>
        </w:tc>
      </w:tr>
      <w:tr w:rsidR="000A6B51" w:rsidRPr="000A6B51" w14:paraId="39F3FB83" w14:textId="77777777" w:rsidTr="00E41CE7">
        <w:tc>
          <w:tcPr>
            <w:tcW w:w="3294" w:type="dxa"/>
            <w:shd w:val="clear" w:color="auto" w:fill="auto"/>
          </w:tcPr>
          <w:p w14:paraId="3DD17507" w14:textId="77777777" w:rsidR="000A6B51" w:rsidRPr="000A6B51" w:rsidRDefault="000A6B51" w:rsidP="00A403FC">
            <w:pPr>
              <w:pStyle w:val="Tabletext"/>
            </w:pPr>
            <w:r w:rsidRPr="000A6B51">
              <w:t xml:space="preserve">Committee / Lung Health Alliance </w:t>
            </w:r>
          </w:p>
        </w:tc>
        <w:tc>
          <w:tcPr>
            <w:tcW w:w="2960" w:type="dxa"/>
            <w:shd w:val="clear" w:color="auto" w:fill="auto"/>
          </w:tcPr>
          <w:p w14:paraId="278371E0" w14:textId="77777777" w:rsidR="000A6B51" w:rsidRPr="000A6B51" w:rsidRDefault="000A6B51" w:rsidP="00A403FC">
            <w:pPr>
              <w:pStyle w:val="Tabletext"/>
            </w:pPr>
            <w:r w:rsidRPr="000A6B51">
              <w:t>$37.08</w:t>
            </w:r>
          </w:p>
        </w:tc>
        <w:tc>
          <w:tcPr>
            <w:tcW w:w="2960" w:type="dxa"/>
            <w:shd w:val="clear" w:color="auto" w:fill="auto"/>
          </w:tcPr>
          <w:p w14:paraId="78B45A2A" w14:textId="77777777" w:rsidR="000A6B51" w:rsidRPr="000A6B51" w:rsidRDefault="000A6B51" w:rsidP="00A403FC">
            <w:pPr>
              <w:pStyle w:val="Tabletext"/>
            </w:pPr>
            <w:r w:rsidRPr="000A6B51">
              <w:t>$53.90</w:t>
            </w:r>
          </w:p>
        </w:tc>
      </w:tr>
    </w:tbl>
    <w:p w14:paraId="6004ACFA" w14:textId="77777777" w:rsidR="000A6B51" w:rsidRPr="000A6B51" w:rsidRDefault="000A6B51" w:rsidP="00F56E64">
      <w:r w:rsidRPr="000A6B51">
        <w:t>The Committee recommended a MBS fee for this service equivalent to the existing MBS fee for item 11506.</w:t>
      </w:r>
    </w:p>
    <w:p w14:paraId="2E6CCB3D" w14:textId="77777777" w:rsidR="000A6B51" w:rsidRPr="000A6B51" w:rsidRDefault="000A6B51" w:rsidP="00F56E64">
      <w:r w:rsidRPr="000A6B51">
        <w:t xml:space="preserve">The Committee agreed that the fee for existing MBS item 11512 ($61.00) should be retained. </w:t>
      </w:r>
    </w:p>
    <w:p w14:paraId="1EBDA387" w14:textId="77777777" w:rsidR="000A6B51" w:rsidRPr="0002627F" w:rsidRDefault="004527D9" w:rsidP="00DA2B53">
      <w:pPr>
        <w:pStyle w:val="Heading3"/>
      </w:pPr>
      <w:r w:rsidRPr="0002627F">
        <w:t>Recommendations –</w:t>
      </w:r>
      <w:r w:rsidR="008E5DE9">
        <w:t xml:space="preserve"> </w:t>
      </w:r>
      <w:r w:rsidR="000A6B51" w:rsidRPr="0002627F">
        <w:t xml:space="preserve">spirometry </w:t>
      </w:r>
    </w:p>
    <w:p w14:paraId="6C3726A4" w14:textId="77777777" w:rsidR="004527D9" w:rsidRDefault="004527D9" w:rsidP="004527D9">
      <w:pPr>
        <w:rPr>
          <w:rFonts w:cs="Arial"/>
        </w:rPr>
      </w:pPr>
      <w:r w:rsidRPr="004527D9">
        <w:rPr>
          <w:rFonts w:cs="Arial"/>
        </w:rPr>
        <w:t xml:space="preserve">Following this discussion and acknowledgement of the evidence presented in the review, the </w:t>
      </w:r>
      <w:r w:rsidR="00090640">
        <w:rPr>
          <w:rFonts w:cs="Arial"/>
        </w:rPr>
        <w:t>Committee</w:t>
      </w:r>
      <w:r w:rsidR="00090640" w:rsidRPr="004527D9">
        <w:rPr>
          <w:rFonts w:cs="Arial"/>
        </w:rPr>
        <w:t xml:space="preserve"> </w:t>
      </w:r>
      <w:r w:rsidRPr="004527D9">
        <w:rPr>
          <w:rFonts w:cs="Arial"/>
        </w:rPr>
        <w:t>makes the following recommendations:</w:t>
      </w:r>
    </w:p>
    <w:p w14:paraId="1AD24F0D" w14:textId="77777777" w:rsidR="00597E1B" w:rsidRPr="0002627F" w:rsidRDefault="00597E1B" w:rsidP="00DA2B53">
      <w:pPr>
        <w:pStyle w:val="Heading4"/>
      </w:pPr>
      <w:r>
        <w:t>Better target and incentivise use of</w:t>
      </w:r>
      <w:r w:rsidRPr="000A6B51">
        <w:t xml:space="preserve"> spirometry</w:t>
      </w:r>
      <w:r>
        <w:t xml:space="preserve"> (item 11506)</w:t>
      </w:r>
    </w:p>
    <w:p w14:paraId="112F67BD" w14:textId="77777777" w:rsidR="000A6B51" w:rsidRDefault="000A6B51" w:rsidP="000A6B51">
      <w:pPr>
        <w:rPr>
          <w:rFonts w:cs="Arial"/>
        </w:rPr>
      </w:pPr>
      <w:r w:rsidRPr="000A6B51">
        <w:rPr>
          <w:rFonts w:cs="Arial"/>
        </w:rPr>
        <w:t>Pre- and post-bronchodilator spirometry is a first line test to confirm airflow limitation in patients over 5 years of age who present with respiratory symptoms suggestive of asthma or COPD.</w:t>
      </w:r>
      <w:r w:rsidR="00A403FC">
        <w:rPr>
          <w:rFonts w:cs="Arial"/>
        </w:rPr>
        <w:t xml:space="preserve"> </w:t>
      </w:r>
      <w:r w:rsidRPr="000A6B51">
        <w:rPr>
          <w:rFonts w:cs="Arial"/>
        </w:rPr>
        <w:t>Item 11506 requires operator skill and minimum 20 minutes time, and the MBS fee should be revised to reflect this and increased to incentivise testing. The item should be available in all care settings with a frequency of one test in a 12-month period.</w:t>
      </w:r>
      <w:r w:rsidR="00A403FC">
        <w:rPr>
          <w:rFonts w:cs="Arial"/>
        </w:rPr>
        <w:t xml:space="preserve"> </w:t>
      </w:r>
      <w:r w:rsidRPr="000A6B51">
        <w:rPr>
          <w:rFonts w:cs="Arial"/>
        </w:rPr>
        <w:t>As this is diagnostic test, interval limits are reasonable and it should be payable once in 12 months.</w:t>
      </w:r>
      <w:r w:rsidR="00A403FC">
        <w:rPr>
          <w:rFonts w:cs="Arial"/>
        </w:rPr>
        <w:t xml:space="preserve"> </w:t>
      </w:r>
    </w:p>
    <w:p w14:paraId="62AB721C" w14:textId="77777777" w:rsidR="00597E1B" w:rsidRPr="000A6B51" w:rsidRDefault="00597E1B" w:rsidP="00DA2B53">
      <w:pPr>
        <w:pStyle w:val="Heading4"/>
      </w:pPr>
      <w:r w:rsidRPr="000A6B51">
        <w:t xml:space="preserve">New MBS item for pre </w:t>
      </w:r>
      <w:r w:rsidRPr="000A6B51">
        <w:rPr>
          <w:u w:val="single"/>
        </w:rPr>
        <w:t>or</w:t>
      </w:r>
      <w:r w:rsidRPr="000A6B51">
        <w:t xml:space="preserve"> post bronchodilator spirometry </w:t>
      </w:r>
    </w:p>
    <w:p w14:paraId="66457BB4" w14:textId="77777777" w:rsidR="000A6B51" w:rsidRPr="000A6B51" w:rsidRDefault="000A6B51" w:rsidP="00F56E64">
      <w:r w:rsidRPr="000A6B51">
        <w:t xml:space="preserve">A new MBS item should be introduced to reimburse the use of pre </w:t>
      </w:r>
      <w:r w:rsidRPr="000A6B51">
        <w:rPr>
          <w:u w:val="single"/>
        </w:rPr>
        <w:t>or</w:t>
      </w:r>
      <w:r w:rsidRPr="000A6B51">
        <w:t xml:space="preserve"> post bronchodilator spirometry for diagnosis of COPD; assessment of acute exacerbations of asthma but not COPD; and long term monitoring of both asthma and COPD. Although not the subject of specific evidence review, the Committee recommends that this new service be available for the assessment of other causes of obstructive lung diseases and restrictive lung disease. This new service should have no interval limits because of the variable use in practice. A fee of $20.00 has been proposed and the current volume of testing and likely utilisation is unknown, although it is likely that some current 11506 claims would transfer to this test.</w:t>
      </w:r>
    </w:p>
    <w:p w14:paraId="12A798F0" w14:textId="77777777" w:rsidR="000A6B51" w:rsidRPr="000A6B51" w:rsidRDefault="000A6B51" w:rsidP="00DA2B53">
      <w:pPr>
        <w:pStyle w:val="Heading4"/>
      </w:pPr>
      <w:r w:rsidRPr="000A6B51">
        <w:t>Enhance quality of spirometry services</w:t>
      </w:r>
    </w:p>
    <w:p w14:paraId="42A2DBEB" w14:textId="77777777" w:rsidR="000A6B51" w:rsidRPr="000A6B51" w:rsidRDefault="000A6B51" w:rsidP="00F56E64">
      <w:r w:rsidRPr="000A6B51">
        <w:t>To enhance quality, all spirometry services should have a requirement that at least three expiratory manoeuvres that meet acceptable and repeatable criteria are necessary per test and that the results of testing should be recorded and a record retained.</w:t>
      </w:r>
    </w:p>
    <w:p w14:paraId="7CDBB111" w14:textId="77777777" w:rsidR="00B76E12" w:rsidRDefault="000A6B51" w:rsidP="00F56E64">
      <w:r w:rsidRPr="000A6B51">
        <w:t xml:space="preserve">Spirometry billed under item 11512 should be performed in a laboratory that is equipped to perform a minimum range of respiratory function tests to distinguish this service from office based spirometry. </w:t>
      </w:r>
      <w:r w:rsidR="00B76E12">
        <w:br w:type="page"/>
      </w:r>
    </w:p>
    <w:p w14:paraId="1324CC32" w14:textId="77777777" w:rsidR="000A6B51" w:rsidRPr="000A6B51" w:rsidRDefault="000A6B51" w:rsidP="00F56E64">
      <w:r w:rsidRPr="000A6B51">
        <w:lastRenderedPageBreak/>
        <w:t>The Committee rejected proposals to:</w:t>
      </w:r>
    </w:p>
    <w:p w14:paraId="05BA46C0" w14:textId="77777777" w:rsidR="000A6B51" w:rsidRPr="002B460A" w:rsidRDefault="000A6B51" w:rsidP="002B460A">
      <w:pPr>
        <w:pStyle w:val="NormalBulleted"/>
      </w:pPr>
      <w:r w:rsidRPr="000A6B51">
        <w:t xml:space="preserve">Restrict </w:t>
      </w:r>
      <w:r w:rsidRPr="002B460A">
        <w:t>the proposal for a higher fee for pre- and post-bronchodilator spirometry to the primary care setting.</w:t>
      </w:r>
    </w:p>
    <w:p w14:paraId="5638EA26" w14:textId="77777777" w:rsidR="009F523D" w:rsidRDefault="000A6B51" w:rsidP="002B460A">
      <w:pPr>
        <w:pStyle w:val="NormalBulleted"/>
      </w:pPr>
      <w:r w:rsidRPr="002B460A">
        <w:t>Introduce testing frequency intervals for the monitoring of asthma and COPD.</w:t>
      </w:r>
      <w:r w:rsidR="00A403FC">
        <w:t xml:space="preserve"> </w:t>
      </w:r>
      <w:r w:rsidRPr="002B460A">
        <w:t>It was flagged with the Committee that a lack of restrictions on the number of services would risk a high volume of testing without a clear link to clinical benefit and very uncertain estimates of future MBS expenditure.</w:t>
      </w:r>
      <w:r w:rsidR="00A403FC">
        <w:t xml:space="preserve"> </w:t>
      </w:r>
      <w:r w:rsidRPr="002B460A">
        <w:t>The consumer representative expressed concern that a restriction may mean that the cost of additional testing would be passed onto consumers. Conversely, as less complex spirometry is not currently reimbursed, it may be that currently the testing is performed without explicit charge to patients. A new MBS item may expose patients to out of pocket expense, where</w:t>
      </w:r>
      <w:r w:rsidRPr="00F56E64">
        <w:t xml:space="preserve"> none exists now, particularly in primary care or specialist practice where bulk billing rates are low. </w:t>
      </w:r>
    </w:p>
    <w:p w14:paraId="607B88B2" w14:textId="77777777" w:rsidR="0033725A" w:rsidRDefault="009F523D" w:rsidP="00DF2610">
      <w:pPr>
        <w:pStyle w:val="Rec"/>
      </w:pPr>
      <w:bookmarkStart w:id="104" w:name="_Toc458509993"/>
      <w:bookmarkStart w:id="105" w:name="_Toc458768461"/>
      <w:bookmarkStart w:id="106" w:name="_Toc458768641"/>
      <w:bookmarkStart w:id="107" w:name="_Toc478721501"/>
      <w:r>
        <w:t>S</w:t>
      </w:r>
      <w:r w:rsidR="0033725A" w:rsidRPr="0033725A">
        <w:t>pirometry</w:t>
      </w:r>
      <w:bookmarkEnd w:id="104"/>
      <w:bookmarkEnd w:id="105"/>
      <w:bookmarkEnd w:id="106"/>
      <w:bookmarkEnd w:id="107"/>
    </w:p>
    <w:p w14:paraId="7E380D25" w14:textId="77777777" w:rsidR="00B76E12" w:rsidRPr="0033725A" w:rsidRDefault="00B76E12" w:rsidP="00B76E12">
      <w:r>
        <w:t>The Committee recommends amendments to item 11506 as follows</w:t>
      </w:r>
      <w:r w:rsidR="004944BB">
        <w:t>:</w:t>
      </w:r>
    </w:p>
    <w:p w14:paraId="475D47A4" w14:textId="77777777" w:rsidR="00B76E12" w:rsidRPr="00B76E12" w:rsidRDefault="00B76E12" w:rsidP="00B76E12">
      <w:pPr>
        <w:pBdr>
          <w:top w:val="single" w:sz="4" w:space="1" w:color="984806"/>
        </w:pBdr>
        <w:rPr>
          <w:b/>
          <w:lang w:val="en-US"/>
        </w:rPr>
      </w:pPr>
      <w:bookmarkStart w:id="108" w:name="_Toc457450648"/>
      <w:r w:rsidRPr="00B76E12">
        <w:rPr>
          <w:b/>
          <w:lang w:val="en-US"/>
        </w:rPr>
        <w:t>Current Item Descriptor</w:t>
      </w:r>
    </w:p>
    <w:p w14:paraId="60923A83" w14:textId="77777777" w:rsidR="00B76E12" w:rsidRDefault="00B76E12" w:rsidP="00B76E12">
      <w:pPr>
        <w:rPr>
          <w:lang w:val="en-US"/>
        </w:rPr>
      </w:pPr>
      <w:r>
        <w:rPr>
          <w:lang w:val="en-US"/>
        </w:rPr>
        <w:t>MEA</w:t>
      </w:r>
      <w:r w:rsidRPr="00D86FE4">
        <w:rPr>
          <w:lang w:val="en-US"/>
        </w:rPr>
        <w:t>SUREMENT OF RESPIRATORY FUNCTION involving a permanently recorded tracing performed before and after inhalation of bronchodilator - each occasion at which 1 o</w:t>
      </w:r>
      <w:r>
        <w:rPr>
          <w:lang w:val="en-US"/>
        </w:rPr>
        <w:t>r more such tests are performed</w:t>
      </w:r>
    </w:p>
    <w:p w14:paraId="64DBAEEB" w14:textId="77777777" w:rsidR="00B76E12" w:rsidRDefault="00B76E12" w:rsidP="00B76E12">
      <w:pPr>
        <w:rPr>
          <w:lang w:val="en-US"/>
        </w:rPr>
      </w:pPr>
      <w:r w:rsidRPr="00B76E12">
        <w:rPr>
          <w:b/>
          <w:lang w:val="en-US"/>
        </w:rPr>
        <w:t>Fee</w:t>
      </w:r>
      <w:r w:rsidRPr="00D86FE4">
        <w:rPr>
          <w:lang w:val="en-US"/>
        </w:rPr>
        <w:t>: $20.55</w:t>
      </w:r>
    </w:p>
    <w:p w14:paraId="5AD26CD3" w14:textId="77777777" w:rsidR="00B76E12" w:rsidRDefault="00B76E12" w:rsidP="00B76E12">
      <w:pPr>
        <w:rPr>
          <w:lang w:val="en-US"/>
        </w:rPr>
      </w:pPr>
      <w:r w:rsidRPr="00B76E12">
        <w:rPr>
          <w:b/>
          <w:lang w:val="en-US"/>
        </w:rPr>
        <w:t>Benefit</w:t>
      </w:r>
      <w:r w:rsidRPr="00D86FE4">
        <w:rPr>
          <w:lang w:val="en-US"/>
        </w:rPr>
        <w:t>: 75% = $15.45</w:t>
      </w:r>
      <w:r>
        <w:rPr>
          <w:lang w:val="en-US"/>
        </w:rPr>
        <w:t>;</w:t>
      </w:r>
      <w:r w:rsidRPr="00D86FE4">
        <w:rPr>
          <w:lang w:val="en-US"/>
        </w:rPr>
        <w:t xml:space="preserve"> 85% = $17.50</w:t>
      </w:r>
    </w:p>
    <w:p w14:paraId="55A5B35E" w14:textId="77777777" w:rsidR="00B76E12" w:rsidRPr="00B76E12" w:rsidRDefault="00B76E12" w:rsidP="009936F3">
      <w:pPr>
        <w:rPr>
          <w:b/>
          <w:lang w:val="en-US"/>
        </w:rPr>
      </w:pPr>
      <w:r w:rsidRPr="00B76E12">
        <w:rPr>
          <w:b/>
          <w:lang w:val="en-US"/>
        </w:rPr>
        <w:t>Proposed new Item Descriptor</w:t>
      </w:r>
    </w:p>
    <w:p w14:paraId="50DEF962" w14:textId="77777777" w:rsidR="00B76E12" w:rsidRPr="00D86FE4" w:rsidRDefault="00B76E12" w:rsidP="00B76E12">
      <w:pPr>
        <w:rPr>
          <w:lang w:val="en-US"/>
        </w:rPr>
      </w:pPr>
      <w:r w:rsidRPr="00D86FE4">
        <w:rPr>
          <w:lang w:val="en-US"/>
        </w:rPr>
        <w:t>MEASUREMENT OF SPIROMETRY involving a permanently recorded tracing performed before and after inhalation of bronchodilator to confirm diagnosis of asthma, COPD or oth</w:t>
      </w:r>
      <w:r>
        <w:rPr>
          <w:lang w:val="en-US"/>
        </w:rPr>
        <w:t>er causes of airflow limitation - e</w:t>
      </w:r>
      <w:r w:rsidRPr="00D86FE4">
        <w:rPr>
          <w:lang w:val="en-US"/>
        </w:rPr>
        <w:t>ach occasion at which three or more recordings that meet acceptable and repeatable criteria, are performed</w:t>
      </w:r>
    </w:p>
    <w:p w14:paraId="15121572" w14:textId="77777777" w:rsidR="00B76E12" w:rsidRDefault="00B76E12" w:rsidP="00B76E12">
      <w:pPr>
        <w:rPr>
          <w:lang w:val="en-US"/>
        </w:rPr>
      </w:pPr>
      <w:r w:rsidRPr="00D86FE4">
        <w:rPr>
          <w:lang w:val="en-US"/>
        </w:rPr>
        <w:t>Payable once in 12 months.</w:t>
      </w:r>
    </w:p>
    <w:p w14:paraId="71CD7F04" w14:textId="77777777" w:rsidR="00B76E12" w:rsidRDefault="00B76E12" w:rsidP="00B76E12">
      <w:pPr>
        <w:rPr>
          <w:lang w:val="en-US"/>
        </w:rPr>
      </w:pPr>
      <w:r w:rsidRPr="00D86FE4">
        <w:rPr>
          <w:b/>
          <w:lang w:val="en-US"/>
        </w:rPr>
        <w:t>Fee:</w:t>
      </w:r>
      <w:r w:rsidRPr="00D86FE4">
        <w:rPr>
          <w:lang w:val="en-US"/>
        </w:rPr>
        <w:t xml:space="preserve"> $40-45</w:t>
      </w:r>
    </w:p>
    <w:p w14:paraId="738EBD07" w14:textId="77777777" w:rsidR="00B76E12" w:rsidRPr="00D86FE4" w:rsidRDefault="00B76E12" w:rsidP="00B76E12">
      <w:pPr>
        <w:pBdr>
          <w:bottom w:val="single" w:sz="4" w:space="1" w:color="984806"/>
        </w:pBdr>
        <w:rPr>
          <w:lang w:val="en-US"/>
        </w:rPr>
      </w:pPr>
      <w:r w:rsidRPr="00D86FE4">
        <w:rPr>
          <w:b/>
          <w:lang w:val="en-US"/>
        </w:rPr>
        <w:t>Benefit:</w:t>
      </w:r>
      <w:r w:rsidRPr="00D86FE4">
        <w:rPr>
          <w:lang w:val="en-US"/>
        </w:rPr>
        <w:t xml:space="preserve"> 75% = $TBC</w:t>
      </w:r>
      <w:r>
        <w:rPr>
          <w:lang w:val="en-US"/>
        </w:rPr>
        <w:t xml:space="preserve">; </w:t>
      </w:r>
      <w:r w:rsidRPr="00D86FE4">
        <w:rPr>
          <w:lang w:val="en-US"/>
        </w:rPr>
        <w:t>85% = $TBC</w:t>
      </w:r>
    </w:p>
    <w:p w14:paraId="45F6AA0E" w14:textId="77777777" w:rsidR="00B76E12" w:rsidRDefault="00B76E12" w:rsidP="009936F3">
      <w:bookmarkStart w:id="109" w:name="_Toc457450649"/>
      <w:bookmarkEnd w:id="108"/>
      <w:r>
        <w:t xml:space="preserve">The Committee recommends a new </w:t>
      </w:r>
      <w:r w:rsidRPr="00B76E12">
        <w:t xml:space="preserve">item descriptor for </w:t>
      </w:r>
      <w:r w:rsidR="00512444">
        <w:t xml:space="preserve">a </w:t>
      </w:r>
      <w:r w:rsidRPr="00B76E12">
        <w:t>new spirometry item</w:t>
      </w:r>
      <w:r>
        <w:t xml:space="preserve"> as follows</w:t>
      </w:r>
      <w:r w:rsidR="004944BB">
        <w:t>:</w:t>
      </w:r>
    </w:p>
    <w:p w14:paraId="22E6C64F" w14:textId="77777777" w:rsidR="00B76E12" w:rsidRDefault="00B76E12" w:rsidP="009936F3">
      <w:pPr>
        <w:pBdr>
          <w:top w:val="single" w:sz="4" w:space="1" w:color="984806"/>
        </w:pBdr>
      </w:pPr>
      <w:r>
        <w:rPr>
          <w:b/>
          <w:bCs/>
          <w:lang w:val="en-US"/>
        </w:rPr>
        <w:t>Proposed new item d</w:t>
      </w:r>
      <w:r w:rsidRPr="002378DB">
        <w:rPr>
          <w:b/>
          <w:bCs/>
          <w:lang w:val="en-US"/>
        </w:rPr>
        <w:t>escriptor</w:t>
      </w:r>
      <w:r w:rsidRPr="00700528" w:rsidDel="00B76E12">
        <w:t xml:space="preserve"> </w:t>
      </w:r>
    </w:p>
    <w:p w14:paraId="0A529BC5" w14:textId="77777777" w:rsidR="00B76E12" w:rsidRPr="00D86FE4" w:rsidRDefault="00B76E12" w:rsidP="00B76E12">
      <w:pPr>
        <w:widowControl w:val="0"/>
        <w:autoSpaceDE w:val="0"/>
        <w:autoSpaceDN w:val="0"/>
        <w:adjustRightInd w:val="0"/>
        <w:spacing w:before="40" w:after="40" w:line="288" w:lineRule="auto"/>
        <w:rPr>
          <w:bCs/>
          <w:lang w:val="en-US"/>
        </w:rPr>
      </w:pPr>
      <w:r w:rsidRPr="00A403FC">
        <w:t>ME</w:t>
      </w:r>
      <w:r w:rsidRPr="00D86FE4">
        <w:rPr>
          <w:bCs/>
          <w:lang w:val="en-US"/>
        </w:rPr>
        <w:t xml:space="preserve">ASUREMENT OF SPIROMETRY involving a permanently recorded tracing, performed before </w:t>
      </w:r>
      <w:r w:rsidRPr="0006538F">
        <w:rPr>
          <w:bCs/>
          <w:lang w:val="en-US"/>
        </w:rPr>
        <w:t>OR</w:t>
      </w:r>
      <w:r w:rsidRPr="00D86FE4">
        <w:rPr>
          <w:bCs/>
          <w:lang w:val="en-US"/>
        </w:rPr>
        <w:t xml:space="preserve"> after inhalation of bronchodilator to</w:t>
      </w:r>
    </w:p>
    <w:p w14:paraId="1E2E8A98" w14:textId="77777777" w:rsidR="00B76E12" w:rsidRPr="00FC6871" w:rsidRDefault="00B76E12" w:rsidP="00927463">
      <w:pPr>
        <w:pStyle w:val="Numbering"/>
        <w:numPr>
          <w:ilvl w:val="1"/>
          <w:numId w:val="67"/>
        </w:numPr>
      </w:pPr>
      <w:r>
        <w:t xml:space="preserve">confirm </w:t>
      </w:r>
      <w:r w:rsidRPr="00FC6871">
        <w:t xml:space="preserve">diagnosis of COPD </w:t>
      </w:r>
    </w:p>
    <w:p w14:paraId="7A879B45" w14:textId="77777777" w:rsidR="00B76E12" w:rsidRPr="00FC6871" w:rsidRDefault="00B76E12" w:rsidP="00927463">
      <w:pPr>
        <w:pStyle w:val="Numbering"/>
        <w:numPr>
          <w:ilvl w:val="1"/>
          <w:numId w:val="67"/>
        </w:numPr>
      </w:pPr>
      <w:r w:rsidRPr="00FC6871">
        <w:t>assess acute exacerbations of asthma</w:t>
      </w:r>
    </w:p>
    <w:p w14:paraId="3F5C8CCB" w14:textId="77777777" w:rsidR="00B76E12" w:rsidRPr="00FC6871" w:rsidRDefault="00B76E12" w:rsidP="00927463">
      <w:pPr>
        <w:pStyle w:val="Numbering"/>
        <w:numPr>
          <w:ilvl w:val="1"/>
          <w:numId w:val="67"/>
        </w:numPr>
      </w:pPr>
      <w:r w:rsidRPr="00FC6871">
        <w:lastRenderedPageBreak/>
        <w:t>monitor asthma and COPD.</w:t>
      </w:r>
    </w:p>
    <w:p w14:paraId="5C9222C8" w14:textId="77777777" w:rsidR="00CE1D83" w:rsidRDefault="00B76E12" w:rsidP="00927463">
      <w:pPr>
        <w:pStyle w:val="Numbering"/>
        <w:numPr>
          <w:ilvl w:val="1"/>
          <w:numId w:val="67"/>
        </w:numPr>
      </w:pPr>
      <w:r w:rsidRPr="00FC6871">
        <w:t>assess other causes</w:t>
      </w:r>
      <w:r w:rsidRPr="00B76E12">
        <w:t xml:space="preserve"> of obstructive lung disease or the presence of restrictive lung disease </w:t>
      </w:r>
    </w:p>
    <w:p w14:paraId="6D4D4718" w14:textId="77777777" w:rsidR="00B76E12" w:rsidRPr="00B76E12" w:rsidRDefault="00B76E12" w:rsidP="004C7889">
      <w:r w:rsidRPr="00B76E12">
        <w:t>- each occasion at which three or more spirometry recordings are performed.</w:t>
      </w:r>
    </w:p>
    <w:p w14:paraId="48AD47E6" w14:textId="77777777" w:rsidR="00B76E12" w:rsidRDefault="00B76E12" w:rsidP="00CE1D83">
      <w:pPr>
        <w:rPr>
          <w:lang w:val="en-US"/>
        </w:rPr>
      </w:pPr>
      <w:r w:rsidRPr="00EF3067">
        <w:rPr>
          <w:b/>
          <w:lang w:val="en-US"/>
        </w:rPr>
        <w:t>Fee:</w:t>
      </w:r>
      <w:r w:rsidRPr="00D86FE4">
        <w:rPr>
          <w:lang w:val="en-US"/>
        </w:rPr>
        <w:t xml:space="preserve"> $20</w:t>
      </w:r>
    </w:p>
    <w:p w14:paraId="3AAC16DA" w14:textId="77777777" w:rsidR="00B76E12" w:rsidRDefault="00B76E12" w:rsidP="00CE1D83">
      <w:pPr>
        <w:pBdr>
          <w:bottom w:val="single" w:sz="4" w:space="1" w:color="984806"/>
        </w:pBdr>
        <w:rPr>
          <w:lang w:val="en-US"/>
        </w:rPr>
      </w:pPr>
      <w:r w:rsidRPr="004E6087">
        <w:rPr>
          <w:b/>
          <w:lang w:val="en-US"/>
        </w:rPr>
        <w:t>Benefit:</w:t>
      </w:r>
      <w:r w:rsidRPr="00D86FE4">
        <w:rPr>
          <w:lang w:val="en-US"/>
        </w:rPr>
        <w:t xml:space="preserve"> 75% = $15</w:t>
      </w:r>
      <w:r>
        <w:rPr>
          <w:lang w:val="en-US"/>
        </w:rPr>
        <w:t xml:space="preserve">; </w:t>
      </w:r>
      <w:r w:rsidRPr="00D86FE4">
        <w:rPr>
          <w:lang w:val="en-US"/>
        </w:rPr>
        <w:t>85% = $17</w:t>
      </w:r>
    </w:p>
    <w:p w14:paraId="76F569EE" w14:textId="77777777" w:rsidR="00B76E12" w:rsidRDefault="00B76E12" w:rsidP="00512444">
      <w:r w:rsidRPr="005B0B59">
        <w:t>The Committee ha</w:t>
      </w:r>
      <w:r>
        <w:t>s</w:t>
      </w:r>
      <w:r w:rsidRPr="005B0B59">
        <w:t xml:space="preserve"> proposed the following changes to</w:t>
      </w:r>
      <w:r>
        <w:t xml:space="preserve"> the descriptor for</w:t>
      </w:r>
      <w:r w:rsidRPr="005B0B59">
        <w:t xml:space="preserve"> item</w:t>
      </w:r>
      <w:r>
        <w:t xml:space="preserve"> 11512</w:t>
      </w:r>
      <w:r w:rsidR="004944BB">
        <w:t>:</w:t>
      </w:r>
    </w:p>
    <w:p w14:paraId="3FEDCD44" w14:textId="77777777" w:rsidR="00B76E12" w:rsidRDefault="00B76E12" w:rsidP="00512444">
      <w:pPr>
        <w:pBdr>
          <w:top w:val="single" w:sz="4" w:space="1" w:color="984806"/>
        </w:pBdr>
        <w:rPr>
          <w:b/>
          <w:bCs/>
          <w:lang w:val="en-US"/>
        </w:rPr>
      </w:pPr>
      <w:r w:rsidRPr="002378DB">
        <w:rPr>
          <w:b/>
          <w:bCs/>
          <w:lang w:val="en-US"/>
        </w:rPr>
        <w:t>Current Item Descriptor</w:t>
      </w:r>
    </w:p>
    <w:p w14:paraId="20E882A5" w14:textId="77777777" w:rsidR="00B76E12" w:rsidRDefault="00B76E12" w:rsidP="00512444">
      <w:pPr>
        <w:rPr>
          <w:lang w:val="en-US"/>
        </w:rPr>
      </w:pPr>
      <w:r w:rsidRPr="00EF3067">
        <w:rPr>
          <w:lang w:val="en-US"/>
        </w:rPr>
        <w:t>CONTINUOUS MEASUREMENT OF THE RELATIONSHIP BETWEEN FLOW AND VOLUME DURING EXPIRATION OR INSPIRATION involving a permanently recorded tracing and written report, performed before and after inhalation of bronchodilator, with continuous technician attendance in a laboratory equipped to perform complex lung function tests</w:t>
      </w:r>
      <w:r>
        <w:rPr>
          <w:lang w:val="en-US"/>
        </w:rPr>
        <w:t xml:space="preserve"> </w:t>
      </w:r>
      <w:r w:rsidRPr="00EF3067">
        <w:rPr>
          <w:lang w:val="en-US"/>
        </w:rPr>
        <w:t>(the tests being performed under the supervision of a specialist or consultant physician or in the respiratory laboratory of a hospital) - each occasion at which 1 or more such tests are perf</w:t>
      </w:r>
      <w:r>
        <w:rPr>
          <w:lang w:val="en-US"/>
        </w:rPr>
        <w:t>ormed.</w:t>
      </w:r>
    </w:p>
    <w:p w14:paraId="12E8BEB9" w14:textId="77777777" w:rsidR="00B76E12" w:rsidRPr="00EF3067" w:rsidRDefault="00B76E12" w:rsidP="00512444">
      <w:pPr>
        <w:rPr>
          <w:lang w:val="en-US"/>
        </w:rPr>
      </w:pPr>
      <w:r w:rsidRPr="00EF3067">
        <w:rPr>
          <w:b/>
          <w:lang w:val="en-US"/>
        </w:rPr>
        <w:t>Fee:</w:t>
      </w:r>
      <w:r w:rsidRPr="00EF3067">
        <w:rPr>
          <w:lang w:val="en-US"/>
        </w:rPr>
        <w:t xml:space="preserve"> $61.75</w:t>
      </w:r>
    </w:p>
    <w:p w14:paraId="05E97D54" w14:textId="77777777" w:rsidR="00B76E12" w:rsidRDefault="00B76E12" w:rsidP="00B76E12">
      <w:pPr>
        <w:rPr>
          <w:lang w:val="en-US"/>
        </w:rPr>
      </w:pPr>
      <w:r w:rsidRPr="00EF3067">
        <w:rPr>
          <w:b/>
          <w:lang w:val="en-US"/>
        </w:rPr>
        <w:t>Benefit:</w:t>
      </w:r>
      <w:r w:rsidRPr="00EF3067">
        <w:rPr>
          <w:lang w:val="en-US"/>
        </w:rPr>
        <w:t xml:space="preserve"> 75% = $46.35</w:t>
      </w:r>
      <w:r>
        <w:rPr>
          <w:lang w:val="en-US"/>
        </w:rPr>
        <w:t xml:space="preserve"> </w:t>
      </w:r>
      <w:r w:rsidRPr="00EF3067">
        <w:rPr>
          <w:lang w:val="en-US"/>
        </w:rPr>
        <w:t>85% = $52.50</w:t>
      </w:r>
    </w:p>
    <w:p w14:paraId="6979A2E1" w14:textId="77777777" w:rsidR="00B76E12" w:rsidRPr="00512444" w:rsidRDefault="00B76E12" w:rsidP="00B76E12">
      <w:pPr>
        <w:rPr>
          <w:b/>
          <w:lang w:val="en-US"/>
        </w:rPr>
      </w:pPr>
      <w:r w:rsidRPr="00B76E12">
        <w:rPr>
          <w:b/>
          <w:lang w:val="en-US"/>
        </w:rPr>
        <w:t>Proposed new Item Descriptor</w:t>
      </w:r>
    </w:p>
    <w:p w14:paraId="7A6A87BF" w14:textId="77777777" w:rsidR="00B76E12" w:rsidRPr="00EF3067" w:rsidRDefault="00B76E12" w:rsidP="00512444">
      <w:r w:rsidRPr="00EF3067">
        <w:t>MEASUREMENT OF SPIROMETRY including continuous measurement of the relationship between flow and volume during expiration or during expiration and inspiration, performed before and after inhalation of bronchodilator, which meets the following quality requirements</w:t>
      </w:r>
      <w:r>
        <w:t>:</w:t>
      </w:r>
    </w:p>
    <w:p w14:paraId="63E6ADCF" w14:textId="77777777" w:rsidR="00B76E12" w:rsidRPr="00BA6A00" w:rsidRDefault="00CE1D83" w:rsidP="004C7889">
      <w:pPr>
        <w:pStyle w:val="Numbering"/>
      </w:pPr>
      <w:r>
        <w:t>1.</w:t>
      </w:r>
      <w:r>
        <w:tab/>
      </w:r>
      <w:r w:rsidR="00B76E12" w:rsidRPr="00CE1D83">
        <w:t xml:space="preserve">continuous </w:t>
      </w:r>
      <w:r w:rsidR="00B76E12" w:rsidRPr="00BA6A00">
        <w:t xml:space="preserve">technician attendance in a respiratory laboratory equipped to perform complex lung function tests </w:t>
      </w:r>
    </w:p>
    <w:p w14:paraId="23A6CF1E" w14:textId="77777777" w:rsidR="00B76E12" w:rsidRPr="00EF3067" w:rsidRDefault="00CE1D83" w:rsidP="004C7889">
      <w:pPr>
        <w:pStyle w:val="Numbering"/>
      </w:pPr>
      <w:r w:rsidRPr="00BA6A00">
        <w:t>2.</w:t>
      </w:r>
      <w:r w:rsidRPr="00BA6A00">
        <w:tab/>
      </w:r>
      <w:r w:rsidR="00B76E12" w:rsidRPr="00BA6A00">
        <w:t>the test is performed</w:t>
      </w:r>
      <w:r w:rsidR="00B76E12" w:rsidRPr="00CE1D83">
        <w:t xml:space="preserve"> under the supervision of a consultant physician practising respiratory medicine who is responsible</w:t>
      </w:r>
      <w:r w:rsidR="00B76E12" w:rsidRPr="00EF3067">
        <w:t xml:space="preserve"> for staff training, supervision , quality assurance and the issuing of written reports </w:t>
      </w:r>
    </w:p>
    <w:p w14:paraId="51648179" w14:textId="77777777" w:rsidR="00B76E12" w:rsidRPr="00F20F9A" w:rsidRDefault="00B76E12" w:rsidP="00F20F9A">
      <w:pPr>
        <w:pStyle w:val="NormalBulleted"/>
      </w:pPr>
      <w:r w:rsidRPr="00F20F9A">
        <w:t>a permanently recorded tracing and written report is provided</w:t>
      </w:r>
    </w:p>
    <w:p w14:paraId="17C7D50D" w14:textId="77777777" w:rsidR="00B76E12" w:rsidRPr="00EF3067" w:rsidRDefault="00B76E12" w:rsidP="00F20F9A">
      <w:pPr>
        <w:pStyle w:val="NormalBulleted"/>
      </w:pPr>
      <w:r w:rsidRPr="00AF21E7">
        <w:t>three o</w:t>
      </w:r>
      <w:r w:rsidRPr="00EF3067">
        <w:t>r more spirometry</w:t>
      </w:r>
      <w:r>
        <w:t xml:space="preserve"> </w:t>
      </w:r>
      <w:r w:rsidRPr="00EF3067">
        <w:t>recordings are performed</w:t>
      </w:r>
    </w:p>
    <w:p w14:paraId="6845223F" w14:textId="77777777" w:rsidR="00B76E12" w:rsidRPr="00EF3067" w:rsidRDefault="00B76E12" w:rsidP="00B76E12">
      <w:r w:rsidRPr="00EF3067">
        <w:t>Each occasion at which 1 or more such tests are performed, not being a service associated with a service to which items 11503, new item (spirometry plus FeNO) or 22018 applies</w:t>
      </w:r>
    </w:p>
    <w:p w14:paraId="3F3FB283" w14:textId="77777777" w:rsidR="00B76E12" w:rsidRDefault="00B76E12" w:rsidP="00B76E12">
      <w:r w:rsidRPr="00EF3067">
        <w:rPr>
          <w:b/>
        </w:rPr>
        <w:t>Fee:</w:t>
      </w:r>
      <w:r w:rsidRPr="00EF3067">
        <w:t xml:space="preserve"> $61.75</w:t>
      </w:r>
    </w:p>
    <w:p w14:paraId="09B02D73" w14:textId="77777777" w:rsidR="00B76E12" w:rsidRPr="00B76E12" w:rsidRDefault="00B76E12" w:rsidP="00B76E12">
      <w:pPr>
        <w:pBdr>
          <w:bottom w:val="single" w:sz="4" w:space="1" w:color="984806"/>
        </w:pBdr>
      </w:pPr>
      <w:r w:rsidRPr="00EF3067">
        <w:rPr>
          <w:b/>
        </w:rPr>
        <w:t>Benefit:</w:t>
      </w:r>
      <w:r w:rsidRPr="00EF3067">
        <w:t xml:space="preserve"> 75% = $46.35</w:t>
      </w:r>
      <w:r w:rsidRPr="00D86FE4">
        <w:rPr>
          <w:lang w:val="en-US"/>
        </w:rPr>
        <w:tab/>
      </w:r>
      <w:r w:rsidRPr="00EF3067">
        <w:t>85% = $52.50</w:t>
      </w:r>
    </w:p>
    <w:p w14:paraId="46CC50CB" w14:textId="77777777" w:rsidR="00512444" w:rsidRDefault="00512444" w:rsidP="00512444">
      <w:bookmarkStart w:id="110" w:name="_Toc452990618"/>
      <w:bookmarkStart w:id="111" w:name="_Ref457454058"/>
      <w:bookmarkStart w:id="112" w:name="_Toc457450650"/>
      <w:bookmarkEnd w:id="109"/>
      <w:r>
        <w:t>Proposed explanatory notes for items 11506, 11512 and the new item</w:t>
      </w:r>
      <w:r w:rsidRPr="00700528">
        <w:t xml:space="preserve"> </w:t>
      </w:r>
      <w:r>
        <w:t>are as follows:</w:t>
      </w:r>
    </w:p>
    <w:p w14:paraId="2744688B" w14:textId="77777777" w:rsidR="00DF2610" w:rsidRDefault="00512444" w:rsidP="003217D9">
      <w:pPr>
        <w:pStyle w:val="NormalBulleted"/>
        <w:pBdr>
          <w:bottom w:val="single" w:sz="4" w:space="1" w:color="984806"/>
        </w:pBdr>
      </w:pPr>
      <w:r w:rsidRPr="00512444">
        <w:lastRenderedPageBreak/>
        <w:t>The Australian Asthma Handbook (2015) and Lung Foundation Australia (2015) COPD-X guidelines advise that properly performed spirometry is required to confirm airflow limitation and the diagnosis of asthma and/or COPD. Reversibility testing is the standard required for asthma diagnosis. The diagnosis of COPD is confirmed with post bronchodilator spirometry. Item 11506 should not be repeated when diagnosis has been previously confirmed by properly performed spirometry. To meet quality requirements patients should have three acceptable tests for each testing period (pre/post bronchodilator), and meet repeatability criteria with the best effort recorded. Spirometry should be performed by a person who has undergone training and is qualified to perform it to recommended standards (see AAH and NAC Spirometry Handbook).</w:t>
      </w:r>
      <w:r w:rsidR="00DF2610">
        <w:br w:type="page"/>
      </w:r>
    </w:p>
    <w:p w14:paraId="066B6C73" w14:textId="77777777" w:rsidR="00BC209F" w:rsidRPr="00700528" w:rsidRDefault="00696537" w:rsidP="009F523D">
      <w:pPr>
        <w:pStyle w:val="Heading1"/>
      </w:pPr>
      <w:bookmarkStart w:id="113" w:name="_Ref457144700"/>
      <w:bookmarkStart w:id="114" w:name="_Ref457451033"/>
      <w:bookmarkStart w:id="115" w:name="_Toc458509994"/>
      <w:bookmarkStart w:id="116" w:name="_Toc458768462"/>
      <w:bookmarkStart w:id="117" w:name="_Toc458768642"/>
      <w:bookmarkStart w:id="118" w:name="_Toc478721502"/>
      <w:bookmarkEnd w:id="110"/>
      <w:bookmarkEnd w:id="111"/>
      <w:bookmarkEnd w:id="112"/>
      <w:r>
        <w:lastRenderedPageBreak/>
        <w:t>Complex</w:t>
      </w:r>
      <w:r w:rsidR="00B40829">
        <w:t xml:space="preserve"> respiratory function tests</w:t>
      </w:r>
      <w:bookmarkEnd w:id="113"/>
      <w:bookmarkEnd w:id="114"/>
      <w:bookmarkEnd w:id="115"/>
      <w:bookmarkEnd w:id="116"/>
      <w:bookmarkEnd w:id="117"/>
      <w:bookmarkEnd w:id="118"/>
    </w:p>
    <w:p w14:paraId="622C23FC" w14:textId="77777777" w:rsidR="00BC209F" w:rsidRDefault="00696537" w:rsidP="00F56E64">
      <w:pPr>
        <w:rPr>
          <w:lang w:val="en-US" w:eastAsia="en-US"/>
        </w:rPr>
      </w:pPr>
      <w:r>
        <w:rPr>
          <w:lang w:val="en-US" w:eastAsia="en-US"/>
        </w:rPr>
        <w:t>One</w:t>
      </w:r>
      <w:r w:rsidR="00BC209F">
        <w:rPr>
          <w:lang w:val="en-US" w:eastAsia="en-US"/>
        </w:rPr>
        <w:t xml:space="preserve"> item for </w:t>
      </w:r>
      <w:r>
        <w:rPr>
          <w:lang w:val="en-US" w:eastAsia="en-US"/>
        </w:rPr>
        <w:t>complex</w:t>
      </w:r>
      <w:r w:rsidR="00B40829">
        <w:rPr>
          <w:lang w:val="en-US" w:eastAsia="en-US"/>
        </w:rPr>
        <w:t xml:space="preserve"> respiratory function tests </w:t>
      </w:r>
      <w:r>
        <w:rPr>
          <w:lang w:val="en-US" w:eastAsia="en-US"/>
        </w:rPr>
        <w:t>is</w:t>
      </w:r>
      <w:r w:rsidR="00B40829">
        <w:rPr>
          <w:lang w:val="en-US" w:eastAsia="en-US"/>
        </w:rPr>
        <w:t xml:space="preserve"> </w:t>
      </w:r>
      <w:r w:rsidR="00BC209F" w:rsidRPr="003F1FC3">
        <w:rPr>
          <w:lang w:val="en-US" w:eastAsia="en-US"/>
        </w:rPr>
        <w:t>considered in this section</w:t>
      </w:r>
      <w:r w:rsidR="00BC209F">
        <w:rPr>
          <w:lang w:val="en-US" w:eastAsia="en-US"/>
        </w:rPr>
        <w:t>:</w:t>
      </w:r>
    </w:p>
    <w:p w14:paraId="526D5AD4" w14:textId="77777777" w:rsidR="00B40829" w:rsidRDefault="00B40829" w:rsidP="00B40829">
      <w:pPr>
        <w:pStyle w:val="NormalBulleted"/>
      </w:pPr>
      <w:r w:rsidRPr="00696537">
        <w:rPr>
          <w:b/>
        </w:rPr>
        <w:t>11503</w:t>
      </w:r>
      <w:r w:rsidRPr="00696537">
        <w:t xml:space="preserve"> </w:t>
      </w:r>
      <w:r w:rsidRPr="00696537">
        <w:tab/>
        <w:t>Complex Lung Function Tests</w:t>
      </w:r>
    </w:p>
    <w:p w14:paraId="48426084" w14:textId="77777777" w:rsidR="00BB4881" w:rsidRDefault="00BB4881" w:rsidP="009F523D">
      <w:pPr>
        <w:pStyle w:val="Heading2"/>
      </w:pPr>
      <w:bookmarkStart w:id="119" w:name="_Toc458509995"/>
      <w:bookmarkStart w:id="120" w:name="_Toc458768463"/>
      <w:bookmarkStart w:id="121" w:name="_Toc458768643"/>
      <w:bookmarkStart w:id="122" w:name="_Toc478721503"/>
      <w:r>
        <w:t>Item 11503 – Complex respiratory function tests</w:t>
      </w:r>
      <w:bookmarkEnd w:id="119"/>
      <w:bookmarkEnd w:id="120"/>
      <w:bookmarkEnd w:id="121"/>
      <w:bookmarkEnd w:id="122"/>
    </w:p>
    <w:p w14:paraId="357D7834" w14:textId="77777777" w:rsidR="00BB4881" w:rsidRDefault="00BB4881" w:rsidP="00F56E64">
      <w:r>
        <w:t xml:space="preserve">Item 11503 provides for more </w:t>
      </w:r>
      <w:r w:rsidRPr="003A18EF">
        <w:t xml:space="preserve">complex respiratory function tests that are performed in a respiratory laboratory under the supervision of a specialist. The list of tests rebated under this item have changed over time and the current list was proposed by the Thoracic </w:t>
      </w:r>
      <w:r w:rsidRPr="000835C0">
        <w:t>Society of Australia and New Zealand some years</w:t>
      </w:r>
      <w:r w:rsidRPr="006E24CF">
        <w:t xml:space="preserve"> ago. The </w:t>
      </w:r>
      <w:r>
        <w:t>Committee recommended</w:t>
      </w:r>
      <w:r w:rsidRPr="006E24CF">
        <w:t xml:space="preserve"> the list needs to be updated to reflect current practice. An issue that emerged during discussion was the relationship between this</w:t>
      </w:r>
      <w:r>
        <w:t xml:space="preserve"> item and the spirometry items.</w:t>
      </w:r>
    </w:p>
    <w:p w14:paraId="29792AF9" w14:textId="77777777" w:rsidR="0058261D" w:rsidRDefault="00825551" w:rsidP="00F56E64">
      <w:r>
        <w:t xml:space="preserve">Refer to </w:t>
      </w:r>
      <w:r w:rsidR="009936F3" w:rsidRPr="009936F3">
        <w:t>Recommendation 2.2: Complex lung function – changes to item 11503</w:t>
      </w:r>
      <w:r w:rsidR="00287EED">
        <w:t xml:space="preserve"> </w:t>
      </w:r>
      <w:r>
        <w:t>for the current item descriptor</w:t>
      </w:r>
      <w:r w:rsidRPr="00F15D21">
        <w:t xml:space="preserve">, </w:t>
      </w:r>
      <w:r w:rsidRPr="00302A67">
        <w:t>Appendix A</w:t>
      </w:r>
      <w:r>
        <w:t xml:space="preserve"> for the explanatory notes and </w:t>
      </w:r>
      <w:r w:rsidRPr="00302A67">
        <w:t xml:space="preserve">Appendix </w:t>
      </w:r>
      <w:r w:rsidR="00287EED" w:rsidRPr="00302A67">
        <w:t>D</w:t>
      </w:r>
      <w:r>
        <w:t xml:space="preserve"> for further data. </w:t>
      </w:r>
    </w:p>
    <w:p w14:paraId="28726242" w14:textId="77777777" w:rsidR="00825551" w:rsidRPr="003A18EF" w:rsidRDefault="00825551" w:rsidP="00F56E64">
      <w:r>
        <w:t>As t</w:t>
      </w:r>
      <w:r w:rsidRPr="003A18EF">
        <w:t>his item covers a number of different tests and can only be claimed once per day, no matter how many tests are performed, there are no MBS data on the relative use of the tests or the usual numbers of tests done per service. It is acknowledged that the tests vary in their complexity.</w:t>
      </w:r>
    </w:p>
    <w:p w14:paraId="4730429C" w14:textId="77777777" w:rsidR="00BB4881" w:rsidRDefault="00BB4881" w:rsidP="009F523D">
      <w:pPr>
        <w:pStyle w:val="Heading3"/>
      </w:pPr>
      <w:r>
        <w:t xml:space="preserve">MBS data </w:t>
      </w:r>
      <w:r w:rsidR="001C5348">
        <w:t xml:space="preserve">on respiratory function test – </w:t>
      </w:r>
      <w:r>
        <w:t>item 11503</w:t>
      </w:r>
    </w:p>
    <w:p w14:paraId="21784333" w14:textId="77777777" w:rsidR="00BB4881" w:rsidRPr="00253B22" w:rsidRDefault="00BB4881" w:rsidP="00253B22">
      <w:pPr>
        <w:pStyle w:val="Caption"/>
      </w:pPr>
      <w:bookmarkStart w:id="123" w:name="_Toc457450652"/>
      <w:bookmarkStart w:id="124" w:name="_Toc478721543"/>
      <w:r w:rsidRPr="00253B22">
        <w:t xml:space="preserve">Table </w:t>
      </w:r>
      <w:r w:rsidR="009936F3" w:rsidRPr="00253B22">
        <w:t>9</w:t>
      </w:r>
      <w:r w:rsidRPr="00253B22">
        <w:t>:</w:t>
      </w:r>
      <w:r w:rsidRPr="00253B22">
        <w:tab/>
        <w:t>High level MBS data on respiratory function test item 11503, 2014-15 (date of processing)</w:t>
      </w:r>
      <w:bookmarkEnd w:id="123"/>
      <w:bookmarkEnd w:id="124"/>
    </w:p>
    <w:tbl>
      <w:tblPr>
        <w:tblStyle w:val="TableGrid"/>
        <w:tblW w:w="9214" w:type="dxa"/>
        <w:tblInd w:w="108" w:type="dxa"/>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ayout w:type="fixed"/>
        <w:tblLook w:val="04A0" w:firstRow="1" w:lastRow="0" w:firstColumn="1" w:lastColumn="0" w:noHBand="0" w:noVBand="1"/>
        <w:tblDescription w:val="Table 9 provides an overview of MBS data, including services and benefits, on respiratory function test items 11503 in 2014-15."/>
      </w:tblPr>
      <w:tblGrid>
        <w:gridCol w:w="6804"/>
        <w:gridCol w:w="2410"/>
      </w:tblGrid>
      <w:tr w:rsidR="002B460A" w:rsidRPr="0014338B" w14:paraId="58F301E6" w14:textId="77777777" w:rsidTr="000A5970">
        <w:trPr>
          <w:tblHeader/>
        </w:trPr>
        <w:tc>
          <w:tcPr>
            <w:tcW w:w="6804" w:type="dxa"/>
            <w:tcBorders>
              <w:top w:val="single" w:sz="4" w:space="0" w:color="B56012"/>
            </w:tcBorders>
            <w:shd w:val="clear" w:color="auto" w:fill="auto"/>
          </w:tcPr>
          <w:p w14:paraId="1DB6BDEB" w14:textId="77777777" w:rsidR="002B460A" w:rsidRDefault="00B76E12" w:rsidP="00A403FC">
            <w:pPr>
              <w:pStyle w:val="Tableheading"/>
            </w:pPr>
            <w:r>
              <w:t>Statistic</w:t>
            </w:r>
          </w:p>
        </w:tc>
        <w:tc>
          <w:tcPr>
            <w:tcW w:w="2410" w:type="dxa"/>
            <w:tcBorders>
              <w:top w:val="single" w:sz="4" w:space="0" w:color="B56012"/>
            </w:tcBorders>
            <w:shd w:val="clear" w:color="auto" w:fill="auto"/>
          </w:tcPr>
          <w:p w14:paraId="06A0914E" w14:textId="77777777" w:rsidR="002B460A" w:rsidRPr="00D2573B" w:rsidRDefault="00B76E12" w:rsidP="00A403FC">
            <w:pPr>
              <w:pStyle w:val="Tableheading"/>
            </w:pPr>
            <w:r>
              <w:t>Amount</w:t>
            </w:r>
          </w:p>
        </w:tc>
      </w:tr>
      <w:tr w:rsidR="00BB4881" w:rsidRPr="0014338B" w14:paraId="032CB777" w14:textId="77777777" w:rsidTr="000A5970">
        <w:trPr>
          <w:tblHeader/>
        </w:trPr>
        <w:tc>
          <w:tcPr>
            <w:tcW w:w="6804" w:type="dxa"/>
            <w:tcBorders>
              <w:top w:val="single" w:sz="4" w:space="0" w:color="B56012"/>
            </w:tcBorders>
            <w:shd w:val="clear" w:color="auto" w:fill="auto"/>
          </w:tcPr>
          <w:p w14:paraId="7D9CC6F7" w14:textId="77777777" w:rsidR="00BB4881" w:rsidRPr="0014338B" w:rsidRDefault="00BB4881" w:rsidP="00A403FC">
            <w:pPr>
              <w:pStyle w:val="Tabletext"/>
              <w:rPr>
                <w:rFonts w:eastAsiaTheme="minorHAnsi"/>
              </w:rPr>
            </w:pPr>
            <w:r>
              <w:rPr>
                <w:rFonts w:eastAsiaTheme="minorHAnsi"/>
              </w:rPr>
              <w:t>Schedule fee</w:t>
            </w:r>
          </w:p>
        </w:tc>
        <w:tc>
          <w:tcPr>
            <w:tcW w:w="2410" w:type="dxa"/>
            <w:tcBorders>
              <w:top w:val="single" w:sz="4" w:space="0" w:color="B56012"/>
            </w:tcBorders>
            <w:shd w:val="clear" w:color="auto" w:fill="auto"/>
          </w:tcPr>
          <w:p w14:paraId="0289FFF3" w14:textId="77777777" w:rsidR="00BB4881" w:rsidRPr="0014338B" w:rsidRDefault="00BB4881" w:rsidP="00A403FC">
            <w:pPr>
              <w:pStyle w:val="Tabletext"/>
              <w:rPr>
                <w:rFonts w:eastAsiaTheme="minorHAnsi"/>
              </w:rPr>
            </w:pPr>
            <w:r w:rsidRPr="00D2573B">
              <w:t>$138.65</w:t>
            </w:r>
          </w:p>
        </w:tc>
      </w:tr>
      <w:tr w:rsidR="00BB4881" w:rsidRPr="00DC3A35" w14:paraId="32323885" w14:textId="77777777" w:rsidTr="000A5970">
        <w:tc>
          <w:tcPr>
            <w:tcW w:w="6804" w:type="dxa"/>
          </w:tcPr>
          <w:p w14:paraId="65870DD2" w14:textId="77777777" w:rsidR="00BB4881" w:rsidRPr="00226A36" w:rsidRDefault="00BB4881" w:rsidP="00A403FC">
            <w:pPr>
              <w:pStyle w:val="Tabletext"/>
              <w:rPr>
                <w:rFonts w:eastAsiaTheme="minorHAnsi"/>
              </w:rPr>
            </w:pPr>
            <w:r>
              <w:rPr>
                <w:rFonts w:eastAsiaTheme="minorHAnsi"/>
              </w:rPr>
              <w:t>Total benefits paid</w:t>
            </w:r>
            <w:r w:rsidRPr="00226A36">
              <w:rPr>
                <w:rFonts w:eastAsiaTheme="minorHAnsi"/>
              </w:rPr>
              <w:t xml:space="preserve"> 2014-15</w:t>
            </w:r>
          </w:p>
        </w:tc>
        <w:tc>
          <w:tcPr>
            <w:tcW w:w="2410" w:type="dxa"/>
          </w:tcPr>
          <w:p w14:paraId="092A2DF8" w14:textId="77777777" w:rsidR="00BB4881" w:rsidRPr="00226A36" w:rsidRDefault="00BB4881" w:rsidP="00A403FC">
            <w:pPr>
              <w:pStyle w:val="Tabletext"/>
              <w:rPr>
                <w:rFonts w:cs="Arial"/>
              </w:rPr>
            </w:pPr>
            <w:r w:rsidRPr="00D2573B">
              <w:t>$31,462,655</w:t>
            </w:r>
          </w:p>
        </w:tc>
      </w:tr>
      <w:tr w:rsidR="00BB4881" w:rsidRPr="00DC3A35" w14:paraId="33E081BA" w14:textId="77777777" w:rsidTr="000A5970">
        <w:tc>
          <w:tcPr>
            <w:tcW w:w="6804" w:type="dxa"/>
          </w:tcPr>
          <w:p w14:paraId="4BAF0D59" w14:textId="77777777" w:rsidR="00BB4881" w:rsidRPr="00226A36" w:rsidRDefault="00BB4881" w:rsidP="00A403FC">
            <w:pPr>
              <w:pStyle w:val="Tabletext"/>
              <w:rPr>
                <w:rFonts w:eastAsiaTheme="minorHAnsi"/>
              </w:rPr>
            </w:pPr>
            <w:r w:rsidRPr="00226A36">
              <w:rPr>
                <w:rFonts w:eastAsiaTheme="minorHAnsi"/>
              </w:rPr>
              <w:t>Number of services 2014-15</w:t>
            </w:r>
          </w:p>
        </w:tc>
        <w:tc>
          <w:tcPr>
            <w:tcW w:w="2410" w:type="dxa"/>
          </w:tcPr>
          <w:p w14:paraId="159FF0AB" w14:textId="77777777" w:rsidR="00BB4881" w:rsidRPr="00226A36" w:rsidRDefault="00BB4881" w:rsidP="00A403FC">
            <w:pPr>
              <w:pStyle w:val="Tabletext"/>
              <w:rPr>
                <w:rFonts w:cs="Arial"/>
              </w:rPr>
            </w:pPr>
            <w:r w:rsidRPr="00D2573B">
              <w:t>267,688</w:t>
            </w:r>
          </w:p>
        </w:tc>
      </w:tr>
      <w:tr w:rsidR="00BB4881" w:rsidRPr="00DC3A35" w14:paraId="11068086" w14:textId="77777777" w:rsidTr="000A5970">
        <w:tc>
          <w:tcPr>
            <w:tcW w:w="6804" w:type="dxa"/>
          </w:tcPr>
          <w:p w14:paraId="46DD797D" w14:textId="77777777" w:rsidR="00BB4881" w:rsidRPr="00226A36" w:rsidRDefault="00BB4881" w:rsidP="00A403FC">
            <w:pPr>
              <w:pStyle w:val="Tabletext"/>
              <w:rPr>
                <w:rFonts w:eastAsiaTheme="minorHAnsi"/>
              </w:rPr>
            </w:pPr>
            <w:r>
              <w:rPr>
                <w:rFonts w:eastAsiaTheme="minorHAnsi"/>
              </w:rPr>
              <w:t>% of services provided out-of-hospital</w:t>
            </w:r>
            <w:r w:rsidRPr="00226A36">
              <w:rPr>
                <w:rFonts w:eastAsiaTheme="minorHAnsi"/>
              </w:rPr>
              <w:t xml:space="preserve"> 2014-15</w:t>
            </w:r>
          </w:p>
        </w:tc>
        <w:tc>
          <w:tcPr>
            <w:tcW w:w="2410" w:type="dxa"/>
          </w:tcPr>
          <w:p w14:paraId="398A7DBD" w14:textId="77777777" w:rsidR="00BB4881" w:rsidRPr="00226A36" w:rsidRDefault="00BB4881" w:rsidP="00A403FC">
            <w:pPr>
              <w:pStyle w:val="Tabletext"/>
              <w:rPr>
                <w:rFonts w:cs="Arial"/>
              </w:rPr>
            </w:pPr>
            <w:r w:rsidRPr="00D2573B">
              <w:t>90.90%</w:t>
            </w:r>
          </w:p>
        </w:tc>
      </w:tr>
      <w:tr w:rsidR="00BB4881" w:rsidRPr="00DC3A35" w14:paraId="6D226E53" w14:textId="77777777" w:rsidTr="000A5970">
        <w:tc>
          <w:tcPr>
            <w:tcW w:w="6804" w:type="dxa"/>
            <w:vAlign w:val="center"/>
          </w:tcPr>
          <w:p w14:paraId="417D4562" w14:textId="77777777" w:rsidR="00BB4881" w:rsidRPr="00226A36" w:rsidRDefault="00BB4881" w:rsidP="00A403FC">
            <w:pPr>
              <w:pStyle w:val="Tabletext"/>
              <w:rPr>
                <w:rFonts w:eastAsiaTheme="minorHAnsi"/>
              </w:rPr>
            </w:pPr>
            <w:r w:rsidRPr="00BD6F27">
              <w:t>Bulk-billing rate for out-of-hospital services 2014-15</w:t>
            </w:r>
          </w:p>
        </w:tc>
        <w:tc>
          <w:tcPr>
            <w:tcW w:w="2410" w:type="dxa"/>
          </w:tcPr>
          <w:p w14:paraId="7DDB9CFC" w14:textId="77777777" w:rsidR="00BB4881" w:rsidRPr="00226A36" w:rsidRDefault="00BB4881" w:rsidP="00A403FC">
            <w:pPr>
              <w:pStyle w:val="Tabletext"/>
              <w:rPr>
                <w:rFonts w:cs="Arial"/>
              </w:rPr>
            </w:pPr>
            <w:r w:rsidRPr="00D2573B">
              <w:t>81.00%</w:t>
            </w:r>
          </w:p>
        </w:tc>
      </w:tr>
      <w:tr w:rsidR="00BB4881" w:rsidRPr="00DC3A35" w14:paraId="3BC0565E" w14:textId="77777777" w:rsidTr="000A5970">
        <w:tc>
          <w:tcPr>
            <w:tcW w:w="6804" w:type="dxa"/>
            <w:vAlign w:val="center"/>
          </w:tcPr>
          <w:p w14:paraId="5CEF4CE1" w14:textId="77777777" w:rsidR="00BB4881" w:rsidRPr="00226A36" w:rsidRDefault="00BB4881" w:rsidP="00A403FC">
            <w:pPr>
              <w:pStyle w:val="Tabletext"/>
              <w:rPr>
                <w:rFonts w:eastAsiaTheme="minorHAnsi"/>
              </w:rPr>
            </w:pPr>
            <w:r>
              <w:t>Total p</w:t>
            </w:r>
            <w:r w:rsidRPr="00BD6F27">
              <w:t>atient count 2014-15</w:t>
            </w:r>
          </w:p>
        </w:tc>
        <w:tc>
          <w:tcPr>
            <w:tcW w:w="2410" w:type="dxa"/>
          </w:tcPr>
          <w:p w14:paraId="63652EC6" w14:textId="77777777" w:rsidR="00BB4881" w:rsidRPr="00226A36" w:rsidRDefault="00BB4881" w:rsidP="00A403FC">
            <w:pPr>
              <w:pStyle w:val="Tabletext"/>
              <w:rPr>
                <w:rFonts w:cs="Arial"/>
              </w:rPr>
            </w:pPr>
            <w:r w:rsidRPr="00D2573B">
              <w:t>207,017</w:t>
            </w:r>
          </w:p>
        </w:tc>
      </w:tr>
      <w:tr w:rsidR="00BB4881" w:rsidRPr="00DC3A35" w14:paraId="41D2866E" w14:textId="77777777" w:rsidTr="000A5970">
        <w:tc>
          <w:tcPr>
            <w:tcW w:w="6804" w:type="dxa"/>
            <w:vAlign w:val="center"/>
          </w:tcPr>
          <w:p w14:paraId="5CBE3853" w14:textId="77777777" w:rsidR="00BB4881" w:rsidRPr="00226A36" w:rsidRDefault="00BB4881" w:rsidP="00A403FC">
            <w:pPr>
              <w:pStyle w:val="Tabletext"/>
              <w:rPr>
                <w:rFonts w:eastAsiaTheme="minorHAnsi"/>
              </w:rPr>
            </w:pPr>
            <w:r w:rsidRPr="00BD6F27">
              <w:t>Total provider count 2014-15</w:t>
            </w:r>
          </w:p>
        </w:tc>
        <w:tc>
          <w:tcPr>
            <w:tcW w:w="2410" w:type="dxa"/>
          </w:tcPr>
          <w:p w14:paraId="0883C2BD" w14:textId="77777777" w:rsidR="00BB4881" w:rsidRPr="00226A36" w:rsidRDefault="00BB4881" w:rsidP="00A403FC">
            <w:pPr>
              <w:pStyle w:val="Tabletext"/>
              <w:rPr>
                <w:rFonts w:cs="Arial"/>
              </w:rPr>
            </w:pPr>
            <w:r w:rsidRPr="00D2573B">
              <w:t>888</w:t>
            </w:r>
          </w:p>
        </w:tc>
      </w:tr>
      <w:tr w:rsidR="00BB4881" w:rsidRPr="00DC3A35" w14:paraId="69486550" w14:textId="77777777" w:rsidTr="000A5970">
        <w:tc>
          <w:tcPr>
            <w:tcW w:w="6804" w:type="dxa"/>
            <w:vAlign w:val="center"/>
          </w:tcPr>
          <w:p w14:paraId="447C0586" w14:textId="77777777" w:rsidR="00BB4881" w:rsidRPr="00226A36" w:rsidRDefault="00BB4881" w:rsidP="00A403FC">
            <w:pPr>
              <w:pStyle w:val="Tabletext"/>
              <w:rPr>
                <w:rFonts w:eastAsiaTheme="minorHAnsi"/>
              </w:rPr>
            </w:pPr>
            <w:r>
              <w:t>Benefits c</w:t>
            </w:r>
            <w:r w:rsidRPr="00BD6F27">
              <w:t>hange (%) from 2009-10 to 2014-15</w:t>
            </w:r>
          </w:p>
        </w:tc>
        <w:tc>
          <w:tcPr>
            <w:tcW w:w="2410" w:type="dxa"/>
          </w:tcPr>
          <w:p w14:paraId="64ECBE2B" w14:textId="77777777" w:rsidR="00BB4881" w:rsidRPr="00226A36" w:rsidRDefault="00BB4881" w:rsidP="00A403FC">
            <w:pPr>
              <w:pStyle w:val="Tabletext"/>
              <w:rPr>
                <w:rFonts w:cs="Arial"/>
              </w:rPr>
            </w:pPr>
            <w:r w:rsidRPr="00D2573B">
              <w:t>67.30%</w:t>
            </w:r>
          </w:p>
        </w:tc>
      </w:tr>
      <w:tr w:rsidR="00BB4881" w:rsidRPr="00DC3A35" w14:paraId="7A7C08A2" w14:textId="77777777" w:rsidTr="000A5970">
        <w:tc>
          <w:tcPr>
            <w:tcW w:w="6804" w:type="dxa"/>
            <w:vAlign w:val="center"/>
          </w:tcPr>
          <w:p w14:paraId="1963AB45" w14:textId="77777777" w:rsidR="00BB4881" w:rsidRPr="00226A36" w:rsidRDefault="00BB4881" w:rsidP="00A403FC">
            <w:pPr>
              <w:pStyle w:val="Tabletext"/>
              <w:rPr>
                <w:rFonts w:eastAsiaTheme="minorHAnsi"/>
              </w:rPr>
            </w:pPr>
            <w:r>
              <w:t>Service c</w:t>
            </w:r>
            <w:r w:rsidRPr="00BD6F27">
              <w:t>hange (%) from 2009-10 to 2014-15</w:t>
            </w:r>
          </w:p>
        </w:tc>
        <w:tc>
          <w:tcPr>
            <w:tcW w:w="2410" w:type="dxa"/>
          </w:tcPr>
          <w:p w14:paraId="1FAE3D8D" w14:textId="77777777" w:rsidR="00BB4881" w:rsidRPr="00226A36" w:rsidRDefault="00BB4881" w:rsidP="00A403FC">
            <w:pPr>
              <w:pStyle w:val="Tabletext"/>
              <w:rPr>
                <w:rFonts w:cs="Arial"/>
              </w:rPr>
            </w:pPr>
            <w:r w:rsidRPr="00D2573B">
              <w:t>57.20%</w:t>
            </w:r>
          </w:p>
        </w:tc>
      </w:tr>
      <w:tr w:rsidR="00BB4881" w:rsidRPr="00DC3A35" w14:paraId="78DBC5B2" w14:textId="77777777" w:rsidTr="000A5970">
        <w:tc>
          <w:tcPr>
            <w:tcW w:w="6804" w:type="dxa"/>
            <w:vAlign w:val="center"/>
          </w:tcPr>
          <w:p w14:paraId="03643AD2" w14:textId="77777777" w:rsidR="00BB4881" w:rsidRDefault="00BB4881" w:rsidP="00A403FC">
            <w:pPr>
              <w:pStyle w:val="Tabletext"/>
            </w:pPr>
            <w:r>
              <w:t>Item description start date</w:t>
            </w:r>
          </w:p>
        </w:tc>
        <w:tc>
          <w:tcPr>
            <w:tcW w:w="2410" w:type="dxa"/>
          </w:tcPr>
          <w:p w14:paraId="37314974" w14:textId="77777777" w:rsidR="00BB4881" w:rsidRPr="00BD6F27" w:rsidRDefault="008F4119" w:rsidP="00A403FC">
            <w:pPr>
              <w:pStyle w:val="Tabletext"/>
              <w:rPr>
                <w:color w:val="000000"/>
              </w:rPr>
            </w:pPr>
            <w:r>
              <w:t xml:space="preserve">1 March </w:t>
            </w:r>
            <w:r w:rsidR="00BB4881" w:rsidRPr="00D2573B">
              <w:t>2013</w:t>
            </w:r>
          </w:p>
        </w:tc>
      </w:tr>
    </w:tbl>
    <w:p w14:paraId="223C46B6" w14:textId="77777777" w:rsidR="00BB4881" w:rsidRPr="00DA5B19" w:rsidRDefault="00BB4881" w:rsidP="00DA5B19">
      <w:pPr>
        <w:pStyle w:val="TableUnderLast"/>
      </w:pPr>
      <w:r w:rsidRPr="00DA5B19">
        <w:t>Unpublished data (Department of Health)</w:t>
      </w:r>
    </w:p>
    <w:p w14:paraId="7D717022" w14:textId="77777777" w:rsidR="00BB4881" w:rsidRPr="00D254A1" w:rsidRDefault="00BB4881" w:rsidP="009F523D">
      <w:pPr>
        <w:pStyle w:val="Heading3"/>
      </w:pPr>
      <w:r w:rsidRPr="00D254A1">
        <w:t>Discussion</w:t>
      </w:r>
      <w:r w:rsidR="00B86F9F">
        <w:t xml:space="preserve"> and recommendations</w:t>
      </w:r>
    </w:p>
    <w:p w14:paraId="03E7B527" w14:textId="77777777" w:rsidR="00BB4881" w:rsidRPr="00B84B9A" w:rsidRDefault="00BB4881" w:rsidP="00F56E64">
      <w:r w:rsidRPr="00B84B9A">
        <w:rPr>
          <w:rFonts w:cs="Arial"/>
        </w:rPr>
        <w:t xml:space="preserve">The </w:t>
      </w:r>
      <w:r w:rsidR="008F4119">
        <w:rPr>
          <w:rFonts w:cs="Arial"/>
        </w:rPr>
        <w:t>Committee</w:t>
      </w:r>
      <w:r w:rsidRPr="00B84B9A">
        <w:rPr>
          <w:rFonts w:cs="Arial"/>
        </w:rPr>
        <w:t xml:space="preserve"> found that the current MBS item 11503 provides for a broad range of tests </w:t>
      </w:r>
      <w:r w:rsidRPr="00E90C0F">
        <w:t xml:space="preserve">that vary in frequency, complexity and purpose with the </w:t>
      </w:r>
      <w:r w:rsidRPr="00B84B9A">
        <w:t xml:space="preserve">tests for the item outlined in the explanatory </w:t>
      </w:r>
      <w:r w:rsidRPr="00E90C0F">
        <w:t>note. It was agreed that the tests claimed under item 11503 should reflect common complex lung f</w:t>
      </w:r>
      <w:r w:rsidRPr="00B84B9A">
        <w:rPr>
          <w:rFonts w:cs="Arial"/>
        </w:rPr>
        <w:t xml:space="preserve">unction tests that are supported by clinical evidence and should be listed in the item descriptor. </w:t>
      </w:r>
      <w:r w:rsidRPr="00B84B9A">
        <w:t xml:space="preserve">The </w:t>
      </w:r>
      <w:r w:rsidR="008F4119">
        <w:t>Committee</w:t>
      </w:r>
      <w:r w:rsidRPr="00B84B9A">
        <w:t xml:space="preserve"> agreed that tests that are rarely used or only used for research purposes or are not supported by evidence should be removed from item 11503.</w:t>
      </w:r>
    </w:p>
    <w:p w14:paraId="6B1D42C0" w14:textId="77777777" w:rsidR="00BB4881" w:rsidRPr="00B84B9A" w:rsidRDefault="00BB4881" w:rsidP="00F56E64">
      <w:pPr>
        <w:rPr>
          <w:rFonts w:cs="Arial"/>
        </w:rPr>
      </w:pPr>
      <w:r w:rsidRPr="00B84B9A">
        <w:rPr>
          <w:rFonts w:cs="Arial"/>
        </w:rPr>
        <w:lastRenderedPageBreak/>
        <w:t xml:space="preserve">The </w:t>
      </w:r>
      <w:r w:rsidR="008F4119">
        <w:rPr>
          <w:rFonts w:cs="Arial"/>
        </w:rPr>
        <w:t>Committee</w:t>
      </w:r>
      <w:r w:rsidRPr="00B84B9A">
        <w:rPr>
          <w:rFonts w:cs="Arial"/>
        </w:rPr>
        <w:t xml:space="preserve"> recommended that the following tests should be removed from the list of tests covered under item 11503 as they no longer support best practice or are only used in a research environment. These tests (noting current numbering in MBS </w:t>
      </w:r>
      <w:r w:rsidR="00B86F9F">
        <w:rPr>
          <w:rFonts w:cs="Arial"/>
        </w:rPr>
        <w:t xml:space="preserve">explanatory </w:t>
      </w:r>
      <w:r w:rsidRPr="00B84B9A">
        <w:rPr>
          <w:rFonts w:cs="Arial"/>
        </w:rPr>
        <w:t>notes) are:</w:t>
      </w:r>
    </w:p>
    <w:p w14:paraId="5C96B8AF" w14:textId="77777777" w:rsidR="00BB4881" w:rsidRPr="008F4119" w:rsidRDefault="00BB4881" w:rsidP="006A6284">
      <w:pPr>
        <w:pStyle w:val="NormalBulleteda"/>
      </w:pPr>
      <w:r w:rsidRPr="004C5A6A">
        <w:t>(c)</w:t>
      </w:r>
      <w:r w:rsidRPr="008F4119">
        <w:tab/>
        <w:t xml:space="preserve">Assessment of arterial carbon dioxide tension or cardiac output - re breathing method </w:t>
      </w:r>
    </w:p>
    <w:p w14:paraId="1D37F202" w14:textId="77777777" w:rsidR="00BB4881" w:rsidRPr="008F4119" w:rsidRDefault="00BB4881" w:rsidP="006A6284">
      <w:pPr>
        <w:pStyle w:val="NormalBulleteda"/>
      </w:pPr>
      <w:r w:rsidRPr="008F4119">
        <w:t>(d)</w:t>
      </w:r>
      <w:r w:rsidRPr="008F4119">
        <w:tab/>
        <w:t xml:space="preserve">Assessment of pulmonary distensibility involving measurement of lung volumes and oesophageal pressure </w:t>
      </w:r>
    </w:p>
    <w:p w14:paraId="064C07CE" w14:textId="77777777" w:rsidR="00BB4881" w:rsidRPr="008F4119" w:rsidRDefault="00BB4881" w:rsidP="006A6284">
      <w:pPr>
        <w:pStyle w:val="NormalBulleteda"/>
      </w:pPr>
      <w:r w:rsidRPr="008F4119">
        <w:t>(f)</w:t>
      </w:r>
      <w:r w:rsidRPr="008F4119">
        <w:tab/>
        <w:t xml:space="preserve">Measurement of respiratory muscle strength involving the measurement of trans-diaphragmatic or oesophageal pressures </w:t>
      </w:r>
    </w:p>
    <w:p w14:paraId="2DD40B7B" w14:textId="77777777" w:rsidR="00BB4881" w:rsidRPr="008F4119" w:rsidRDefault="00BB4881" w:rsidP="006A6284">
      <w:pPr>
        <w:pStyle w:val="NormalBulleteda"/>
      </w:pPr>
      <w:r w:rsidRPr="008F4119">
        <w:t>(g)</w:t>
      </w:r>
      <w:r w:rsidRPr="008F4119">
        <w:tab/>
        <w:t xml:space="preserve">Assessment of phrenic nerve function involving percutaneous stimulation and measurement of the compound action potential of the diaphragm </w:t>
      </w:r>
    </w:p>
    <w:p w14:paraId="3AC93684" w14:textId="77777777" w:rsidR="00BB4881" w:rsidRPr="008F4119" w:rsidRDefault="00BB4881" w:rsidP="006A6284">
      <w:pPr>
        <w:pStyle w:val="NormalBulleteda"/>
      </w:pPr>
      <w:r w:rsidRPr="008F4119">
        <w:t>(h)</w:t>
      </w:r>
      <w:r w:rsidRPr="008F4119">
        <w:tab/>
        <w:t xml:space="preserve">Measurement of the resistance of the anterior nares or pharynx </w:t>
      </w:r>
    </w:p>
    <w:p w14:paraId="543D2EB5" w14:textId="77777777" w:rsidR="00BB4881" w:rsidRPr="008F4119" w:rsidRDefault="00BB4881" w:rsidP="006A6284">
      <w:pPr>
        <w:pStyle w:val="NormalBulleteda"/>
      </w:pPr>
      <w:r w:rsidRPr="008F4119">
        <w:t>(k)</w:t>
      </w:r>
      <w:r w:rsidRPr="008F4119">
        <w:tab/>
        <w:t xml:space="preserve">Tests of distribution of ventilation involving inhalation of inert gases </w:t>
      </w:r>
    </w:p>
    <w:p w14:paraId="4A35BDE7" w14:textId="77777777" w:rsidR="00BB4881" w:rsidRPr="008F4119" w:rsidRDefault="00BB4881" w:rsidP="006A6284">
      <w:pPr>
        <w:pStyle w:val="NormalBulleteda"/>
      </w:pPr>
      <w:r w:rsidRPr="008F4119">
        <w:t>(l)</w:t>
      </w:r>
      <w:r w:rsidR="00A403FC">
        <w:t xml:space="preserve"> </w:t>
      </w:r>
      <w:r w:rsidRPr="008F4119">
        <w:tab/>
        <w:t xml:space="preserve">Measurement of gas exchange involving simultaneous collection of arterial blood and expired air with measurements of the partial pressures of oxygen and carbon dioxide in gas and blood </w:t>
      </w:r>
    </w:p>
    <w:p w14:paraId="0AC33331" w14:textId="77777777" w:rsidR="00BB4881" w:rsidRPr="008F4119" w:rsidRDefault="00BB4881" w:rsidP="006A6284">
      <w:pPr>
        <w:pStyle w:val="NormalBulleteda"/>
      </w:pPr>
      <w:r w:rsidRPr="008F4119">
        <w:t>(m)</w:t>
      </w:r>
      <w:r w:rsidRPr="008F4119">
        <w:tab/>
        <w:t xml:space="preserve">Multiple inert gas elimination techniques for measuring ventilation perfusion ratios in the lung </w:t>
      </w:r>
    </w:p>
    <w:p w14:paraId="7D8FA455" w14:textId="77777777" w:rsidR="00BB4881" w:rsidRPr="008F4119" w:rsidRDefault="00BB4881" w:rsidP="006A6284">
      <w:pPr>
        <w:pStyle w:val="NormalBulleteda"/>
      </w:pPr>
      <w:r w:rsidRPr="008F4119">
        <w:t>(n)</w:t>
      </w:r>
      <w:r w:rsidRPr="008F4119">
        <w:tab/>
        <w:t xml:space="preserve">Continuous monitoring of pulmonary function other than spirometry, tidal breathing and minute ventilation, of at least 6 hours duration </w:t>
      </w:r>
    </w:p>
    <w:p w14:paraId="0AA0404D" w14:textId="77777777" w:rsidR="00BB4881" w:rsidRPr="008F4119" w:rsidRDefault="00BB4881" w:rsidP="006A6284">
      <w:pPr>
        <w:pStyle w:val="NormalBulleteda"/>
      </w:pPr>
      <w:r w:rsidRPr="008F4119">
        <w:t>(o)</w:t>
      </w:r>
      <w:r w:rsidRPr="008F4119">
        <w:tab/>
        <w:t xml:space="preserve">Ventilatory and/or occlusion pressure responses to progressive hypercapnia and progressive hypoxia </w:t>
      </w:r>
    </w:p>
    <w:p w14:paraId="40CF8158" w14:textId="77777777" w:rsidR="00BB4881" w:rsidRPr="008F4119" w:rsidRDefault="00BB4881" w:rsidP="006A6284">
      <w:pPr>
        <w:pStyle w:val="NormalBulleteda"/>
      </w:pPr>
      <w:r w:rsidRPr="008F4119">
        <w:t>(p)</w:t>
      </w:r>
      <w:r w:rsidRPr="008F4119">
        <w:tab/>
        <w:t xml:space="preserve">Monitoring pulmonary arterial pressure at rest or during exercise </w:t>
      </w:r>
    </w:p>
    <w:p w14:paraId="73A1EFB9" w14:textId="77777777" w:rsidR="00BB4881" w:rsidRPr="008F4119" w:rsidRDefault="00BB4881" w:rsidP="006A6284">
      <w:pPr>
        <w:pStyle w:val="NormalBulleteda"/>
      </w:pPr>
      <w:r w:rsidRPr="008F4119">
        <w:t>(r)</w:t>
      </w:r>
      <w:r w:rsidRPr="008F4119">
        <w:tab/>
        <w:t>Measurement of the respiratory muscle endurance/fatigability by any technique</w:t>
      </w:r>
      <w:r w:rsidR="00287EED">
        <w:t>.</w:t>
      </w:r>
      <w:r w:rsidRPr="008F4119">
        <w:t xml:space="preserve"> </w:t>
      </w:r>
    </w:p>
    <w:p w14:paraId="2676757C" w14:textId="77777777" w:rsidR="00BB4881" w:rsidRPr="00B84B9A" w:rsidRDefault="00BB4881" w:rsidP="00F56E64">
      <w:r w:rsidRPr="00B84B9A">
        <w:t xml:space="preserve">The </w:t>
      </w:r>
      <w:r w:rsidR="008F4119">
        <w:t>Committee</w:t>
      </w:r>
      <w:r w:rsidRPr="00B84B9A">
        <w:t xml:space="preserve"> also considered whether some tests that are currently performed should be explicitly included under item 11503. It is not clear whether some providers are currently billing these tests under item 11503</w:t>
      </w:r>
      <w:r w:rsidR="008F4119">
        <w:t>. These tests are the six-</w:t>
      </w:r>
      <w:r w:rsidRPr="00B84B9A">
        <w:t>minute walk test</w:t>
      </w:r>
      <w:r>
        <w:t xml:space="preserve"> (6MWT)</w:t>
      </w:r>
      <w:r w:rsidRPr="00B84B9A">
        <w:t xml:space="preserve">, </w:t>
      </w:r>
      <w:r>
        <w:t>the exhaled fraction of nitric oxide (</w:t>
      </w:r>
      <w:r w:rsidRPr="00B84B9A">
        <w:t>FeNO</w:t>
      </w:r>
      <w:r>
        <w:t>)</w:t>
      </w:r>
      <w:r w:rsidRPr="00B84B9A">
        <w:t>, maximum inspiratory flow volume loop and</w:t>
      </w:r>
      <w:r>
        <w:t xml:space="preserve"> </w:t>
      </w:r>
      <w:r w:rsidRPr="00B84B9A">
        <w:t>mucociliary function. It was agreed that mucociliary function does not currently warrant inclusion in item 11503 and the other tests are discussed below.</w:t>
      </w:r>
    </w:p>
    <w:p w14:paraId="2985D177" w14:textId="77777777" w:rsidR="00BB4881" w:rsidRDefault="00BB4881" w:rsidP="00F56E64">
      <w:r w:rsidRPr="00B84B9A">
        <w:t xml:space="preserve">The </w:t>
      </w:r>
      <w:r w:rsidR="008F4119">
        <w:t>Committee</w:t>
      </w:r>
      <w:r w:rsidRPr="00B84B9A">
        <w:t xml:space="preserve"> considered the current quality practice requirement for these tests and for some tests have recommended some minor wording changes to enhance quality. </w:t>
      </w:r>
      <w:r w:rsidR="008F4119">
        <w:t>T</w:t>
      </w:r>
      <w:r w:rsidRPr="00B84B9A">
        <w:t xml:space="preserve">he </w:t>
      </w:r>
      <w:r w:rsidR="007B78B9">
        <w:t>Committee</w:t>
      </w:r>
      <w:r w:rsidRPr="00B84B9A">
        <w:t xml:space="preserve"> recommends that the list of tests permitted under 11503 should be included in the item descriptor. The previous list of tests described in explanatory notes was advisory only whereas listing the tests in the item limits use of the item to the nominated tests. </w:t>
      </w:r>
    </w:p>
    <w:p w14:paraId="0DC19DA5" w14:textId="77777777" w:rsidR="0058261D" w:rsidRPr="00B84B9A" w:rsidRDefault="0058261D" w:rsidP="00F56E64">
      <w:r>
        <w:t>The new list is found in the proposed item descriptor</w:t>
      </w:r>
      <w:r w:rsidR="009936F3">
        <w:t xml:space="preserve"> under </w:t>
      </w:r>
      <w:r w:rsidR="009936F3" w:rsidRPr="009936F3">
        <w:t>Recommendation 2.2:</w:t>
      </w:r>
      <w:r w:rsidR="009936F3">
        <w:t xml:space="preserve"> </w:t>
      </w:r>
      <w:r w:rsidR="009936F3" w:rsidRPr="009936F3">
        <w:t>Complex lung function – changes to item 11503</w:t>
      </w:r>
      <w:r>
        <w:t>.</w:t>
      </w:r>
    </w:p>
    <w:p w14:paraId="57C98D7E" w14:textId="77777777" w:rsidR="00BB4881" w:rsidRPr="008F4119" w:rsidRDefault="008F4119" w:rsidP="009F523D">
      <w:pPr>
        <w:pStyle w:val="Heading4"/>
      </w:pPr>
      <w:bookmarkStart w:id="125" w:name="_Toc452990622"/>
      <w:r>
        <w:t>Six-</w:t>
      </w:r>
      <w:r w:rsidR="00BB4881" w:rsidRPr="008F4119">
        <w:t>minute walk test (6MWT)</w:t>
      </w:r>
      <w:bookmarkEnd w:id="125"/>
      <w:r w:rsidR="00BB4881" w:rsidRPr="008F4119">
        <w:t xml:space="preserve"> </w:t>
      </w:r>
    </w:p>
    <w:p w14:paraId="6A4610B5" w14:textId="77777777" w:rsidR="00BB4881" w:rsidRPr="00B84B9A" w:rsidRDefault="00BB4881" w:rsidP="00F56E64">
      <w:r w:rsidRPr="00B84B9A">
        <w:t xml:space="preserve">The </w:t>
      </w:r>
      <w:r w:rsidR="008F4119">
        <w:t>Committee</w:t>
      </w:r>
      <w:r w:rsidRPr="00B84B9A">
        <w:t xml:space="preserve"> suggested that</w:t>
      </w:r>
      <w:r w:rsidR="008F4119">
        <w:t xml:space="preserve"> the six-</w:t>
      </w:r>
      <w:r w:rsidRPr="00B84B9A">
        <w:t xml:space="preserve">minute walk test (6MWT) is currently claimed under item 11503 and should be explicitly added to the list of tests permitted. A short evidence review was </w:t>
      </w:r>
      <w:r w:rsidRPr="00B84B9A">
        <w:lastRenderedPageBreak/>
        <w:t>commissioned that outlined the clinical scenarios where the 6MWT is used currently and appears to have clinical utility.</w:t>
      </w:r>
      <w:r w:rsidR="00A403FC">
        <w:t xml:space="preserve"> </w:t>
      </w:r>
      <w:r w:rsidRPr="00B84B9A">
        <w:t xml:space="preserve">The </w:t>
      </w:r>
      <w:r w:rsidR="008F4119">
        <w:t>Committee</w:t>
      </w:r>
      <w:r w:rsidRPr="00B84B9A">
        <w:t xml:space="preserve"> noted that the potential indications for the test are broad. For instance, outside of respiratory laboratories it is used by allied health professionals and others as part of pulmonary rehabilitation. It is not intended that MBS rebates should be provided for this purpose. However, the </w:t>
      </w:r>
      <w:r w:rsidR="008F4119">
        <w:t>Committee</w:t>
      </w:r>
      <w:r w:rsidRPr="00B84B9A">
        <w:t xml:space="preserve"> noted that determining eligibility for certain Pharmaceutical Benefit Schedule medications for pulmonary arterial hypertension require the results of a 6MWT and members supported inclusion of 6MWT in 11503 for this purpose.</w:t>
      </w:r>
      <w:r>
        <w:t xml:space="preserve"> The </w:t>
      </w:r>
      <w:r w:rsidR="008F4119">
        <w:t>Committee</w:t>
      </w:r>
      <w:r>
        <w:t xml:space="preserve"> suggest</w:t>
      </w:r>
      <w:r w:rsidR="008F4119">
        <w:t>ed</w:t>
      </w:r>
      <w:r>
        <w:t xml:space="preserve"> that at a suitable time the 6MWT be assessed by MSAC to determine whether t</w:t>
      </w:r>
      <w:r w:rsidR="008F4119">
        <w:t xml:space="preserve">here should be MBS funding for </w:t>
      </w:r>
      <w:r>
        <w:t xml:space="preserve">other indications. This test is commonly undertaken in respiratory laboratories to assess breathlessness, exercise capacity (distance walked) and desaturation, but does not have an item number for this purpose. </w:t>
      </w:r>
    </w:p>
    <w:p w14:paraId="1CFBEC36" w14:textId="77777777" w:rsidR="00BB4881" w:rsidRPr="00B84B9A" w:rsidRDefault="00BB4881" w:rsidP="009F523D">
      <w:pPr>
        <w:pStyle w:val="Heading4"/>
      </w:pPr>
      <w:bookmarkStart w:id="126" w:name="_Toc452990623"/>
      <w:r w:rsidRPr="00B84B9A">
        <w:t>Fraction</w:t>
      </w:r>
      <w:r>
        <w:t xml:space="preserve"> of</w:t>
      </w:r>
      <w:r w:rsidRPr="00B84B9A">
        <w:t xml:space="preserve"> Exhaled Nitric Oxide (FeNO)</w:t>
      </w:r>
      <w:bookmarkEnd w:id="126"/>
      <w:r w:rsidRPr="00B84B9A">
        <w:t xml:space="preserve"> </w:t>
      </w:r>
    </w:p>
    <w:p w14:paraId="07A1A225" w14:textId="77777777" w:rsidR="00BB4881" w:rsidRPr="00B84B9A" w:rsidRDefault="00BB4881" w:rsidP="00F56E64">
      <w:pPr>
        <w:rPr>
          <w:rFonts w:eastAsiaTheme="minorHAnsi"/>
        </w:rPr>
      </w:pPr>
      <w:r w:rsidRPr="00B84B9A">
        <w:rPr>
          <w:rFonts w:eastAsiaTheme="minorHAnsi"/>
        </w:rPr>
        <w:t xml:space="preserve">The </w:t>
      </w:r>
      <w:r w:rsidR="008F4119">
        <w:rPr>
          <w:rFonts w:eastAsiaTheme="minorHAnsi"/>
        </w:rPr>
        <w:t>Committee</w:t>
      </w:r>
      <w:r w:rsidRPr="00B84B9A">
        <w:rPr>
          <w:rFonts w:eastAsiaTheme="minorHAnsi"/>
        </w:rPr>
        <w:t xml:space="preserve"> advised that FeNO is relatively simple and inexpensive to perform but requires skill to interpret. Measurement of FeNO concentration in exhaled breath is a quantitative, non-invasive, simple, and safe method of measuring airway inflammation that provides a complementary tool to other ways of assessing airways disease, including asthma. The test carries little risk to the patient and has high utilisation. At present, it appears that FeNO may be billed under item 11503 on basis that it is ‘analysis of exhaled gas’. Members agreed that FeNO is clinically validated but not complex enough to warrant the MBS fee associated with item 11503. Members agreed that FeNO is likely to become simpler and cheaper to administer over time and is likely to become a test administered in the primary care setting. </w:t>
      </w:r>
    </w:p>
    <w:p w14:paraId="5ED626B4" w14:textId="77777777" w:rsidR="00BB4881" w:rsidRPr="00C66C45" w:rsidRDefault="008F4119" w:rsidP="00F56E64">
      <w:pPr>
        <w:rPr>
          <w:rFonts w:eastAsiaTheme="minorHAnsi"/>
        </w:rPr>
      </w:pPr>
      <w:r>
        <w:rPr>
          <w:rFonts w:eastAsiaTheme="minorHAnsi"/>
        </w:rPr>
        <w:t>The Committee</w:t>
      </w:r>
      <w:r w:rsidR="00BB4881" w:rsidRPr="00C66C45">
        <w:rPr>
          <w:rFonts w:eastAsiaTheme="minorHAnsi"/>
        </w:rPr>
        <w:t xml:space="preserve"> agreed that FeNO should be performed in association with spirometry and is not clinica</w:t>
      </w:r>
      <w:r>
        <w:rPr>
          <w:rFonts w:eastAsiaTheme="minorHAnsi"/>
        </w:rPr>
        <w:t>lly useful as a standalone test.</w:t>
      </w:r>
    </w:p>
    <w:p w14:paraId="5897A93F" w14:textId="77777777" w:rsidR="00BB4881" w:rsidRPr="00C66C45" w:rsidRDefault="00BB4881" w:rsidP="00F56E64">
      <w:pPr>
        <w:rPr>
          <w:rFonts w:eastAsiaTheme="minorHAnsi"/>
        </w:rPr>
      </w:pPr>
      <w:r w:rsidRPr="00C66C45">
        <w:rPr>
          <w:rFonts w:eastAsiaTheme="minorHAnsi"/>
        </w:rPr>
        <w:t>The Committee discussed the following options for funding FeNO:</w:t>
      </w:r>
    </w:p>
    <w:p w14:paraId="4D44B844" w14:textId="77777777" w:rsidR="00BB4881" w:rsidRPr="008F4119" w:rsidRDefault="00BB4881" w:rsidP="00302A67">
      <w:pPr>
        <w:pStyle w:val="NormalBulleted"/>
      </w:pPr>
      <w:r w:rsidRPr="008F4119">
        <w:t>Include FeNO, when done, under item 11512 (laboratory spirometry)</w:t>
      </w:r>
    </w:p>
    <w:p w14:paraId="605DF57F" w14:textId="77777777" w:rsidR="00BB4881" w:rsidRPr="008F4119" w:rsidRDefault="00BB4881" w:rsidP="00302A67">
      <w:pPr>
        <w:pStyle w:val="NormalBulleted"/>
      </w:pPr>
      <w:r w:rsidRPr="008F4119">
        <w:t>Develop a new item for spirometry with FeNO</w:t>
      </w:r>
    </w:p>
    <w:p w14:paraId="0F9FFF74" w14:textId="77777777" w:rsidR="00BB4881" w:rsidRPr="008F4119" w:rsidRDefault="00BB4881" w:rsidP="00302A67">
      <w:pPr>
        <w:pStyle w:val="NormalBulleted"/>
      </w:pPr>
      <w:r w:rsidRPr="008F4119">
        <w:t>Include spirometry with FeNO as a test available under 11503 (recognising that spirometry alone is not a test available under 11503)</w:t>
      </w:r>
      <w:r w:rsidR="008F4119">
        <w:t>.</w:t>
      </w:r>
    </w:p>
    <w:p w14:paraId="0817B15A" w14:textId="77777777" w:rsidR="00BB4881" w:rsidRPr="00C66C45" w:rsidRDefault="00BB4881" w:rsidP="00F56E64">
      <w:pPr>
        <w:rPr>
          <w:rFonts w:eastAsiaTheme="minorHAnsi"/>
        </w:rPr>
      </w:pPr>
      <w:r w:rsidRPr="00C66C45">
        <w:rPr>
          <w:rFonts w:eastAsiaTheme="minorHAnsi"/>
        </w:rPr>
        <w:t>Members expressed concern that option three might provide incentive to request FeN</w:t>
      </w:r>
      <w:r>
        <w:rPr>
          <w:rFonts w:eastAsiaTheme="minorHAnsi"/>
        </w:rPr>
        <w:t>O</w:t>
      </w:r>
      <w:r w:rsidRPr="00C66C45">
        <w:rPr>
          <w:rFonts w:eastAsiaTheme="minorHAnsi"/>
        </w:rPr>
        <w:t xml:space="preserve"> when laboratory based spirometry was requested given the fee dif</w:t>
      </w:r>
      <w:r w:rsidR="008F4119">
        <w:rPr>
          <w:rFonts w:eastAsiaTheme="minorHAnsi"/>
        </w:rPr>
        <w:t>ference between 11503 and 11512</w:t>
      </w:r>
      <w:r w:rsidRPr="00C66C45">
        <w:rPr>
          <w:rFonts w:eastAsiaTheme="minorHAnsi"/>
        </w:rPr>
        <w:t>.</w:t>
      </w:r>
      <w:r w:rsidR="008F4119">
        <w:rPr>
          <w:rFonts w:eastAsiaTheme="minorHAnsi"/>
        </w:rPr>
        <w:t xml:space="preserve"> </w:t>
      </w:r>
      <w:r w:rsidRPr="00C66C45">
        <w:rPr>
          <w:rFonts w:eastAsiaTheme="minorHAnsi"/>
        </w:rPr>
        <w:t>Conversely,</w:t>
      </w:r>
      <w:r>
        <w:rPr>
          <w:rFonts w:eastAsiaTheme="minorHAnsi"/>
        </w:rPr>
        <w:t xml:space="preserve"> </w:t>
      </w:r>
      <w:r w:rsidRPr="00C66C45">
        <w:rPr>
          <w:rFonts w:eastAsiaTheme="minorHAnsi"/>
        </w:rPr>
        <w:t>members thought that additional rebate was warranted when FeNO was performed in addition to spirometry because there is a real cost in staff time and consumables.</w:t>
      </w:r>
    </w:p>
    <w:p w14:paraId="0FFB839E" w14:textId="77777777" w:rsidR="00BB4881" w:rsidRPr="00C66C45" w:rsidRDefault="00BB4881" w:rsidP="00F56E64">
      <w:pPr>
        <w:rPr>
          <w:rFonts w:eastAsiaTheme="minorHAnsi"/>
        </w:rPr>
      </w:pPr>
      <w:r w:rsidRPr="00C66C45">
        <w:rPr>
          <w:rFonts w:eastAsiaTheme="minorHAnsi"/>
        </w:rPr>
        <w:t>A majority of members favoured option two believing that FeNO in combination with spirometry was not of sufficient complexity to warrant inclusion under 11503. One member dissented favouring option three.</w:t>
      </w:r>
    </w:p>
    <w:p w14:paraId="3EF50789" w14:textId="77777777" w:rsidR="00BB4881" w:rsidRDefault="00BB4881" w:rsidP="00F56E64">
      <w:pPr>
        <w:rPr>
          <w:rFonts w:eastAsiaTheme="minorHAnsi"/>
        </w:rPr>
      </w:pPr>
      <w:r w:rsidRPr="00C66C45">
        <w:rPr>
          <w:rFonts w:eastAsiaTheme="minorHAnsi"/>
        </w:rPr>
        <w:t>Further advice is required to make a recommendation regarding the MBS fee for the combined spirometry/FeNO service.</w:t>
      </w:r>
      <w:r>
        <w:rPr>
          <w:rFonts w:eastAsiaTheme="minorHAnsi"/>
        </w:rPr>
        <w:t xml:space="preserve"> </w:t>
      </w:r>
      <w:r w:rsidRPr="000835C0">
        <w:rPr>
          <w:rFonts w:eastAsiaTheme="minorHAnsi"/>
        </w:rPr>
        <w:t>Some stakeholders have already expressed their wish to see a dedicated MBS item for FeNO in response to concerns about the removal of this test from item 11503.</w:t>
      </w:r>
    </w:p>
    <w:p w14:paraId="592EE304" w14:textId="77777777" w:rsidR="009F523D" w:rsidRDefault="009F523D" w:rsidP="00226919">
      <w:pPr>
        <w:pStyle w:val="Rec2"/>
      </w:pPr>
      <w:bookmarkStart w:id="127" w:name="_Toc458509996"/>
      <w:bookmarkStart w:id="128" w:name="_Toc458768464"/>
      <w:bookmarkStart w:id="129" w:name="_Toc458768644"/>
      <w:bookmarkStart w:id="130" w:name="_Toc478721504"/>
      <w:r>
        <w:lastRenderedPageBreak/>
        <w:t>Complex respiratory tests – new item for FeNO</w:t>
      </w:r>
      <w:bookmarkEnd w:id="127"/>
      <w:bookmarkEnd w:id="128"/>
      <w:bookmarkEnd w:id="129"/>
      <w:bookmarkEnd w:id="130"/>
    </w:p>
    <w:p w14:paraId="76C7FEE5" w14:textId="77777777" w:rsidR="00256236" w:rsidRPr="00256236" w:rsidRDefault="00256236" w:rsidP="00256236">
      <w:pPr>
        <w:pStyle w:val="Rec2"/>
        <w:numPr>
          <w:ilvl w:val="0"/>
          <w:numId w:val="0"/>
        </w:numPr>
        <w:rPr>
          <w:rFonts w:cs="Times New Roman"/>
          <w:b w:val="0"/>
          <w:i w:val="0"/>
          <w:color w:val="auto"/>
          <w:sz w:val="22"/>
          <w:szCs w:val="24"/>
          <w:lang w:val="en-US"/>
        </w:rPr>
      </w:pPr>
      <w:bookmarkStart w:id="131" w:name="_Toc478721505"/>
      <w:r w:rsidRPr="00256236">
        <w:rPr>
          <w:rFonts w:cs="Times New Roman"/>
          <w:b w:val="0"/>
          <w:i w:val="0"/>
          <w:color w:val="auto"/>
          <w:sz w:val="22"/>
          <w:szCs w:val="24"/>
          <w:lang w:val="en-US"/>
        </w:rPr>
        <w:t xml:space="preserve">The Committee recommends </w:t>
      </w:r>
      <w:r>
        <w:rPr>
          <w:rFonts w:cs="Times New Roman"/>
          <w:b w:val="0"/>
          <w:i w:val="0"/>
          <w:color w:val="auto"/>
          <w:sz w:val="22"/>
          <w:szCs w:val="24"/>
          <w:lang w:val="en-US"/>
        </w:rPr>
        <w:t>a new item for fractional exhaled nitric oxide (FeNO)</w:t>
      </w:r>
      <w:r w:rsidRPr="00256236">
        <w:rPr>
          <w:rFonts w:cs="Times New Roman"/>
          <w:b w:val="0"/>
          <w:i w:val="0"/>
          <w:color w:val="auto"/>
          <w:sz w:val="22"/>
          <w:szCs w:val="24"/>
          <w:lang w:val="en-US"/>
        </w:rPr>
        <w:t xml:space="preserve"> as follows:</w:t>
      </w:r>
      <w:bookmarkEnd w:id="131"/>
    </w:p>
    <w:p w14:paraId="718A8D5A" w14:textId="77777777" w:rsidR="00256236" w:rsidRPr="0033725A" w:rsidRDefault="00256236" w:rsidP="00256236">
      <w:pPr>
        <w:pStyle w:val="Rec2"/>
        <w:numPr>
          <w:ilvl w:val="0"/>
          <w:numId w:val="0"/>
        </w:numPr>
        <w:ind w:left="993"/>
      </w:pPr>
    </w:p>
    <w:p w14:paraId="6B5DA0C4" w14:textId="77777777" w:rsidR="009936F3" w:rsidRPr="009936F3" w:rsidRDefault="009936F3" w:rsidP="009936F3">
      <w:pPr>
        <w:pBdr>
          <w:top w:val="single" w:sz="4" w:space="1" w:color="984806"/>
        </w:pBdr>
        <w:rPr>
          <w:b/>
          <w:lang w:val="en-US"/>
        </w:rPr>
      </w:pPr>
      <w:bookmarkStart w:id="132" w:name="_Toc457450653"/>
      <w:r w:rsidRPr="009936F3">
        <w:rPr>
          <w:b/>
          <w:lang w:val="en-US"/>
        </w:rPr>
        <w:t>Proposed new Item Descriptor for new FeNO item</w:t>
      </w:r>
    </w:p>
    <w:p w14:paraId="01ED6EC7" w14:textId="77777777" w:rsidR="009936F3" w:rsidRPr="00C36DD1" w:rsidRDefault="009936F3" w:rsidP="009936F3">
      <w:pPr>
        <w:rPr>
          <w:lang w:val="en-US"/>
        </w:rPr>
      </w:pPr>
      <w:r w:rsidRPr="00C36DD1">
        <w:rPr>
          <w:lang w:val="en-US"/>
        </w:rPr>
        <w:t>Measurement of:</w:t>
      </w:r>
    </w:p>
    <w:p w14:paraId="0CBF673E" w14:textId="77777777" w:rsidR="009936F3" w:rsidRPr="009936F3" w:rsidRDefault="009936F3" w:rsidP="00013EC0">
      <w:pPr>
        <w:pStyle w:val="NormalBulleteda"/>
        <w:numPr>
          <w:ilvl w:val="0"/>
          <w:numId w:val="30"/>
        </w:numPr>
        <w:ind w:left="426" w:hanging="426"/>
      </w:pPr>
      <w:r w:rsidRPr="009936F3">
        <w:t>spirometry including continuous measurement of the relationship between flow and volume during expiration or during expiration and inspiration, performed before and after inhalation of bronchodilator; and</w:t>
      </w:r>
    </w:p>
    <w:p w14:paraId="25E869AE" w14:textId="77777777" w:rsidR="009936F3" w:rsidRPr="009936F3" w:rsidRDefault="009936F3" w:rsidP="00013EC0">
      <w:pPr>
        <w:pStyle w:val="NormalBulleteda"/>
        <w:numPr>
          <w:ilvl w:val="0"/>
          <w:numId w:val="30"/>
        </w:numPr>
        <w:ind w:left="426" w:hanging="426"/>
        <w:rPr>
          <w:lang w:val="en-US"/>
        </w:rPr>
      </w:pPr>
      <w:r w:rsidRPr="009936F3">
        <w:t>fr</w:t>
      </w:r>
      <w:r w:rsidRPr="009936F3">
        <w:rPr>
          <w:lang w:val="en-US"/>
        </w:rPr>
        <w:t>actional exhaled nitric oxide (</w:t>
      </w:r>
      <w:r w:rsidR="00256236" w:rsidRPr="009936F3">
        <w:rPr>
          <w:lang w:val="en-US"/>
        </w:rPr>
        <w:t>F</w:t>
      </w:r>
      <w:r w:rsidR="00256236">
        <w:rPr>
          <w:lang w:val="en-US"/>
        </w:rPr>
        <w:t>e</w:t>
      </w:r>
      <w:r w:rsidR="00256236" w:rsidRPr="009936F3">
        <w:rPr>
          <w:lang w:val="en-US"/>
        </w:rPr>
        <w:t>NO</w:t>
      </w:r>
      <w:r w:rsidRPr="009936F3">
        <w:rPr>
          <w:lang w:val="en-US"/>
        </w:rPr>
        <w:t xml:space="preserve">) concentration in exhaled breath </w:t>
      </w:r>
    </w:p>
    <w:p w14:paraId="602AEC80" w14:textId="77777777" w:rsidR="009936F3" w:rsidRPr="00C36DD1" w:rsidRDefault="009936F3" w:rsidP="009936F3">
      <w:pPr>
        <w:rPr>
          <w:lang w:val="en-US"/>
        </w:rPr>
      </w:pPr>
      <w:r w:rsidRPr="00C36DD1">
        <w:rPr>
          <w:lang w:val="en-US"/>
        </w:rPr>
        <w:t>The tests being performed under the supervision of a specialist or consultant physician or in the respiratory laboratory of a hospital</w:t>
      </w:r>
      <w:r>
        <w:rPr>
          <w:lang w:val="en-US"/>
        </w:rPr>
        <w:t>, with</w:t>
      </w:r>
      <w:r w:rsidRPr="00C36DD1">
        <w:rPr>
          <w:lang w:val="en-US"/>
        </w:rPr>
        <w:t xml:space="preserve"> continuous technician attendance in a respiratory laboratory equipped to perform complex lung function tests: </w:t>
      </w:r>
    </w:p>
    <w:p w14:paraId="69BFD336" w14:textId="77777777" w:rsidR="00EA4658" w:rsidRPr="00F20F9A" w:rsidRDefault="00F20F9A" w:rsidP="00F20F9A">
      <w:pPr>
        <w:pStyle w:val="NormalBulleteda"/>
      </w:pPr>
      <w:r>
        <w:t>(c)</w:t>
      </w:r>
      <w:r>
        <w:tab/>
      </w:r>
      <w:r w:rsidR="009936F3" w:rsidRPr="009936F3">
        <w:t xml:space="preserve">a permanently </w:t>
      </w:r>
      <w:r w:rsidR="009936F3" w:rsidRPr="00F20F9A">
        <w:t>recorded tracing and written report is provided</w:t>
      </w:r>
    </w:p>
    <w:p w14:paraId="7F16A591" w14:textId="77777777" w:rsidR="009936F3" w:rsidRPr="00F20F9A" w:rsidRDefault="00F20F9A" w:rsidP="00F20F9A">
      <w:pPr>
        <w:pStyle w:val="NormalBulleteda"/>
      </w:pPr>
      <w:r>
        <w:t>(d)</w:t>
      </w:r>
      <w:r>
        <w:tab/>
      </w:r>
      <w:r w:rsidR="009936F3" w:rsidRPr="00F20F9A">
        <w:t>three or more spirometry recordings are performed unless difficult to achieve for clinical reasons</w:t>
      </w:r>
    </w:p>
    <w:p w14:paraId="22DA9B8C" w14:textId="77777777" w:rsidR="009936F3" w:rsidRPr="00EA4658" w:rsidRDefault="00F20F9A" w:rsidP="00F20F9A">
      <w:pPr>
        <w:pStyle w:val="NormalBulleteda"/>
        <w:rPr>
          <w:lang w:val="en-US"/>
        </w:rPr>
      </w:pPr>
      <w:r>
        <w:t>(e)</w:t>
      </w:r>
      <w:r>
        <w:tab/>
      </w:r>
      <w:r w:rsidR="00256236">
        <w:t>e</w:t>
      </w:r>
      <w:r w:rsidR="00256236" w:rsidRPr="00F20F9A">
        <w:t xml:space="preserve">ach </w:t>
      </w:r>
      <w:r w:rsidR="009936F3" w:rsidRPr="00F20F9A">
        <w:t>occasion</w:t>
      </w:r>
      <w:r w:rsidR="009936F3" w:rsidRPr="009936F3">
        <w:t xml:space="preserve"> at which 1 or more such tests are performed, not being a service associated with a service to which items 11503, 11512 or 22018 applies.</w:t>
      </w:r>
    </w:p>
    <w:p w14:paraId="378E04AE" w14:textId="77777777" w:rsidR="009936F3" w:rsidRDefault="009936F3" w:rsidP="009936F3">
      <w:pPr>
        <w:rPr>
          <w:lang w:val="en-US"/>
        </w:rPr>
      </w:pPr>
      <w:r w:rsidRPr="009936F3">
        <w:rPr>
          <w:b/>
          <w:lang w:val="en-US"/>
        </w:rPr>
        <w:t>Fee</w:t>
      </w:r>
      <w:r w:rsidRPr="00C36DD1">
        <w:rPr>
          <w:b/>
          <w:lang w:val="en-US"/>
        </w:rPr>
        <w:t>:</w:t>
      </w:r>
      <w:r w:rsidRPr="00C36DD1">
        <w:rPr>
          <w:lang w:val="en-US"/>
        </w:rPr>
        <w:t xml:space="preserve"> $TBD</w:t>
      </w:r>
    </w:p>
    <w:p w14:paraId="5E56513D" w14:textId="77777777" w:rsidR="009F523D" w:rsidRPr="00700528" w:rsidRDefault="009936F3" w:rsidP="009936F3">
      <w:pPr>
        <w:pBdr>
          <w:bottom w:val="single" w:sz="4" w:space="1" w:color="984806"/>
        </w:pBdr>
      </w:pPr>
      <w:r w:rsidRPr="009936F3">
        <w:rPr>
          <w:b/>
          <w:lang w:val="en-US"/>
        </w:rPr>
        <w:t>Benefit</w:t>
      </w:r>
      <w:r w:rsidRPr="00C36DD1">
        <w:rPr>
          <w:lang w:val="en-US"/>
        </w:rPr>
        <w:t>: 75% = $TBD</w:t>
      </w:r>
      <w:r>
        <w:rPr>
          <w:lang w:val="en-US"/>
        </w:rPr>
        <w:t xml:space="preserve">; </w:t>
      </w:r>
      <w:r w:rsidRPr="00C36DD1">
        <w:rPr>
          <w:lang w:val="en-US"/>
        </w:rPr>
        <w:t>85% = $TBD</w:t>
      </w:r>
      <w:bookmarkEnd w:id="132"/>
    </w:p>
    <w:p w14:paraId="30777CAF" w14:textId="77777777" w:rsidR="00BB4881" w:rsidRPr="00B84B9A" w:rsidRDefault="00BB4881" w:rsidP="009F523D">
      <w:pPr>
        <w:pStyle w:val="Heading4"/>
      </w:pPr>
      <w:bookmarkStart w:id="133" w:name="_Toc452990624"/>
      <w:r>
        <w:t>F</w:t>
      </w:r>
      <w:r w:rsidRPr="00B84B9A">
        <w:t>low-volume loop testing for central airways obstruction</w:t>
      </w:r>
      <w:bookmarkEnd w:id="133"/>
      <w:r w:rsidRPr="00B84B9A">
        <w:t xml:space="preserve"> </w:t>
      </w:r>
    </w:p>
    <w:p w14:paraId="72F71226" w14:textId="77777777" w:rsidR="00BB4881" w:rsidRPr="00B84B9A" w:rsidRDefault="00BB4881" w:rsidP="00F56E64">
      <w:pPr>
        <w:rPr>
          <w:rFonts w:eastAsiaTheme="minorHAnsi"/>
        </w:rPr>
      </w:pPr>
      <w:r w:rsidRPr="00B84B9A">
        <w:rPr>
          <w:rFonts w:eastAsiaTheme="minorHAnsi"/>
        </w:rPr>
        <w:t>At present flow-volume loop testing may be performed under item 11512 or in a laboratory under item 11503. This test is used to diagnose clinically significant central airway obstruction. It is not a complicated test and members agreed it is most appropriately performed under item 11512. The Committee agreed that an explanatory note</w:t>
      </w:r>
      <w:r w:rsidR="006E10BB">
        <w:rPr>
          <w:rFonts w:eastAsiaTheme="minorHAnsi"/>
        </w:rPr>
        <w:t xml:space="preserve"> is required</w:t>
      </w:r>
      <w:r w:rsidRPr="00B84B9A">
        <w:rPr>
          <w:rFonts w:eastAsiaTheme="minorHAnsi"/>
        </w:rPr>
        <w:t xml:space="preserve"> to advise practitioners that flow-volume loop testing (including expiratory and inspiratory curves) is to be performed under item 11512 rather than item 11503.</w:t>
      </w:r>
      <w:r w:rsidR="00A403FC">
        <w:rPr>
          <w:rFonts w:eastAsiaTheme="minorHAnsi"/>
        </w:rPr>
        <w:t xml:space="preserve"> </w:t>
      </w:r>
    </w:p>
    <w:p w14:paraId="0B802E13" w14:textId="77777777" w:rsidR="00BB4881" w:rsidRPr="00B84B9A" w:rsidRDefault="00BB4881" w:rsidP="00F56E64">
      <w:pPr>
        <w:rPr>
          <w:rFonts w:eastAsiaTheme="minorHAnsi"/>
        </w:rPr>
      </w:pPr>
      <w:r w:rsidRPr="00B84B9A">
        <w:rPr>
          <w:rFonts w:eastAsiaTheme="minorHAnsi"/>
        </w:rPr>
        <w:t xml:space="preserve">The </w:t>
      </w:r>
      <w:r w:rsidR="009276ED">
        <w:rPr>
          <w:rFonts w:eastAsiaTheme="minorHAnsi"/>
        </w:rPr>
        <w:t>Committee</w:t>
      </w:r>
      <w:r w:rsidRPr="00B84B9A">
        <w:rPr>
          <w:rFonts w:eastAsiaTheme="minorHAnsi"/>
        </w:rPr>
        <w:t xml:space="preserve"> noted that there may be occasions where three flow-volume loop tests cannot be achieved for clinical reasons. They agreed this should not affect the ability to bill for the item as the billing reflects the physician’s attendance and test reporting, not the reproducibility of the test. </w:t>
      </w:r>
    </w:p>
    <w:p w14:paraId="4F744287" w14:textId="77777777" w:rsidR="00BB4881" w:rsidRDefault="00BB4881" w:rsidP="00F56E64">
      <w:pPr>
        <w:rPr>
          <w:rFonts w:eastAsiaTheme="minorHAnsi"/>
        </w:rPr>
      </w:pPr>
      <w:r w:rsidRPr="00B84B9A">
        <w:rPr>
          <w:rFonts w:eastAsiaTheme="minorHAnsi"/>
        </w:rPr>
        <w:t xml:space="preserve">The </w:t>
      </w:r>
      <w:r w:rsidR="009276ED">
        <w:rPr>
          <w:rFonts w:eastAsiaTheme="minorHAnsi"/>
        </w:rPr>
        <w:t>Committee</w:t>
      </w:r>
      <w:r w:rsidRPr="00B84B9A">
        <w:rPr>
          <w:rFonts w:eastAsiaTheme="minorHAnsi"/>
        </w:rPr>
        <w:t xml:space="preserve"> also discussed whether the supervision requirements associated with item 11512 should be removed from the descriptor and placed in an explanatory note. However, the Committee agreed to retain the supervision requirements in the descriptor</w:t>
      </w:r>
      <w:r w:rsidR="0058261D">
        <w:rPr>
          <w:rFonts w:eastAsiaTheme="minorHAnsi"/>
        </w:rPr>
        <w:t xml:space="preserve">. </w:t>
      </w:r>
    </w:p>
    <w:p w14:paraId="3A2914A7" w14:textId="77777777" w:rsidR="009936F3" w:rsidRDefault="0058261D" w:rsidP="00F56E64">
      <w:pPr>
        <w:rPr>
          <w:rFonts w:eastAsiaTheme="minorHAnsi"/>
        </w:rPr>
      </w:pPr>
      <w:r>
        <w:rPr>
          <w:rFonts w:eastAsiaTheme="minorHAnsi"/>
        </w:rPr>
        <w:t xml:space="preserve">The revised item descriptor for item 11512 is </w:t>
      </w:r>
      <w:r w:rsidR="009936F3">
        <w:rPr>
          <w:rFonts w:eastAsiaTheme="minorHAnsi"/>
        </w:rPr>
        <w:t>in Recommendation 1 –</w:t>
      </w:r>
      <w:r w:rsidR="009936F3" w:rsidRPr="009936F3">
        <w:rPr>
          <w:rFonts w:eastAsiaTheme="minorHAnsi"/>
        </w:rPr>
        <w:t>Spirometry</w:t>
      </w:r>
      <w:r w:rsidR="009936F3">
        <w:rPr>
          <w:rFonts w:eastAsiaTheme="minorHAnsi"/>
        </w:rPr>
        <w:t xml:space="preserve">, towards the end of Section 4. </w:t>
      </w:r>
      <w:r>
        <w:rPr>
          <w:rFonts w:eastAsiaTheme="minorHAnsi"/>
        </w:rPr>
        <w:t xml:space="preserve">The explanatory note for items 11503 and 11512 relevant to this issue </w:t>
      </w:r>
      <w:r w:rsidR="009936F3">
        <w:rPr>
          <w:rFonts w:eastAsiaTheme="minorHAnsi"/>
        </w:rPr>
        <w:t>as follows</w:t>
      </w:r>
      <w:r w:rsidR="009936F3" w:rsidRPr="009936F3">
        <w:rPr>
          <w:rFonts w:eastAsiaTheme="minorHAnsi"/>
        </w:rPr>
        <w:t>.</w:t>
      </w:r>
    </w:p>
    <w:p w14:paraId="550A1BD0" w14:textId="77777777" w:rsidR="009936F3" w:rsidRDefault="009936F3" w:rsidP="00CE118E">
      <w:pPr>
        <w:pStyle w:val="Heading4"/>
      </w:pPr>
      <w:r w:rsidRPr="009936F3">
        <w:lastRenderedPageBreak/>
        <w:t>Proposed explanatory notes for items 11503 and 11512</w:t>
      </w:r>
    </w:p>
    <w:p w14:paraId="7FD9EFE6" w14:textId="77777777" w:rsidR="0058261D" w:rsidRPr="009936F3" w:rsidRDefault="009936F3" w:rsidP="009936F3">
      <w:pPr>
        <w:rPr>
          <w:rFonts w:eastAsiaTheme="minorHAnsi"/>
          <w:lang w:eastAsia="en-US"/>
        </w:rPr>
      </w:pPr>
      <w:r w:rsidRPr="009936F3">
        <w:rPr>
          <w:rFonts w:eastAsiaTheme="minorHAnsi"/>
          <w:lang w:eastAsia="en-US"/>
        </w:rPr>
        <w:t>Maximum inspiratory and expiratory flow-volume loop testing for the purpose of diagnosing central airways obstruction is to be performed under MBS item 11512. Fewer than three traces will be accepted as billable under this item if three reproducible loops are difficult to achieve for clinical reasons.</w:t>
      </w:r>
    </w:p>
    <w:p w14:paraId="66D535A0" w14:textId="77777777" w:rsidR="00BB4881" w:rsidRPr="00F76CAA" w:rsidRDefault="00BB4881" w:rsidP="009936F3">
      <w:pPr>
        <w:pStyle w:val="Heading2"/>
      </w:pPr>
      <w:bookmarkStart w:id="134" w:name="_Toc452990626"/>
      <w:bookmarkStart w:id="135" w:name="_Toc458509997"/>
      <w:bookmarkStart w:id="136" w:name="_Toc458768465"/>
      <w:bookmarkStart w:id="137" w:name="_Toc458768645"/>
      <w:bookmarkStart w:id="138" w:name="_Toc478721506"/>
      <w:r w:rsidRPr="00F76CAA">
        <w:t>Other Issues</w:t>
      </w:r>
      <w:bookmarkEnd w:id="134"/>
      <w:bookmarkEnd w:id="135"/>
      <w:bookmarkEnd w:id="136"/>
      <w:bookmarkEnd w:id="137"/>
      <w:bookmarkEnd w:id="138"/>
    </w:p>
    <w:p w14:paraId="1C772AB2" w14:textId="77777777" w:rsidR="00BB4881" w:rsidRPr="00D254A1" w:rsidRDefault="00BB4881" w:rsidP="00226919">
      <w:pPr>
        <w:pStyle w:val="Heading3"/>
      </w:pPr>
      <w:r w:rsidRPr="00D254A1">
        <w:t>Paediatric respiratory function tests</w:t>
      </w:r>
    </w:p>
    <w:p w14:paraId="22ADB3E6" w14:textId="77777777" w:rsidR="00BB4881" w:rsidRPr="00B84B9A" w:rsidRDefault="00BB4881" w:rsidP="00F56E64">
      <w:r w:rsidRPr="00B84B9A">
        <w:t xml:space="preserve">There was discussion about whether these tests should attract higher fees recognising that additional resources are sometimes required to undertake the tests. It was acknowledged that the additional resources relate to laboratory staff assisting in setting up or performing the test rather than the time to undertake the test. No additional medical professional time is required to interpret the test. It was acknowledged that these tests are largely provided within a public hospital setting where non-medical staff costs are hospital funded. </w:t>
      </w:r>
    </w:p>
    <w:p w14:paraId="7CDB5219" w14:textId="77777777" w:rsidR="00BB4881" w:rsidRPr="00B84B9A" w:rsidRDefault="00BB4881" w:rsidP="00F56E64">
      <w:r w:rsidRPr="005331E8">
        <w:t xml:space="preserve">The </w:t>
      </w:r>
      <w:r w:rsidR="007B78B9">
        <w:t>Committee</w:t>
      </w:r>
      <w:r w:rsidRPr="005331E8">
        <w:t xml:space="preserve"> agreed that the recommended changes to lung function tests should cover paediatric and adult patients. The Committee does not support the introduction of a fee loading for paediatric tests at this time</w:t>
      </w:r>
      <w:r w:rsidRPr="00B84B9A">
        <w:t>.</w:t>
      </w:r>
    </w:p>
    <w:p w14:paraId="04E9773B" w14:textId="77777777" w:rsidR="00BB4881" w:rsidRPr="00D254A1" w:rsidRDefault="00BB4881" w:rsidP="00905D09">
      <w:pPr>
        <w:pStyle w:val="Heading3"/>
      </w:pPr>
      <w:r w:rsidRPr="00D254A1">
        <w:t>Co-claiming of spirometry (items 11506 and 11512) with More Complex Laboratory Based Tests (item 11503)</w:t>
      </w:r>
    </w:p>
    <w:p w14:paraId="0B8FC683" w14:textId="77777777" w:rsidR="00BB4881" w:rsidRPr="00B84B9A" w:rsidRDefault="00BB4881" w:rsidP="00F56E64">
      <w:r w:rsidRPr="00B84B9A">
        <w:t xml:space="preserve">The </w:t>
      </w:r>
      <w:r w:rsidR="007B78B9">
        <w:t>Committee</w:t>
      </w:r>
      <w:r w:rsidRPr="00B84B9A">
        <w:t xml:space="preserve"> noted that currently, spirometry performed in a laboratory is being billed under items 11509 (recommended for removal), 11512 or 11503 (complex). The </w:t>
      </w:r>
      <w:r w:rsidR="007B78B9">
        <w:t>Committee</w:t>
      </w:r>
      <w:r w:rsidRPr="00B84B9A">
        <w:t xml:space="preserve"> noted that there are no regulations that directly prevent providers from claiming 11503 for laboratory based spirometry nor is there direct restriction on same day co-claiming of the spirometry items with 11503.</w:t>
      </w:r>
      <w:r w:rsidR="00A403FC">
        <w:t xml:space="preserve"> </w:t>
      </w:r>
      <w:r w:rsidRPr="00302A67">
        <w:t>MBS data (see Appendix D – Top 10 same day item combinations - item 11503 with other MBS items, 2014-15)</w:t>
      </w:r>
      <w:r w:rsidRPr="00F15D21">
        <w:t xml:space="preserve"> confirms</w:t>
      </w:r>
      <w:r w:rsidRPr="00B84B9A">
        <w:t xml:space="preserve"> that in general spirometry items are not claimed on the same day as item 11503. </w:t>
      </w:r>
    </w:p>
    <w:p w14:paraId="25BF4C49" w14:textId="77777777" w:rsidR="00BB4881" w:rsidRPr="00B84B9A" w:rsidRDefault="00BB4881" w:rsidP="00F56E64">
      <w:r w:rsidRPr="00B84B9A">
        <w:t>The Department of Health advised that same day co-claiming of items has increased over time and is quite widespread across the MBS. The absence of a restriction on co-claiming does not indicate that the circumstance has been specifically considered nor does it indicate agreement that co-claiming is legitimate. At the present time, co-claiming is assessed according to the particular service under review. In addition, where an MBS item describes a specific service</w:t>
      </w:r>
      <w:r>
        <w:t>,</w:t>
      </w:r>
      <w:r w:rsidRPr="00B84B9A">
        <w:t xml:space="preserve"> that is the item that should be billed rather than a more general item. </w:t>
      </w:r>
    </w:p>
    <w:p w14:paraId="36DE44F1" w14:textId="77777777" w:rsidR="00BB4881" w:rsidRPr="00B84B9A" w:rsidRDefault="00BB4881" w:rsidP="00F56E64">
      <w:r w:rsidRPr="00B84B9A">
        <w:t xml:space="preserve">The </w:t>
      </w:r>
      <w:r w:rsidR="007B78B9">
        <w:t>Committee</w:t>
      </w:r>
      <w:r w:rsidRPr="00B84B9A">
        <w:t xml:space="preserve"> noted that spirometry services could be provided in a variety of settings from a relatively simple, office based service to spirometry as part of suite of complex lung function testing performed in a laboratory. The escalation in the complexity of service (and available rebates) means that the more complex services encompass the simpler service. For example, if spirometry is performed under MBS item 11503, it should not also be billed under item 11512. </w:t>
      </w:r>
    </w:p>
    <w:p w14:paraId="0807A2C7" w14:textId="77777777" w:rsidR="00BB4881" w:rsidRPr="00905D09" w:rsidRDefault="00BB4881" w:rsidP="00F56E64">
      <w:r w:rsidRPr="00B84B9A">
        <w:lastRenderedPageBreak/>
        <w:t xml:space="preserve">The </w:t>
      </w:r>
      <w:r w:rsidR="007B78B9">
        <w:t>Committee</w:t>
      </w:r>
      <w:r w:rsidRPr="00B84B9A">
        <w:t xml:space="preserve"> noted that item 11512 should be billed when spirometry is the only laboratory test preformed. However, if spirometry is performed with another approved lung function test in a laboratory, then it would be appropriate to bill MBS 11503, noting that 11503 has one MBS rebate no matter how many tests are performed. The </w:t>
      </w:r>
      <w:r w:rsidR="007B78B9">
        <w:t>Committee</w:t>
      </w:r>
      <w:r w:rsidRPr="00B84B9A">
        <w:t xml:space="preserve"> agreed that it is not appropriate to bill item 11503 when spirometry is the only laboratory test performed. To do so would mean that item 11512 is redundant, when clearly it is contemplated that laboratory spirometry should attract MBS rebates that are less than the rebate for item 11503</w:t>
      </w:r>
      <w:r w:rsidR="00F973B3">
        <w:t>.</w:t>
      </w:r>
    </w:p>
    <w:p w14:paraId="27FC5BE0" w14:textId="77777777" w:rsidR="00BB4881" w:rsidRPr="00B84B9A" w:rsidRDefault="00BB4881" w:rsidP="00F56E64">
      <w:r w:rsidRPr="00B84B9A">
        <w:t xml:space="preserve">The </w:t>
      </w:r>
      <w:r w:rsidR="007B78B9">
        <w:t>Committee</w:t>
      </w:r>
      <w:r w:rsidRPr="00B84B9A">
        <w:t xml:space="preserve"> ha</w:t>
      </w:r>
      <w:r>
        <w:t>s</w:t>
      </w:r>
      <w:r w:rsidRPr="00B84B9A">
        <w:t xml:space="preserve"> recommended that regulations and explanatory notes be amended to make it clear that spirometry items cannot be co-claimed on the same day as item 11503 and spirometry is not to be billed under 11503 when it is the only test performed on that day. If laboratory based spirometry is performed with other tests and billed under 11503, the spirometry should meet the quality requirements for 11512. </w:t>
      </w:r>
    </w:p>
    <w:p w14:paraId="175D60F7" w14:textId="77777777" w:rsidR="00BB4881" w:rsidRPr="00B84B9A" w:rsidRDefault="00BB4881" w:rsidP="00BB4881">
      <w:pPr>
        <w:pStyle w:val="Heading3"/>
      </w:pPr>
      <w:bookmarkStart w:id="139" w:name="_Toc452990627"/>
      <w:r w:rsidRPr="00B84B9A">
        <w:t>Co-claiming of MBS item 11503 and 12203</w:t>
      </w:r>
      <w:bookmarkEnd w:id="139"/>
    </w:p>
    <w:p w14:paraId="745DAD3B" w14:textId="77777777" w:rsidR="00BB4881" w:rsidRPr="00B84B9A" w:rsidRDefault="00BB4881" w:rsidP="00F56E64">
      <w:r w:rsidRPr="00B84B9A">
        <w:t xml:space="preserve">The </w:t>
      </w:r>
      <w:r w:rsidR="00F973B3">
        <w:t>Committee</w:t>
      </w:r>
      <w:r w:rsidRPr="00B84B9A">
        <w:t xml:space="preserve"> discussed the same day co-claiming of MBS item 12203 (attended sleep study) with item 11503 (complex lung</w:t>
      </w:r>
      <w:r w:rsidR="00F973B3">
        <w:t xml:space="preserve"> function testing) noting that </w:t>
      </w:r>
      <w:r w:rsidRPr="00B84B9A">
        <w:t xml:space="preserve">in </w:t>
      </w:r>
      <w:r>
        <w:t xml:space="preserve">the year to end June </w:t>
      </w:r>
      <w:r w:rsidRPr="00B84B9A">
        <w:t>201</w:t>
      </w:r>
      <w:r>
        <w:t>4</w:t>
      </w:r>
      <w:r w:rsidRPr="00B84B9A">
        <w:t xml:space="preserve"> </w:t>
      </w:r>
      <w:r>
        <w:t xml:space="preserve">this increased by </w:t>
      </w:r>
      <w:r w:rsidRPr="00B84B9A">
        <w:t xml:space="preserve">150% and </w:t>
      </w:r>
      <w:r>
        <w:t>in 2014/15, 27% of item 12203 servic</w:t>
      </w:r>
      <w:r w:rsidR="00F973B3">
        <w:t>es were claimed with item 11503.</w:t>
      </w:r>
    </w:p>
    <w:p w14:paraId="48CBB7E7" w14:textId="77777777" w:rsidR="00BB4881" w:rsidRPr="00B84B9A" w:rsidRDefault="00BB4881" w:rsidP="00F56E64">
      <w:r w:rsidRPr="00B84B9A">
        <w:t xml:space="preserve">The </w:t>
      </w:r>
      <w:r w:rsidR="00F973B3">
        <w:t>Committee</w:t>
      </w:r>
      <w:r w:rsidRPr="00B84B9A">
        <w:t xml:space="preserve"> suggested that some sleep study providers may be performing nasal peak flow in conjunction with a sleep study and billing MBS item 11503.</w:t>
      </w:r>
      <w:r w:rsidR="00A403FC">
        <w:t xml:space="preserve"> </w:t>
      </w:r>
      <w:r w:rsidRPr="00B84B9A">
        <w:t>It was agreed that this was opportunistic billing and that there would be no clinical indication for this approach for most patients.</w:t>
      </w:r>
    </w:p>
    <w:p w14:paraId="4A5B0257" w14:textId="77777777" w:rsidR="00BB4881" w:rsidRPr="0099709F" w:rsidRDefault="00BB4881" w:rsidP="00F56E64">
      <w:r w:rsidRPr="00B84B9A">
        <w:t xml:space="preserve">Members recommended that the co-claiming of MBS 11503 </w:t>
      </w:r>
      <w:r>
        <w:t>for services related to the measurement of sleep or associated factors should be prevented</w:t>
      </w:r>
      <w:r w:rsidRPr="00B84B9A">
        <w:t>, except for certain clinical indications.</w:t>
      </w:r>
      <w:r w:rsidR="00A403FC">
        <w:t xml:space="preserve"> </w:t>
      </w:r>
      <w:r w:rsidRPr="00B84B9A">
        <w:t>It should be noted that previous item under 11503 “</w:t>
      </w:r>
      <w:r w:rsidRPr="00B84B9A">
        <w:rPr>
          <w:rFonts w:cs="Arial"/>
        </w:rPr>
        <w:t xml:space="preserve">Measurement of the resistance of the anterior nares or pharynx” is recommended for deletion. </w:t>
      </w:r>
      <w:r w:rsidRPr="00B84B9A">
        <w:t>It was recommended that where a patient has clinical indications for an MBS 11503 on the same day as a sleep study, and the service performed under 11503 is separate to the sleep study, then the account may be annotated to reflect this which would enable payment of separate patient rebate. This approach already applies to item 12250.</w:t>
      </w:r>
      <w:r w:rsidRPr="0099709F">
        <w:t xml:space="preserve"> </w:t>
      </w:r>
    </w:p>
    <w:p w14:paraId="2075B340" w14:textId="77777777" w:rsidR="00BB4881" w:rsidRDefault="003B609E" w:rsidP="00226919">
      <w:pPr>
        <w:pStyle w:val="Rec2"/>
      </w:pPr>
      <w:bookmarkStart w:id="140" w:name="_Toc458509998"/>
      <w:bookmarkStart w:id="141" w:name="_Toc458768466"/>
      <w:bookmarkStart w:id="142" w:name="_Toc458768646"/>
      <w:bookmarkStart w:id="143" w:name="_Toc478721507"/>
      <w:bookmarkStart w:id="144" w:name="_Toc452990628"/>
      <w:r>
        <w:t>Complex lung function – c</w:t>
      </w:r>
      <w:r w:rsidR="00BB4881" w:rsidRPr="00B84B9A">
        <w:t>hanges to item 11503</w:t>
      </w:r>
      <w:bookmarkEnd w:id="140"/>
      <w:bookmarkEnd w:id="141"/>
      <w:bookmarkEnd w:id="142"/>
      <w:bookmarkEnd w:id="143"/>
      <w:r w:rsidR="00BB4881" w:rsidRPr="00B84B9A">
        <w:t xml:space="preserve"> </w:t>
      </w:r>
      <w:bookmarkEnd w:id="144"/>
    </w:p>
    <w:p w14:paraId="5E6A6A73" w14:textId="77777777" w:rsidR="00226919" w:rsidRDefault="00226919" w:rsidP="00F56E64">
      <w:r w:rsidRPr="00B84B9A">
        <w:t>The following are recommended draft changes to item 11503. It should be noted that to meet regulatory requirements, further legal drafting will be required.</w:t>
      </w:r>
      <w:r w:rsidRPr="00905D09">
        <w:t xml:space="preserve"> </w:t>
      </w:r>
    </w:p>
    <w:p w14:paraId="3382B391" w14:textId="77777777" w:rsidR="009936F3" w:rsidRPr="006C2D88" w:rsidRDefault="009936F3" w:rsidP="009936F3">
      <w:pPr>
        <w:pBdr>
          <w:top w:val="single" w:sz="4" w:space="1" w:color="984806"/>
        </w:pBdr>
        <w:rPr>
          <w:b/>
          <w:lang w:val="en-US"/>
        </w:rPr>
      </w:pPr>
      <w:r w:rsidRPr="006C2D88">
        <w:rPr>
          <w:b/>
          <w:lang w:val="en-US"/>
        </w:rPr>
        <w:t>Current Item 11503 Descriptor</w:t>
      </w:r>
    </w:p>
    <w:p w14:paraId="382F89D5" w14:textId="77777777" w:rsidR="009936F3" w:rsidRPr="00F15D21" w:rsidRDefault="009936F3" w:rsidP="009936F3">
      <w:pPr>
        <w:rPr>
          <w:szCs w:val="22"/>
        </w:rPr>
      </w:pPr>
      <w:r w:rsidRPr="00F15D21">
        <w:rPr>
          <w:szCs w:val="22"/>
        </w:rPr>
        <w:t>Measurement of the:</w:t>
      </w:r>
    </w:p>
    <w:p w14:paraId="12C78726" w14:textId="77777777" w:rsidR="009936F3" w:rsidRPr="00F15D21" w:rsidRDefault="006A6284" w:rsidP="006A6284">
      <w:pPr>
        <w:pStyle w:val="NormalBulleteda"/>
      </w:pPr>
      <w:r>
        <w:t>(a)</w:t>
      </w:r>
      <w:r>
        <w:tab/>
      </w:r>
      <w:r w:rsidR="009936F3" w:rsidRPr="00F15D21">
        <w:t xml:space="preserve">mechanical or gas exchange function of the respiratory system; or </w:t>
      </w:r>
    </w:p>
    <w:p w14:paraId="0B987D52" w14:textId="77777777" w:rsidR="009936F3" w:rsidRPr="00F15D21" w:rsidRDefault="006A6284" w:rsidP="006A6284">
      <w:pPr>
        <w:pStyle w:val="NormalBulleteda"/>
      </w:pPr>
      <w:r>
        <w:t>(b)</w:t>
      </w:r>
      <w:r>
        <w:tab/>
      </w:r>
      <w:r w:rsidR="009936F3" w:rsidRPr="00F15D21">
        <w:t xml:space="preserve">respiratory muscle function; or </w:t>
      </w:r>
    </w:p>
    <w:p w14:paraId="740C7553" w14:textId="77777777" w:rsidR="009936F3" w:rsidRPr="00F15D21" w:rsidRDefault="006A6284" w:rsidP="006A6284">
      <w:pPr>
        <w:pStyle w:val="NormalBulleteda"/>
      </w:pPr>
      <w:r>
        <w:t>(c)</w:t>
      </w:r>
      <w:r>
        <w:tab/>
      </w:r>
      <w:r w:rsidR="009936F3" w:rsidRPr="00F15D21">
        <w:t>ventilatory control mechanisms.</w:t>
      </w:r>
    </w:p>
    <w:p w14:paraId="1CFDD662" w14:textId="77777777" w:rsidR="009936F3" w:rsidRPr="00F15D21" w:rsidRDefault="009936F3" w:rsidP="009936F3">
      <w:r w:rsidRPr="00F15D21">
        <w:t xml:space="preserve">Various measurement parameters may be used including any of the following: </w:t>
      </w:r>
    </w:p>
    <w:p w14:paraId="5116305D" w14:textId="77777777" w:rsidR="009936F3" w:rsidRPr="006A6284" w:rsidRDefault="006A6284" w:rsidP="006A6284">
      <w:pPr>
        <w:pStyle w:val="NormalBulleteda"/>
      </w:pPr>
      <w:r>
        <w:t>(a)</w:t>
      </w:r>
      <w:r>
        <w:tab/>
      </w:r>
      <w:r w:rsidR="009936F3" w:rsidRPr="006A6284">
        <w:t xml:space="preserve">pressures; </w:t>
      </w:r>
    </w:p>
    <w:p w14:paraId="5B4A338E" w14:textId="77777777" w:rsidR="009936F3" w:rsidRPr="00F15D21" w:rsidRDefault="006A6284" w:rsidP="006A6284">
      <w:pPr>
        <w:pStyle w:val="NormalBulleteda"/>
      </w:pPr>
      <w:r>
        <w:lastRenderedPageBreak/>
        <w:t>(b)</w:t>
      </w:r>
      <w:r>
        <w:tab/>
      </w:r>
      <w:r w:rsidR="009936F3" w:rsidRPr="006A6284">
        <w:t>volumes;</w:t>
      </w:r>
      <w:r w:rsidR="009936F3" w:rsidRPr="00F15D21">
        <w:t xml:space="preserve"> </w:t>
      </w:r>
    </w:p>
    <w:p w14:paraId="48A8AB46" w14:textId="77777777" w:rsidR="009936F3" w:rsidRPr="00F15D21" w:rsidRDefault="006A6284" w:rsidP="006A6284">
      <w:pPr>
        <w:pStyle w:val="NormalBulleteda"/>
      </w:pPr>
      <w:r>
        <w:t>(c)</w:t>
      </w:r>
      <w:r>
        <w:tab/>
      </w:r>
      <w:r w:rsidR="009936F3" w:rsidRPr="00F15D21">
        <w:t xml:space="preserve">flow; </w:t>
      </w:r>
    </w:p>
    <w:p w14:paraId="09BF6A5C" w14:textId="77777777" w:rsidR="009936F3" w:rsidRPr="00F15D21" w:rsidRDefault="006A6284" w:rsidP="006A6284">
      <w:pPr>
        <w:pStyle w:val="NormalBulleteda"/>
      </w:pPr>
      <w:r>
        <w:t>(d)</w:t>
      </w:r>
      <w:r>
        <w:tab/>
      </w:r>
      <w:r w:rsidR="009936F3" w:rsidRPr="00F15D21">
        <w:t xml:space="preserve">gas concentrations in inspired or expired air; </w:t>
      </w:r>
    </w:p>
    <w:p w14:paraId="0F5FFB4E" w14:textId="77777777" w:rsidR="009936F3" w:rsidRPr="00F15D21" w:rsidRDefault="006A6284" w:rsidP="006A6284">
      <w:pPr>
        <w:pStyle w:val="NormalBulleteda"/>
      </w:pPr>
      <w:r>
        <w:t>(e)</w:t>
      </w:r>
      <w:r>
        <w:tab/>
      </w:r>
      <w:r w:rsidR="009936F3" w:rsidRPr="00F15D21">
        <w:t xml:space="preserve">alveolar gas or blood; </w:t>
      </w:r>
    </w:p>
    <w:p w14:paraId="7038956E" w14:textId="77777777" w:rsidR="009936F3" w:rsidRPr="00F15D21" w:rsidRDefault="006A6284" w:rsidP="006A6284">
      <w:pPr>
        <w:pStyle w:val="NormalBulleteda"/>
      </w:pPr>
      <w:r>
        <w:t>(f)</w:t>
      </w:r>
      <w:r>
        <w:tab/>
      </w:r>
      <w:r w:rsidR="009936F3" w:rsidRPr="00F15D21">
        <w:t xml:space="preserve">electrical activity of muscles. </w:t>
      </w:r>
    </w:p>
    <w:p w14:paraId="45C9A2B5" w14:textId="77777777" w:rsidR="009936F3" w:rsidRPr="00F15D21" w:rsidRDefault="009936F3" w:rsidP="009936F3">
      <w:r w:rsidRPr="00F15D21">
        <w:t>The tests being performed under the supervision of a specialist or consultant physician or in the respiratory laboratory of a hospital. Each occasion at which 1 or more such tests are performed, not being a service associated with a service to which item 22018 applies.</w:t>
      </w:r>
    </w:p>
    <w:p w14:paraId="6373DC6F" w14:textId="77777777" w:rsidR="009936F3" w:rsidRPr="00F15D21" w:rsidRDefault="009936F3" w:rsidP="009936F3">
      <w:r w:rsidRPr="00F15D21">
        <w:t>(See para D1.14 of explanatory notes to this Category)</w:t>
      </w:r>
    </w:p>
    <w:p w14:paraId="6EDC70A1" w14:textId="77777777" w:rsidR="009936F3" w:rsidRDefault="009936F3" w:rsidP="009936F3">
      <w:pPr>
        <w:rPr>
          <w:bCs/>
          <w:szCs w:val="22"/>
        </w:rPr>
      </w:pPr>
      <w:r w:rsidRPr="00387F79">
        <w:rPr>
          <w:b/>
          <w:bCs/>
          <w:szCs w:val="22"/>
        </w:rPr>
        <w:t>Fee:</w:t>
      </w:r>
      <w:r w:rsidRPr="00F15D21">
        <w:rPr>
          <w:bCs/>
          <w:szCs w:val="22"/>
        </w:rPr>
        <w:t xml:space="preserve"> $138.65</w:t>
      </w:r>
    </w:p>
    <w:p w14:paraId="19D9B652" w14:textId="77777777" w:rsidR="009936F3" w:rsidRDefault="009936F3" w:rsidP="009936F3">
      <w:pPr>
        <w:rPr>
          <w:bCs/>
          <w:szCs w:val="22"/>
        </w:rPr>
      </w:pPr>
      <w:r w:rsidRPr="00387F79">
        <w:rPr>
          <w:b/>
          <w:bCs/>
          <w:szCs w:val="22"/>
        </w:rPr>
        <w:t>Benefit:</w:t>
      </w:r>
      <w:r w:rsidRPr="00F15D21">
        <w:rPr>
          <w:bCs/>
          <w:szCs w:val="22"/>
        </w:rPr>
        <w:t xml:space="preserve"> 75% = $104.00</w:t>
      </w:r>
      <w:r>
        <w:rPr>
          <w:bCs/>
          <w:szCs w:val="22"/>
        </w:rPr>
        <w:t xml:space="preserve">; </w:t>
      </w:r>
      <w:r w:rsidRPr="00F15D21">
        <w:rPr>
          <w:bCs/>
          <w:szCs w:val="22"/>
        </w:rPr>
        <w:t>85% = $117.90</w:t>
      </w:r>
    </w:p>
    <w:p w14:paraId="50341592" w14:textId="77777777" w:rsidR="009936F3" w:rsidRDefault="009936F3" w:rsidP="009936F3">
      <w:pPr>
        <w:pBdr>
          <w:top w:val="single" w:sz="4" w:space="1" w:color="984806"/>
        </w:pBdr>
        <w:rPr>
          <w:b/>
          <w:bCs/>
          <w:szCs w:val="22"/>
          <w:lang w:val="en-US"/>
        </w:rPr>
      </w:pPr>
      <w:r w:rsidRPr="00F15D21">
        <w:rPr>
          <w:b/>
          <w:bCs/>
          <w:szCs w:val="22"/>
          <w:lang w:val="en-US"/>
        </w:rPr>
        <w:t>Proposed new Item Descriptor</w:t>
      </w:r>
    </w:p>
    <w:p w14:paraId="792C5B33" w14:textId="77777777" w:rsidR="009936F3" w:rsidRPr="00CD545C" w:rsidRDefault="009936F3" w:rsidP="009936F3">
      <w:r w:rsidRPr="00CD545C">
        <w:t>Complex measurement of properties of the respiratory system including the lungs and respiratory muscles performed in a respiratory laboratory under the supervision of a specialist in Respiratory Medicine who is responsible for staff training, supervision, quality assurance and the issuing of written reports on tests performed. Tests for this service are:</w:t>
      </w:r>
    </w:p>
    <w:p w14:paraId="35B3B993" w14:textId="77777777" w:rsidR="006A6284" w:rsidRPr="006A6284" w:rsidRDefault="009936F3" w:rsidP="00393D46">
      <w:pPr>
        <w:pStyle w:val="NormalBulleteda"/>
        <w:numPr>
          <w:ilvl w:val="0"/>
          <w:numId w:val="27"/>
        </w:numPr>
        <w:tabs>
          <w:tab w:val="clear" w:pos="454"/>
        </w:tabs>
        <w:ind w:left="426" w:hanging="426"/>
      </w:pPr>
      <w:r w:rsidRPr="006A6284">
        <w:t>Absolute lung volumes by any method</w:t>
      </w:r>
    </w:p>
    <w:p w14:paraId="4AE31498" w14:textId="77777777" w:rsidR="009936F3" w:rsidRDefault="009936F3" w:rsidP="00393D46">
      <w:pPr>
        <w:pStyle w:val="NormalBulleteda"/>
        <w:numPr>
          <w:ilvl w:val="0"/>
          <w:numId w:val="27"/>
        </w:numPr>
        <w:tabs>
          <w:tab w:val="clear" w:pos="454"/>
        </w:tabs>
        <w:ind w:left="426" w:hanging="426"/>
      </w:pPr>
      <w:r w:rsidRPr="006A6284">
        <w:t>Carbon monoxide</w:t>
      </w:r>
      <w:r w:rsidRPr="009936F3">
        <w:t xml:space="preserve"> diffusing capacity by any method</w:t>
      </w:r>
    </w:p>
    <w:p w14:paraId="0499DD0B" w14:textId="77777777" w:rsidR="009936F3" w:rsidRDefault="009936F3" w:rsidP="00393D46">
      <w:pPr>
        <w:pStyle w:val="NormalBulleteda"/>
        <w:numPr>
          <w:ilvl w:val="0"/>
          <w:numId w:val="27"/>
        </w:numPr>
        <w:tabs>
          <w:tab w:val="clear" w:pos="454"/>
        </w:tabs>
        <w:ind w:left="426" w:hanging="426"/>
      </w:pPr>
      <w:r w:rsidRPr="009936F3">
        <w:t>Measurement of airway or pulmonary resistance by any method</w:t>
      </w:r>
    </w:p>
    <w:p w14:paraId="1DC1AFF6" w14:textId="77777777" w:rsidR="009936F3" w:rsidRDefault="009936F3" w:rsidP="00393D46">
      <w:pPr>
        <w:pStyle w:val="NormalBulleteda"/>
        <w:numPr>
          <w:ilvl w:val="0"/>
          <w:numId w:val="27"/>
        </w:numPr>
        <w:tabs>
          <w:tab w:val="clear" w:pos="454"/>
        </w:tabs>
        <w:ind w:left="426" w:hanging="426"/>
      </w:pPr>
      <w:r w:rsidRPr="009936F3">
        <w:t>Inhalation provocation testing, including pre-provocation spirometry, the construction of a dose response curve, using recognised direct or indirect bronchoprovocation agent and post-bronchodilator spirometry</w:t>
      </w:r>
    </w:p>
    <w:p w14:paraId="2A88365A" w14:textId="77777777" w:rsidR="009936F3" w:rsidRDefault="009936F3" w:rsidP="00393D46">
      <w:pPr>
        <w:pStyle w:val="NormalBulleteda"/>
        <w:numPr>
          <w:ilvl w:val="0"/>
          <w:numId w:val="27"/>
        </w:numPr>
        <w:tabs>
          <w:tab w:val="clear" w:pos="454"/>
        </w:tabs>
        <w:ind w:left="426" w:hanging="426"/>
      </w:pPr>
      <w:r w:rsidRPr="009936F3">
        <w:t xml:space="preserve">Provocation testing involving sequential measurement of lung function at baseline and after exposure to specific sensitising agents, including drugs, or occupational asthma triggers </w:t>
      </w:r>
    </w:p>
    <w:p w14:paraId="4699E732" w14:textId="77777777" w:rsidR="009936F3" w:rsidRDefault="009936F3" w:rsidP="00393D46">
      <w:pPr>
        <w:pStyle w:val="NormalBulleteda"/>
        <w:numPr>
          <w:ilvl w:val="0"/>
          <w:numId w:val="27"/>
        </w:numPr>
        <w:tabs>
          <w:tab w:val="clear" w:pos="454"/>
        </w:tabs>
        <w:ind w:left="426" w:hanging="426"/>
      </w:pPr>
      <w:r w:rsidRPr="009936F3">
        <w:t>Spirometry performed before and after simple exercise testing undertaken as a provocation test for the investigation of asthma, in premises equipped with resuscitation equipment and personnel trained in Advanced Life Support</w:t>
      </w:r>
    </w:p>
    <w:p w14:paraId="19475477" w14:textId="77777777" w:rsidR="009936F3" w:rsidRDefault="009936F3" w:rsidP="00393D46">
      <w:pPr>
        <w:pStyle w:val="NormalBulleteda"/>
        <w:numPr>
          <w:ilvl w:val="0"/>
          <w:numId w:val="27"/>
        </w:numPr>
        <w:tabs>
          <w:tab w:val="clear" w:pos="454"/>
        </w:tabs>
        <w:ind w:left="426" w:hanging="426"/>
      </w:pPr>
      <w:r w:rsidRPr="009936F3">
        <w:t>Measurement of the strength of inspiratory and expiratory muscles at multiple lung volumes</w:t>
      </w:r>
    </w:p>
    <w:p w14:paraId="608010E7" w14:textId="77777777" w:rsidR="009936F3" w:rsidRDefault="009936F3" w:rsidP="00393D46">
      <w:pPr>
        <w:pStyle w:val="NormalBulleteda"/>
        <w:numPr>
          <w:ilvl w:val="0"/>
          <w:numId w:val="27"/>
        </w:numPr>
        <w:tabs>
          <w:tab w:val="clear" w:pos="454"/>
        </w:tabs>
        <w:ind w:left="426" w:hanging="426"/>
      </w:pPr>
      <w:r w:rsidRPr="009936F3">
        <w:t>Simulated altitude test involving exposure to hypoxic gas mixtures and oxygen saturation at rest and/or during exercise with or without an observation of the effect of supplemental oxygen</w:t>
      </w:r>
    </w:p>
    <w:p w14:paraId="2C15462F" w14:textId="77777777" w:rsidR="009936F3" w:rsidRPr="009936F3" w:rsidRDefault="009936F3" w:rsidP="00393D46">
      <w:pPr>
        <w:pStyle w:val="NormalBulleteda"/>
        <w:numPr>
          <w:ilvl w:val="0"/>
          <w:numId w:val="27"/>
        </w:numPr>
        <w:tabs>
          <w:tab w:val="clear" w:pos="454"/>
        </w:tabs>
        <w:ind w:left="426" w:hanging="426"/>
      </w:pPr>
      <w:r w:rsidRPr="009936F3">
        <w:t>Six minute walk test for the purpose of determining eligibility for medications subsidised under the Pharmaceutical Benefits Scheme or eligibility for the provision of portable oxygen</w:t>
      </w:r>
    </w:p>
    <w:p w14:paraId="473251DD" w14:textId="77777777" w:rsidR="009936F3" w:rsidRPr="009936F3" w:rsidRDefault="009936F3" w:rsidP="009936F3">
      <w:r w:rsidRPr="009936F3">
        <w:t xml:space="preserve">Each occasion at which one or more tests are performed and not to be claimed with spirometry and sleep study items (numbers to be inserted) </w:t>
      </w:r>
    </w:p>
    <w:p w14:paraId="707B6E7D" w14:textId="77777777" w:rsidR="009936F3" w:rsidRDefault="009936F3" w:rsidP="009936F3">
      <w:r w:rsidRPr="009936F3">
        <w:rPr>
          <w:b/>
        </w:rPr>
        <w:t>Fee</w:t>
      </w:r>
      <w:r w:rsidRPr="00CD545C">
        <w:t>: $138.65</w:t>
      </w:r>
      <w:r>
        <w:t xml:space="preserve"> </w:t>
      </w:r>
    </w:p>
    <w:p w14:paraId="4A4A9E21" w14:textId="77777777" w:rsidR="00226919" w:rsidRPr="00C36DD1" w:rsidRDefault="009936F3" w:rsidP="009936F3">
      <w:pPr>
        <w:pBdr>
          <w:bottom w:val="single" w:sz="4" w:space="1" w:color="984806"/>
        </w:pBdr>
      </w:pPr>
      <w:r w:rsidRPr="00CD545C">
        <w:rPr>
          <w:b/>
        </w:rPr>
        <w:lastRenderedPageBreak/>
        <w:t>Benefit</w:t>
      </w:r>
      <w:r w:rsidRPr="00CD545C">
        <w:t>: 75% = $104</w:t>
      </w:r>
      <w:r>
        <w:t xml:space="preserve">; </w:t>
      </w:r>
      <w:r w:rsidRPr="00CD545C">
        <w:t>85% = $117.90</w:t>
      </w:r>
    </w:p>
    <w:p w14:paraId="2BA14769" w14:textId="77777777" w:rsidR="00226919" w:rsidRDefault="009936F3" w:rsidP="009936F3">
      <w:pPr>
        <w:rPr>
          <w:b/>
        </w:rPr>
      </w:pPr>
      <w:bookmarkStart w:id="145" w:name="_Toc457450656"/>
      <w:r w:rsidRPr="009936F3">
        <w:rPr>
          <w:b/>
          <w:lang w:val="en-US"/>
        </w:rPr>
        <w:t>Proposed explanatory notes</w:t>
      </w:r>
      <w:r w:rsidRPr="009936F3" w:rsidDel="009936F3">
        <w:rPr>
          <w:b/>
        </w:rPr>
        <w:t xml:space="preserve"> </w:t>
      </w:r>
      <w:bookmarkEnd w:id="145"/>
      <w:r w:rsidRPr="009936F3">
        <w:rPr>
          <w:b/>
        </w:rPr>
        <w:t>for item 11503</w:t>
      </w:r>
    </w:p>
    <w:p w14:paraId="653D3E71" w14:textId="77777777" w:rsidR="009936F3" w:rsidRPr="00CD545C" w:rsidRDefault="009936F3" w:rsidP="009936F3">
      <w:pPr>
        <w:widowControl w:val="0"/>
        <w:autoSpaceDE w:val="0"/>
        <w:autoSpaceDN w:val="0"/>
        <w:adjustRightInd w:val="0"/>
        <w:spacing w:before="40" w:after="40" w:line="288" w:lineRule="auto"/>
        <w:rPr>
          <w:rFonts w:cs="Arial"/>
        </w:rPr>
      </w:pPr>
      <w:r w:rsidRPr="00CD545C">
        <w:rPr>
          <w:rFonts w:cs="Arial"/>
        </w:rPr>
        <w:t xml:space="preserve">Fractional exhaled nitric oxide (FeNO) testing cannot be claimed under MBS item 11503. </w:t>
      </w:r>
    </w:p>
    <w:p w14:paraId="799150D6" w14:textId="77777777" w:rsidR="009936F3" w:rsidRPr="00CD545C" w:rsidRDefault="009936F3" w:rsidP="009936F3">
      <w:pPr>
        <w:widowControl w:val="0"/>
        <w:autoSpaceDE w:val="0"/>
        <w:autoSpaceDN w:val="0"/>
        <w:adjustRightInd w:val="0"/>
        <w:spacing w:before="40" w:after="40" w:line="288" w:lineRule="auto"/>
        <w:rPr>
          <w:rFonts w:cs="Arial"/>
        </w:rPr>
      </w:pPr>
      <w:r w:rsidRPr="00CD545C">
        <w:rPr>
          <w:rFonts w:cs="Arial"/>
        </w:rPr>
        <w:t>When laboratory based spirometry (item 11512) is performed on the same day as a test approved under item 11503, then 11503 should be claimed. When spirometry is the only laboratory test performed then 11512 should be claimed.</w:t>
      </w:r>
    </w:p>
    <w:p w14:paraId="56D70F23" w14:textId="77777777" w:rsidR="009936F3" w:rsidRPr="009936F3" w:rsidRDefault="009936F3" w:rsidP="009936F3">
      <w:pPr>
        <w:rPr>
          <w:b/>
        </w:rPr>
      </w:pPr>
      <w:r w:rsidRPr="00F15D21">
        <w:rPr>
          <w:rFonts w:cs="Arial"/>
        </w:rPr>
        <w:t>Maximum inspiratory and expiratory flow-volume loop testing for the purpose of diagnosing central airways obstruction is to be performed under MBS item 11512 not 11503.</w:t>
      </w:r>
    </w:p>
    <w:p w14:paraId="136C930D" w14:textId="77777777" w:rsidR="00BB4881" w:rsidRPr="00A12624" w:rsidRDefault="00BB4881" w:rsidP="00226919">
      <w:pPr>
        <w:pStyle w:val="Heading2"/>
      </w:pPr>
      <w:bookmarkStart w:id="146" w:name="_Toc452990629"/>
      <w:bookmarkStart w:id="147" w:name="_Toc458509999"/>
      <w:bookmarkStart w:id="148" w:name="_Toc458768467"/>
      <w:bookmarkStart w:id="149" w:name="_Toc458768647"/>
      <w:bookmarkStart w:id="150" w:name="_Toc478721508"/>
      <w:r w:rsidRPr="00A12624">
        <w:t xml:space="preserve">Proposed new MBS </w:t>
      </w:r>
      <w:r>
        <w:t>i</w:t>
      </w:r>
      <w:r w:rsidRPr="00A12624">
        <w:t>tem - Cardiopulmonary Exercise Testing (CPET)</w:t>
      </w:r>
      <w:bookmarkEnd w:id="146"/>
      <w:bookmarkEnd w:id="147"/>
      <w:bookmarkEnd w:id="148"/>
      <w:bookmarkEnd w:id="149"/>
      <w:bookmarkEnd w:id="150"/>
      <w:r w:rsidRPr="00A12624">
        <w:t xml:space="preserve"> </w:t>
      </w:r>
    </w:p>
    <w:p w14:paraId="47520B53" w14:textId="77777777" w:rsidR="00BB4881" w:rsidRPr="00B84B9A" w:rsidRDefault="00BB4881" w:rsidP="00F56E64">
      <w:r w:rsidRPr="00B84B9A">
        <w:t>Cardiopulmonary exercise testing (CPET) provides a relatively non-invasive global assessment of functional capacity involving multiple organ systems, allowing the evaluation of both submaximal and peak exercise responses. It provides data as to respiratory gas exchange, including oxygen uptake (VO</w:t>
      </w:r>
      <w:r w:rsidRPr="00B84B9A">
        <w:rPr>
          <w:vertAlign w:val="subscript"/>
        </w:rPr>
        <w:t>2</w:t>
      </w:r>
      <w:r w:rsidRPr="00B84B9A">
        <w:t>), carbon dioxide output (VCO</w:t>
      </w:r>
      <w:r w:rsidRPr="00B84B9A">
        <w:rPr>
          <w:vertAlign w:val="subscript"/>
        </w:rPr>
        <w:t>2</w:t>
      </w:r>
      <w:r w:rsidRPr="00B84B9A">
        <w:t>), tidal volume (VT) and minute ventilation (VE) as well as other variables such as ECG, BP and oxygen saturation.</w:t>
      </w:r>
    </w:p>
    <w:p w14:paraId="3189526F" w14:textId="77777777" w:rsidR="00BB4881" w:rsidRPr="00B84B9A" w:rsidRDefault="00BB4881" w:rsidP="00F56E64">
      <w:r w:rsidRPr="00B84B9A">
        <w:t xml:space="preserve">The </w:t>
      </w:r>
      <w:r w:rsidR="007B78B9">
        <w:t>Committee</w:t>
      </w:r>
      <w:r w:rsidRPr="00B84B9A">
        <w:t xml:space="preserve"> has proposed that there be a new MBS item for CPET recognising that it is highly specialised, high risk and valuable test with low utilisation and more complex than other tests available under item 11503. Currently it is performed under MBS item 11503. Some practitioners bill 11503 in combination with item 11712 (cardiac exercise testing) with MBS data demonstrating that this combination was billed on 2,699 occasions in 20</w:t>
      </w:r>
      <w:r>
        <w:t>14-15</w:t>
      </w:r>
      <w:r w:rsidRPr="00B84B9A">
        <w:t xml:space="preserve">. </w:t>
      </w:r>
    </w:p>
    <w:p w14:paraId="7C2C39A6" w14:textId="77777777" w:rsidR="00BB4881" w:rsidRPr="00B84B9A" w:rsidRDefault="00BB4881" w:rsidP="00F56E64">
      <w:r w:rsidRPr="00B84B9A">
        <w:t xml:space="preserve">To consider the proposal a concise high level evidence review was commissioned. The review suggested that there are numerous potential indications for CPET </w:t>
      </w:r>
      <w:r>
        <w:t>including:</w:t>
      </w:r>
    </w:p>
    <w:p w14:paraId="47AC8087" w14:textId="77777777" w:rsidR="00BB4881" w:rsidRDefault="00226919" w:rsidP="00CD545C">
      <w:pPr>
        <w:pStyle w:val="NormalBulleted"/>
      </w:pPr>
      <w:r>
        <w:t>E</w:t>
      </w:r>
      <w:r w:rsidR="00BB4881">
        <w:t>valuation of breathlessness where specialist assessment and other testing has not revealed a cause</w:t>
      </w:r>
      <w:r>
        <w:t>.</w:t>
      </w:r>
      <w:r w:rsidR="00BB4881">
        <w:t xml:space="preserve"> </w:t>
      </w:r>
    </w:p>
    <w:p w14:paraId="3FCB922F" w14:textId="77777777" w:rsidR="00BB4881" w:rsidRDefault="00226919" w:rsidP="00CD545C">
      <w:pPr>
        <w:pStyle w:val="NormalBulleted"/>
      </w:pPr>
      <w:r>
        <w:t>E</w:t>
      </w:r>
      <w:r w:rsidR="00BB4881">
        <w:t>valuation of exercise capacity in response to therapy or for rehabilitation</w:t>
      </w:r>
      <w:r>
        <w:t>.</w:t>
      </w:r>
    </w:p>
    <w:p w14:paraId="7FB3F86D" w14:textId="77777777" w:rsidR="00BB4881" w:rsidRDefault="00226919" w:rsidP="00CD545C">
      <w:pPr>
        <w:pStyle w:val="NormalBulleted"/>
      </w:pPr>
      <w:r>
        <w:t>A</w:t>
      </w:r>
      <w:r w:rsidR="00BB4881">
        <w:t>ssessment of suitability for major surgery</w:t>
      </w:r>
      <w:r>
        <w:t>.</w:t>
      </w:r>
    </w:p>
    <w:p w14:paraId="364E6842" w14:textId="77777777" w:rsidR="00BB4881" w:rsidRPr="00452C0B" w:rsidRDefault="00BB4881" w:rsidP="00F56E64">
      <w:r w:rsidRPr="00B84B9A">
        <w:t xml:space="preserve">The review is at </w:t>
      </w:r>
      <w:r w:rsidRPr="00226919">
        <w:t xml:space="preserve">Appendix </w:t>
      </w:r>
      <w:r w:rsidR="008B011D">
        <w:t>F</w:t>
      </w:r>
      <w:r w:rsidR="00226919">
        <w:t>.</w:t>
      </w:r>
    </w:p>
    <w:p w14:paraId="79026CC9" w14:textId="77777777" w:rsidR="00226919" w:rsidRDefault="00BB4881" w:rsidP="00F56E64">
      <w:r w:rsidRPr="00A12624">
        <w:t xml:space="preserve">The </w:t>
      </w:r>
      <w:r w:rsidR="007B78B9">
        <w:t>Committee</w:t>
      </w:r>
      <w:r w:rsidRPr="00A12624">
        <w:t xml:space="preserve"> considered the report and </w:t>
      </w:r>
      <w:r w:rsidR="00905D09">
        <w:t>recommends that there be a new</w:t>
      </w:r>
      <w:r w:rsidRPr="002131CE">
        <w:t xml:space="preserve"> item for CPET recognising that CPET is much mor</w:t>
      </w:r>
      <w:r w:rsidR="00905D09">
        <w:t>e resource intensive than other</w:t>
      </w:r>
      <w:r w:rsidRPr="002131CE">
        <w:t xml:space="preserve"> tests available under item 11503. Based on the evidence review the </w:t>
      </w:r>
      <w:r w:rsidR="007B78B9">
        <w:t>Committee</w:t>
      </w:r>
      <w:r w:rsidRPr="002131CE">
        <w:t xml:space="preserve"> recommend that the indications for CEPT be limited to an evaluation of breathlessness where an initial diagnosis is inconclusive and for pre-operative evaluation of high risk patients.</w:t>
      </w:r>
    </w:p>
    <w:p w14:paraId="6D145FCA" w14:textId="77777777" w:rsidR="00226919" w:rsidRDefault="00226919" w:rsidP="0075170C">
      <w:pPr>
        <w:pStyle w:val="Rec2"/>
      </w:pPr>
      <w:bookmarkStart w:id="151" w:name="_Toc458510000"/>
      <w:bookmarkStart w:id="152" w:name="_Toc458768468"/>
      <w:bookmarkStart w:id="153" w:name="_Toc458768648"/>
      <w:bookmarkStart w:id="154" w:name="_Toc478721509"/>
      <w:r>
        <w:t xml:space="preserve">Proposed new </w:t>
      </w:r>
      <w:r w:rsidRPr="0075170C">
        <w:t>item</w:t>
      </w:r>
      <w:r>
        <w:t xml:space="preserve"> - </w:t>
      </w:r>
      <w:r w:rsidR="003B609E" w:rsidRPr="003B609E">
        <w:t>Cardiopulmonary Exercise Testing (CPET)</w:t>
      </w:r>
      <w:bookmarkEnd w:id="151"/>
      <w:bookmarkEnd w:id="152"/>
      <w:bookmarkEnd w:id="153"/>
      <w:bookmarkEnd w:id="154"/>
    </w:p>
    <w:p w14:paraId="41ABC37D" w14:textId="77777777" w:rsidR="00BB4881" w:rsidRDefault="00BB4881" w:rsidP="00F56E64">
      <w:r w:rsidRPr="002131CE">
        <w:t>The Committee proposes a new item with a MBS fee equal to existing items 11503 plus 11712.</w:t>
      </w:r>
      <w:r w:rsidR="00A403FC">
        <w:t xml:space="preserve"> </w:t>
      </w:r>
      <w:r w:rsidRPr="002131CE">
        <w:t>Based on the current use of items 11712 and 11503 in combination, utilisation is expected to be around 2,700 services per annum.</w:t>
      </w:r>
    </w:p>
    <w:p w14:paraId="75777D08" w14:textId="77777777" w:rsidR="009936F3" w:rsidRDefault="009936F3" w:rsidP="009936F3">
      <w:pPr>
        <w:pBdr>
          <w:top w:val="single" w:sz="4" w:space="1" w:color="984806"/>
        </w:pBdr>
      </w:pPr>
      <w:r>
        <w:rPr>
          <w:b/>
          <w:bCs/>
          <w:lang w:val="en-US"/>
        </w:rPr>
        <w:lastRenderedPageBreak/>
        <w:t>Proposed new item d</w:t>
      </w:r>
      <w:r w:rsidRPr="002378DB">
        <w:rPr>
          <w:b/>
          <w:bCs/>
          <w:lang w:val="en-US"/>
        </w:rPr>
        <w:t>escriptor</w:t>
      </w:r>
      <w:r>
        <w:rPr>
          <w:b/>
          <w:bCs/>
          <w:lang w:val="en-US"/>
        </w:rPr>
        <w:t xml:space="preserve"> </w:t>
      </w:r>
      <w:r w:rsidRPr="009936F3">
        <w:rPr>
          <w:b/>
          <w:bCs/>
          <w:lang w:val="en-US"/>
        </w:rPr>
        <w:t>for cardiopulmonary exercise testing item</w:t>
      </w:r>
    </w:p>
    <w:p w14:paraId="040487F5" w14:textId="77777777" w:rsidR="009936F3" w:rsidRPr="005F4E76" w:rsidRDefault="009936F3" w:rsidP="009936F3">
      <w:pPr>
        <w:rPr>
          <w:rFonts w:cs="Arial"/>
          <w:szCs w:val="22"/>
        </w:rPr>
      </w:pPr>
      <w:r w:rsidRPr="005F4E76">
        <w:rPr>
          <w:rFonts w:cs="Arial"/>
          <w:szCs w:val="22"/>
        </w:rPr>
        <w:t>Maximal symptom-limited incremental exercise test utilising a calibrated cycle ergometer or treadmill</w:t>
      </w:r>
    </w:p>
    <w:p w14:paraId="3CE072C8" w14:textId="77777777" w:rsidR="009936F3" w:rsidRPr="006A6284" w:rsidRDefault="00A666BE" w:rsidP="00A666BE">
      <w:pPr>
        <w:pStyle w:val="NormalBulleteda"/>
      </w:pPr>
      <w:r>
        <w:t>(a)</w:t>
      </w:r>
      <w:r>
        <w:tab/>
      </w:r>
      <w:r w:rsidR="009936F3" w:rsidRPr="006A6284">
        <w:t xml:space="preserve">performed for the </w:t>
      </w:r>
      <w:r w:rsidR="009936F3" w:rsidRPr="00A666BE">
        <w:t>evaluation</w:t>
      </w:r>
      <w:r w:rsidR="009936F3" w:rsidRPr="006A6284">
        <w:t xml:space="preserve"> of</w:t>
      </w:r>
    </w:p>
    <w:p w14:paraId="09A04604" w14:textId="77777777" w:rsidR="009936F3" w:rsidRPr="00A666BE" w:rsidRDefault="00A666BE" w:rsidP="00A666BE">
      <w:pPr>
        <w:pStyle w:val="NormalBulletedrom"/>
      </w:pPr>
      <w:r>
        <w:t>(i)</w:t>
      </w:r>
      <w:r>
        <w:tab/>
      </w:r>
      <w:r w:rsidR="009936F3" w:rsidRPr="00083A29">
        <w:t xml:space="preserve">breathlessness of uncertain cause </w:t>
      </w:r>
      <w:r w:rsidR="009936F3" w:rsidRPr="00A666BE">
        <w:t>from tests performed at rest, or</w:t>
      </w:r>
    </w:p>
    <w:p w14:paraId="64AAB562" w14:textId="77777777" w:rsidR="009936F3" w:rsidRPr="00A666BE" w:rsidRDefault="00A666BE" w:rsidP="00A666BE">
      <w:pPr>
        <w:pStyle w:val="NormalBulletedrom"/>
      </w:pPr>
      <w:r>
        <w:t>(ii)</w:t>
      </w:r>
      <w:r>
        <w:tab/>
      </w:r>
      <w:r w:rsidR="009936F3" w:rsidRPr="00A666BE">
        <w:t>breathlessness out of proportion with impairment due to known conditions, or</w:t>
      </w:r>
    </w:p>
    <w:p w14:paraId="03FD57B5" w14:textId="77777777" w:rsidR="009936F3" w:rsidRPr="00A666BE" w:rsidRDefault="00A666BE" w:rsidP="00A666BE">
      <w:pPr>
        <w:pStyle w:val="NormalBulletedrom"/>
      </w:pPr>
      <w:r>
        <w:t>(iii)</w:t>
      </w:r>
      <w:r>
        <w:tab/>
      </w:r>
      <w:r w:rsidR="009936F3" w:rsidRPr="00A666BE">
        <w:t xml:space="preserve">functional status and prognosis in patients with significant cardiac or pulmonary disease where complex procedures such as organ transplantation are considered </w:t>
      </w:r>
    </w:p>
    <w:p w14:paraId="291A6BD5" w14:textId="77777777" w:rsidR="009936F3" w:rsidRPr="005F4E76" w:rsidRDefault="00A666BE" w:rsidP="00A666BE">
      <w:pPr>
        <w:pStyle w:val="NormalBulletedrom"/>
      </w:pPr>
      <w:r>
        <w:t>(iv)</w:t>
      </w:r>
      <w:r>
        <w:tab/>
      </w:r>
      <w:r w:rsidR="009936F3" w:rsidRPr="00A666BE">
        <w:t>anaesthetic and peri-operative risks in patients undergoing major surgery who are assessed as substantially above average risk after</w:t>
      </w:r>
      <w:r w:rsidR="009936F3" w:rsidRPr="005F4E76">
        <w:t xml:space="preserve"> standard evaluation </w:t>
      </w:r>
    </w:p>
    <w:p w14:paraId="75A7A33E" w14:textId="77777777" w:rsidR="009936F3" w:rsidRPr="005F4E76" w:rsidRDefault="009936F3" w:rsidP="009936F3">
      <w:pPr>
        <w:rPr>
          <w:rFonts w:cs="Arial"/>
          <w:szCs w:val="22"/>
        </w:rPr>
      </w:pPr>
      <w:r w:rsidRPr="005F4E76">
        <w:rPr>
          <w:rFonts w:cs="Arial"/>
          <w:szCs w:val="22"/>
        </w:rPr>
        <w:t>AND</w:t>
      </w:r>
    </w:p>
    <w:p w14:paraId="3B2E6BB3" w14:textId="77777777" w:rsidR="009936F3" w:rsidRPr="001211FD" w:rsidRDefault="006A6284" w:rsidP="001211FD">
      <w:pPr>
        <w:pStyle w:val="NormalBulleteda"/>
      </w:pPr>
      <w:r>
        <w:t>(</w:t>
      </w:r>
      <w:r w:rsidR="001211FD">
        <w:t>b</w:t>
      </w:r>
      <w:r>
        <w:t>)</w:t>
      </w:r>
      <w:r>
        <w:tab/>
      </w:r>
      <w:r w:rsidR="009936F3" w:rsidRPr="006A6284">
        <w:t xml:space="preserve">the test has been </w:t>
      </w:r>
      <w:r w:rsidR="009936F3" w:rsidRPr="001211FD">
        <w:t>requested by a Consultant Physician following personal assessment, AND</w:t>
      </w:r>
    </w:p>
    <w:p w14:paraId="7EE67456" w14:textId="77777777" w:rsidR="00E2179F" w:rsidRDefault="006A6284" w:rsidP="001211FD">
      <w:pPr>
        <w:pStyle w:val="NormalBulleteda"/>
      </w:pPr>
      <w:r w:rsidRPr="001211FD">
        <w:t>(</w:t>
      </w:r>
      <w:r w:rsidR="001211FD">
        <w:t>c</w:t>
      </w:r>
      <w:r w:rsidRPr="001211FD">
        <w:t>)</w:t>
      </w:r>
      <w:r w:rsidRPr="001211FD">
        <w:tab/>
      </w:r>
      <w:r w:rsidR="009936F3" w:rsidRPr="001211FD">
        <w:t>an experienced Respiratory Scientist and Medical Practitioner are in constant attendance during the testing in a respiratory laboratory equipped with airway management and defibrillator equipment,</w:t>
      </w:r>
    </w:p>
    <w:p w14:paraId="6A09FDED" w14:textId="77777777" w:rsidR="00083A29" w:rsidRPr="001211FD" w:rsidRDefault="009936F3" w:rsidP="001211FD">
      <w:pPr>
        <w:pStyle w:val="NormalBulleteda"/>
      </w:pPr>
      <w:r w:rsidRPr="001211FD">
        <w:t>AND</w:t>
      </w:r>
    </w:p>
    <w:p w14:paraId="1C5F6283" w14:textId="77777777" w:rsidR="00083A29" w:rsidRPr="005F4E76" w:rsidRDefault="006A6284" w:rsidP="001211FD">
      <w:pPr>
        <w:pStyle w:val="NormalBulleteda"/>
      </w:pPr>
      <w:r w:rsidRPr="001211FD">
        <w:t>(</w:t>
      </w:r>
      <w:r w:rsidR="001211FD">
        <w:t>d</w:t>
      </w:r>
      <w:r w:rsidRPr="001211FD">
        <w:t>)</w:t>
      </w:r>
      <w:r w:rsidRPr="001211FD">
        <w:tab/>
      </w:r>
      <w:r w:rsidR="009936F3" w:rsidRPr="001211FD">
        <w:t>there is continuous</w:t>
      </w:r>
      <w:r w:rsidR="009936F3" w:rsidRPr="005F4E76">
        <w:t xml:space="preserve"> measurement of at least</w:t>
      </w:r>
    </w:p>
    <w:p w14:paraId="12530745" w14:textId="77777777" w:rsidR="00550F01" w:rsidRPr="001211FD" w:rsidRDefault="001211FD" w:rsidP="001211FD">
      <w:pPr>
        <w:pStyle w:val="NormalBulletedrom"/>
      </w:pPr>
      <w:r>
        <w:t>(i)</w:t>
      </w:r>
      <w:r>
        <w:tab/>
      </w:r>
      <w:r w:rsidR="009936F3" w:rsidRPr="001211FD">
        <w:t>work rate</w:t>
      </w:r>
    </w:p>
    <w:p w14:paraId="164AA714" w14:textId="77777777" w:rsidR="00550F01" w:rsidRPr="001211FD" w:rsidRDefault="001211FD" w:rsidP="001211FD">
      <w:pPr>
        <w:pStyle w:val="NormalBulletedrom"/>
      </w:pPr>
      <w:r>
        <w:t>(ii)</w:t>
      </w:r>
      <w:r>
        <w:tab/>
      </w:r>
      <w:r w:rsidR="009936F3" w:rsidRPr="001211FD">
        <w:t>pulse oximetry</w:t>
      </w:r>
    </w:p>
    <w:p w14:paraId="48F868E8" w14:textId="77777777" w:rsidR="009936F3" w:rsidRPr="001211FD" w:rsidRDefault="001211FD" w:rsidP="001211FD">
      <w:pPr>
        <w:pStyle w:val="NormalBulletedrom"/>
      </w:pPr>
      <w:r>
        <w:t>(iii)</w:t>
      </w:r>
      <w:r>
        <w:tab/>
      </w:r>
      <w:r w:rsidR="009936F3" w:rsidRPr="001211FD">
        <w:t>respired oxygen and carbon dioxide partial pressures and respired volumes</w:t>
      </w:r>
    </w:p>
    <w:p w14:paraId="7CDD606C" w14:textId="77777777" w:rsidR="009936F3" w:rsidRPr="001211FD" w:rsidRDefault="001211FD" w:rsidP="001211FD">
      <w:pPr>
        <w:pStyle w:val="NormalBulletedrom"/>
      </w:pPr>
      <w:r>
        <w:t>(iv)</w:t>
      </w:r>
      <w:r>
        <w:tab/>
      </w:r>
      <w:r w:rsidR="009936F3" w:rsidRPr="001211FD">
        <w:t>ECG</w:t>
      </w:r>
    </w:p>
    <w:p w14:paraId="53C90EC3" w14:textId="77777777" w:rsidR="009936F3" w:rsidRPr="005F4E76" w:rsidRDefault="001211FD" w:rsidP="001211FD">
      <w:pPr>
        <w:pStyle w:val="NormalBulletedrom"/>
      </w:pPr>
      <w:r>
        <w:t>(v)</w:t>
      </w:r>
      <w:r>
        <w:tab/>
      </w:r>
      <w:r w:rsidR="009936F3" w:rsidRPr="001211FD">
        <w:t>heart</w:t>
      </w:r>
      <w:r w:rsidR="009936F3" w:rsidRPr="005F4E76">
        <w:t xml:space="preserve"> rate and blood pressure</w:t>
      </w:r>
    </w:p>
    <w:p w14:paraId="63482EAC" w14:textId="77777777" w:rsidR="009936F3" w:rsidRPr="005F4E76" w:rsidRDefault="009936F3" w:rsidP="009936F3">
      <w:pPr>
        <w:rPr>
          <w:rFonts w:cs="Arial"/>
          <w:szCs w:val="22"/>
        </w:rPr>
      </w:pPr>
      <w:r w:rsidRPr="005F4E76">
        <w:rPr>
          <w:rFonts w:cs="Arial"/>
          <w:szCs w:val="22"/>
        </w:rPr>
        <w:t>AND</w:t>
      </w:r>
    </w:p>
    <w:p w14:paraId="63336289" w14:textId="77777777" w:rsidR="009936F3" w:rsidRPr="005F4E76" w:rsidRDefault="001211FD" w:rsidP="001211FD">
      <w:pPr>
        <w:pStyle w:val="NormalBulleteda"/>
      </w:pPr>
      <w:r>
        <w:t>(e)</w:t>
      </w:r>
      <w:r>
        <w:tab/>
      </w:r>
      <w:r w:rsidR="009936F3" w:rsidRPr="005F4E76">
        <w:t>interpretation and preparation of a permanent report is provided by a Specialist in Respiratory Medicine who is also responsible for the supervision of technical staff and quality assurance in accordance with the guidelines of the Thoracic Society of Australia and New Zealand.</w:t>
      </w:r>
      <w:r w:rsidR="009936F3">
        <w:t xml:space="preserve"> </w:t>
      </w:r>
    </w:p>
    <w:p w14:paraId="45580ABE" w14:textId="77777777" w:rsidR="009936F3" w:rsidRDefault="009936F3" w:rsidP="009936F3">
      <w:pPr>
        <w:rPr>
          <w:rFonts w:cs="Arial"/>
          <w:szCs w:val="22"/>
        </w:rPr>
      </w:pPr>
      <w:r w:rsidRPr="005F4E76">
        <w:rPr>
          <w:rFonts w:cs="Arial"/>
          <w:b/>
          <w:szCs w:val="22"/>
        </w:rPr>
        <w:t>Fee:</w:t>
      </w:r>
      <w:r w:rsidRPr="005F4E76">
        <w:rPr>
          <w:rFonts w:cs="Arial"/>
          <w:szCs w:val="22"/>
        </w:rPr>
        <w:t xml:space="preserve"> $290.80</w:t>
      </w:r>
    </w:p>
    <w:p w14:paraId="5DA10738" w14:textId="77777777" w:rsidR="00905D09" w:rsidRPr="00DA5B19" w:rsidRDefault="009936F3" w:rsidP="001211FD">
      <w:pPr>
        <w:pBdr>
          <w:bottom w:val="single" w:sz="4" w:space="1" w:color="984806"/>
        </w:pBdr>
      </w:pPr>
      <w:r w:rsidRPr="005F4E76">
        <w:rPr>
          <w:b/>
        </w:rPr>
        <w:t>Benefit:</w:t>
      </w:r>
      <w:r w:rsidRPr="005F4E76">
        <w:t xml:space="preserve"> 75% = $218.15</w:t>
      </w:r>
      <w:r>
        <w:t xml:space="preserve">; </w:t>
      </w:r>
      <w:r w:rsidRPr="005F4E76">
        <w:t>85% = $244.26</w:t>
      </w:r>
    </w:p>
    <w:p w14:paraId="059ED447" w14:textId="77777777" w:rsidR="00905D09" w:rsidRPr="005C4637" w:rsidRDefault="00905D09" w:rsidP="006A6284">
      <w:pPr>
        <w:pStyle w:val="NormalBulletedrom"/>
      </w:pPr>
      <w:bookmarkStart w:id="155" w:name="_Ref457144744"/>
      <w:bookmarkStart w:id="156" w:name="_Toc457053427"/>
      <w:r w:rsidRPr="00A403FC">
        <w:br w:type="page"/>
      </w:r>
    </w:p>
    <w:p w14:paraId="39424E9B" w14:textId="77777777" w:rsidR="00B40829" w:rsidRDefault="00B40829" w:rsidP="003F2A67">
      <w:pPr>
        <w:pStyle w:val="Heading1"/>
      </w:pPr>
      <w:bookmarkStart w:id="157" w:name="_Toc458510001"/>
      <w:bookmarkStart w:id="158" w:name="_Toc458768469"/>
      <w:bookmarkStart w:id="159" w:name="_Toc458768649"/>
      <w:bookmarkStart w:id="160" w:name="_Toc478721510"/>
      <w:r>
        <w:lastRenderedPageBreak/>
        <w:t>MBS Item Group Two – Sleep Studies</w:t>
      </w:r>
      <w:bookmarkEnd w:id="155"/>
      <w:bookmarkEnd w:id="157"/>
      <w:bookmarkEnd w:id="158"/>
      <w:bookmarkEnd w:id="159"/>
      <w:bookmarkEnd w:id="160"/>
      <w:r>
        <w:t xml:space="preserve"> </w:t>
      </w:r>
    </w:p>
    <w:p w14:paraId="3FCE6D98" w14:textId="77777777" w:rsidR="002038AA" w:rsidRDefault="002038AA" w:rsidP="00F56E64">
      <w:pPr>
        <w:rPr>
          <w:lang w:val="en-US" w:eastAsia="en-US"/>
        </w:rPr>
      </w:pPr>
      <w:r>
        <w:rPr>
          <w:lang w:val="en-US" w:eastAsia="en-US"/>
        </w:rPr>
        <w:t xml:space="preserve">Seven items for sleep study are </w:t>
      </w:r>
      <w:r w:rsidRPr="003F1FC3">
        <w:rPr>
          <w:lang w:val="en-US" w:eastAsia="en-US"/>
        </w:rPr>
        <w:t>considered in this section</w:t>
      </w:r>
      <w:r>
        <w:rPr>
          <w:lang w:val="en-US" w:eastAsia="en-US"/>
        </w:rPr>
        <w:t>:</w:t>
      </w:r>
    </w:p>
    <w:p w14:paraId="6D4F3F86" w14:textId="77777777" w:rsidR="002038AA" w:rsidRPr="00851104" w:rsidRDefault="002038AA" w:rsidP="002038AA">
      <w:pPr>
        <w:pStyle w:val="NormalBulleted"/>
      </w:pPr>
      <w:r w:rsidRPr="009109BE">
        <w:rPr>
          <w:b/>
        </w:rPr>
        <w:t>12203</w:t>
      </w:r>
      <w:r w:rsidRPr="00851104">
        <w:t xml:space="preserve"> </w:t>
      </w:r>
      <w:r>
        <w:tab/>
      </w:r>
      <w:r w:rsidRPr="00851104">
        <w:t>Adult sleep study in a laboratory</w:t>
      </w:r>
    </w:p>
    <w:p w14:paraId="1444F9AF" w14:textId="77777777" w:rsidR="002038AA" w:rsidRPr="00851104" w:rsidRDefault="002038AA" w:rsidP="002038AA">
      <w:pPr>
        <w:pStyle w:val="NormalBulleted"/>
      </w:pPr>
      <w:r w:rsidRPr="009109BE">
        <w:rPr>
          <w:b/>
        </w:rPr>
        <w:t>12250</w:t>
      </w:r>
      <w:r>
        <w:tab/>
      </w:r>
      <w:r w:rsidRPr="00851104">
        <w:t>Adult sleep study, unattended</w:t>
      </w:r>
    </w:p>
    <w:p w14:paraId="352B67BF" w14:textId="77777777" w:rsidR="002038AA" w:rsidRPr="00851104" w:rsidRDefault="002038AA" w:rsidP="002038AA">
      <w:pPr>
        <w:pStyle w:val="NormalBulleted"/>
      </w:pPr>
      <w:r w:rsidRPr="009109BE">
        <w:rPr>
          <w:b/>
        </w:rPr>
        <w:t>12207</w:t>
      </w:r>
      <w:r>
        <w:tab/>
      </w:r>
      <w:r w:rsidRPr="00851104">
        <w:t>Adult sleep study in a laboratory (4</w:t>
      </w:r>
      <w:r w:rsidRPr="00851104">
        <w:rPr>
          <w:vertAlign w:val="superscript"/>
        </w:rPr>
        <w:t>th</w:t>
      </w:r>
      <w:r w:rsidRPr="00851104">
        <w:t xml:space="preserve"> study) </w:t>
      </w:r>
    </w:p>
    <w:p w14:paraId="5D37D490" w14:textId="77777777" w:rsidR="002038AA" w:rsidRPr="00851104" w:rsidRDefault="002038AA" w:rsidP="002038AA">
      <w:pPr>
        <w:pStyle w:val="NormalBulleted"/>
      </w:pPr>
      <w:r w:rsidRPr="009109BE">
        <w:rPr>
          <w:b/>
        </w:rPr>
        <w:t>12210</w:t>
      </w:r>
      <w:r>
        <w:tab/>
      </w:r>
      <w:r w:rsidRPr="00851104">
        <w:t>Paediatric sleep study in a laboratory (Aged 0-12)</w:t>
      </w:r>
    </w:p>
    <w:p w14:paraId="41E291C5" w14:textId="77777777" w:rsidR="002038AA" w:rsidRPr="00851104" w:rsidRDefault="002038AA" w:rsidP="002038AA">
      <w:pPr>
        <w:pStyle w:val="NormalBulleted"/>
      </w:pPr>
      <w:r w:rsidRPr="009109BE">
        <w:rPr>
          <w:b/>
        </w:rPr>
        <w:t>12213</w:t>
      </w:r>
      <w:r>
        <w:tab/>
      </w:r>
      <w:r w:rsidRPr="00851104">
        <w:t>Paediatric sleep study in a laboratory (Aged 12-18)</w:t>
      </w:r>
    </w:p>
    <w:p w14:paraId="2BFF1D44" w14:textId="77777777" w:rsidR="002038AA" w:rsidRPr="00851104" w:rsidRDefault="002038AA" w:rsidP="002038AA">
      <w:pPr>
        <w:pStyle w:val="NormalBulleted"/>
      </w:pPr>
      <w:r w:rsidRPr="009109BE">
        <w:rPr>
          <w:b/>
        </w:rPr>
        <w:t>12215</w:t>
      </w:r>
      <w:r>
        <w:tab/>
      </w:r>
      <w:r w:rsidRPr="00851104">
        <w:t>Paediatric sleep study in a laboratory (Aged 0-12, 4</w:t>
      </w:r>
      <w:r w:rsidRPr="00851104">
        <w:rPr>
          <w:vertAlign w:val="superscript"/>
        </w:rPr>
        <w:t>th</w:t>
      </w:r>
      <w:r w:rsidRPr="00851104">
        <w:t xml:space="preserve"> study)</w:t>
      </w:r>
    </w:p>
    <w:p w14:paraId="7512865A" w14:textId="77777777" w:rsidR="002038AA" w:rsidRPr="00851104" w:rsidRDefault="002038AA" w:rsidP="002038AA">
      <w:pPr>
        <w:pStyle w:val="NormalBulleted"/>
      </w:pPr>
      <w:r w:rsidRPr="009109BE">
        <w:rPr>
          <w:b/>
        </w:rPr>
        <w:t>12217</w:t>
      </w:r>
      <w:r>
        <w:tab/>
      </w:r>
      <w:r w:rsidRPr="00851104">
        <w:t>Paediatric sleep study in a laboratory (Aged 12-18, 4</w:t>
      </w:r>
      <w:r w:rsidRPr="00851104">
        <w:rPr>
          <w:vertAlign w:val="superscript"/>
        </w:rPr>
        <w:t>th</w:t>
      </w:r>
      <w:r w:rsidRPr="00851104">
        <w:t xml:space="preserve"> study)</w:t>
      </w:r>
    </w:p>
    <w:p w14:paraId="62B923ED" w14:textId="77777777" w:rsidR="008309ED" w:rsidRDefault="008309ED" w:rsidP="008309ED">
      <w:pPr>
        <w:pStyle w:val="Heading2"/>
      </w:pPr>
      <w:bookmarkStart w:id="161" w:name="_Toc458510002"/>
      <w:bookmarkStart w:id="162" w:name="_Toc458768470"/>
      <w:bookmarkStart w:id="163" w:name="_Toc458768650"/>
      <w:bookmarkStart w:id="164" w:name="_Toc478721511"/>
      <w:bookmarkStart w:id="165" w:name="_Toc445993780"/>
      <w:r>
        <w:t>Sleep studies</w:t>
      </w:r>
      <w:bookmarkEnd w:id="161"/>
      <w:bookmarkEnd w:id="162"/>
      <w:bookmarkEnd w:id="163"/>
      <w:bookmarkEnd w:id="164"/>
    </w:p>
    <w:p w14:paraId="73A43767" w14:textId="77777777" w:rsidR="000A5970" w:rsidRPr="005C4637" w:rsidRDefault="000A5970" w:rsidP="00F56E64">
      <w:r w:rsidRPr="003D4E61">
        <w:rPr>
          <w:lang w:val="en-US"/>
        </w:rPr>
        <w:t xml:space="preserve">The decision by Taskforce that MBS funded sleep studies should be a priority review was prompted by international concern from Choosing Wisely about the clinical value of sleep studies, local concern about practice models that have evolved that have supported patient access </w:t>
      </w:r>
      <w:r>
        <w:rPr>
          <w:lang w:val="en-US"/>
        </w:rPr>
        <w:t>without appropriate clinical review which</w:t>
      </w:r>
      <w:r w:rsidRPr="003D4E61">
        <w:rPr>
          <w:lang w:val="en-US"/>
        </w:rPr>
        <w:t xml:space="preserve"> potentially compromise</w:t>
      </w:r>
      <w:r>
        <w:rPr>
          <w:lang w:val="en-US"/>
        </w:rPr>
        <w:t>s</w:t>
      </w:r>
      <w:r w:rsidRPr="003D4E61">
        <w:rPr>
          <w:lang w:val="en-US"/>
        </w:rPr>
        <w:t xml:space="preserve"> quality service provision</w:t>
      </w:r>
      <w:r>
        <w:rPr>
          <w:lang w:val="en-US"/>
        </w:rPr>
        <w:t>. There has been</w:t>
      </w:r>
      <w:r w:rsidRPr="003D4E61">
        <w:rPr>
          <w:lang w:val="en-US"/>
        </w:rPr>
        <w:t xml:space="preserve"> above </w:t>
      </w:r>
      <w:r>
        <w:rPr>
          <w:lang w:val="en-US"/>
        </w:rPr>
        <w:t xml:space="preserve">forecast growth in use of </w:t>
      </w:r>
      <w:r w:rsidRPr="003D4E61">
        <w:rPr>
          <w:lang w:val="en-US"/>
        </w:rPr>
        <w:t>sleep studies.</w:t>
      </w:r>
      <w:r w:rsidR="00A403FC">
        <w:rPr>
          <w:lang w:val="en-US"/>
        </w:rPr>
        <w:t xml:space="preserve"> </w:t>
      </w:r>
    </w:p>
    <w:p w14:paraId="7DEE515E" w14:textId="77777777" w:rsidR="000A5970" w:rsidRPr="003D4E61" w:rsidRDefault="000A5970" w:rsidP="000A5970">
      <w:pPr>
        <w:pStyle w:val="Heading3"/>
      </w:pPr>
      <w:bookmarkStart w:id="166" w:name="_Toc452990632"/>
      <w:r w:rsidRPr="003D4E61">
        <w:t>Background</w:t>
      </w:r>
      <w:bookmarkEnd w:id="166"/>
    </w:p>
    <w:p w14:paraId="3AB4732B" w14:textId="77777777" w:rsidR="000A5970" w:rsidRPr="005C4637" w:rsidRDefault="000A5970" w:rsidP="00F56E64">
      <w:r w:rsidRPr="003D4E61">
        <w:rPr>
          <w:lang w:val="en-US"/>
        </w:rPr>
        <w:t>C</w:t>
      </w:r>
      <w:r w:rsidR="001C5348">
        <w:rPr>
          <w:lang w:val="en-US"/>
        </w:rPr>
        <w:t>ontinuous positive airway pressure (C</w:t>
      </w:r>
      <w:r w:rsidRPr="003D4E61">
        <w:rPr>
          <w:lang w:val="en-US"/>
        </w:rPr>
        <w:t>PAP</w:t>
      </w:r>
      <w:r w:rsidR="001C5348">
        <w:rPr>
          <w:lang w:val="en-US"/>
        </w:rPr>
        <w:t>)</w:t>
      </w:r>
      <w:r w:rsidRPr="003D4E61">
        <w:rPr>
          <w:lang w:val="en-US"/>
        </w:rPr>
        <w:t xml:space="preserve"> is an evidence based therapy for managing obstructive sleep apnoea (OSA). The therapy is generally prescribed by a sleep or respiratory physician </w:t>
      </w:r>
      <w:r>
        <w:rPr>
          <w:lang w:val="en-US"/>
        </w:rPr>
        <w:t>after</w:t>
      </w:r>
      <w:r w:rsidRPr="003D4E61">
        <w:rPr>
          <w:lang w:val="en-US"/>
        </w:rPr>
        <w:t xml:space="preserve"> a diagnostic sleep study. Overnight laboratory-based Level 1 testing has been MBS rebated since the early 1990s. Unattended home based diagnostic studies </w:t>
      </w:r>
      <w:r>
        <w:rPr>
          <w:lang w:val="en-US"/>
        </w:rPr>
        <w:t xml:space="preserve">for adults </w:t>
      </w:r>
      <w:r w:rsidRPr="003D4E61">
        <w:rPr>
          <w:lang w:val="en-US"/>
        </w:rPr>
        <w:t>have been MBS listed since Oct</w:t>
      </w:r>
      <w:r w:rsidR="008770AA">
        <w:rPr>
          <w:lang w:val="en-US"/>
        </w:rPr>
        <w:t>ober</w:t>
      </w:r>
      <w:r w:rsidRPr="003D4E61">
        <w:rPr>
          <w:lang w:val="en-US"/>
        </w:rPr>
        <w:t xml:space="preserve"> 2008 ahead of MSAC assessment in March 2010 which supported the continuation of MBS funding for Level 2 (seven parameters) unattended studies. MSAC did not support Level 3 or 4 studies but recogni</w:t>
      </w:r>
      <w:r w:rsidR="008770AA">
        <w:rPr>
          <w:lang w:val="en-US"/>
        </w:rPr>
        <w:t>s</w:t>
      </w:r>
      <w:r w:rsidRPr="003D4E61">
        <w:rPr>
          <w:lang w:val="en-US"/>
        </w:rPr>
        <w:t>ed that there was large disease burden which could not be met by laboratory based Level 1 studies and that adult Level 2 studies were acceptably safe and effective (based on diagnostic accuracy). MBS listing was recommended with a number of caveats including;</w:t>
      </w:r>
    </w:p>
    <w:p w14:paraId="37B30161" w14:textId="77777777" w:rsidR="000A5970" w:rsidRPr="005C4637" w:rsidRDefault="000A5970" w:rsidP="001C5348">
      <w:pPr>
        <w:pStyle w:val="NormalBulleted"/>
      </w:pPr>
      <w:r w:rsidRPr="00BF2DCB">
        <w:t>Patients referred for testing should have a high pre-test probability of having OSA</w:t>
      </w:r>
    </w:p>
    <w:p w14:paraId="6948A806" w14:textId="77777777" w:rsidR="000A5970" w:rsidRPr="005C4637" w:rsidRDefault="000A5970" w:rsidP="001C5348">
      <w:pPr>
        <w:pStyle w:val="NormalBulleted"/>
      </w:pPr>
      <w:r w:rsidRPr="00BF2DCB">
        <w:t>The need for testing should be determined by a qualified sleep practitioner</w:t>
      </w:r>
    </w:p>
    <w:p w14:paraId="2362DA74" w14:textId="77777777" w:rsidR="000A5970" w:rsidRPr="00BF2DCB" w:rsidRDefault="000A5970" w:rsidP="001C5348">
      <w:pPr>
        <w:pStyle w:val="NormalBulleted"/>
      </w:pPr>
      <w:r w:rsidRPr="00BF2DCB">
        <w:t>The sleep practitioner should establish quality assurance procedures for the data acquisitio</w:t>
      </w:r>
      <w:r w:rsidR="001C5348">
        <w:t xml:space="preserve">n, personally analyse the data </w:t>
      </w:r>
      <w:r w:rsidRPr="00BF2DCB">
        <w:t>and provide a report</w:t>
      </w:r>
    </w:p>
    <w:p w14:paraId="226359AD" w14:textId="77777777" w:rsidR="000A5970" w:rsidRPr="00BF2DCB" w:rsidRDefault="000A5970" w:rsidP="001C5348">
      <w:pPr>
        <w:pStyle w:val="NormalBulleted"/>
      </w:pPr>
      <w:r w:rsidRPr="00BF2DCB">
        <w:t xml:space="preserve">Rebated testing </w:t>
      </w:r>
      <w:r>
        <w:t xml:space="preserve">for level 2 studies </w:t>
      </w:r>
      <w:r w:rsidRPr="00BF2DCB">
        <w:t>should be limited to once in 12 months.</w:t>
      </w:r>
    </w:p>
    <w:p w14:paraId="58740AE7" w14:textId="77777777" w:rsidR="000A5970" w:rsidRPr="003D4E61" w:rsidRDefault="000A5970" w:rsidP="00F56E64">
      <w:pPr>
        <w:rPr>
          <w:lang w:val="en-US"/>
        </w:rPr>
      </w:pPr>
      <w:r w:rsidRPr="003D4E61">
        <w:rPr>
          <w:lang w:val="en-US"/>
        </w:rPr>
        <w:t xml:space="preserve">These caveats are reflected in the item descriptors and are consistent with the requirements for Level 1 laboratory based studies (although these MBS services are payable up to 3 times annually). </w:t>
      </w:r>
    </w:p>
    <w:p w14:paraId="76D31D93" w14:textId="77777777" w:rsidR="000A5970" w:rsidRDefault="000A5970" w:rsidP="00F56E64">
      <w:pPr>
        <w:rPr>
          <w:lang w:val="en-US"/>
        </w:rPr>
      </w:pPr>
      <w:r w:rsidRPr="003D4E61">
        <w:rPr>
          <w:lang w:val="en-US"/>
        </w:rPr>
        <w:t>Essential features of the MBS listing that sought to balance access and quality were that patients did not need personal assessment by a sleep specialist before testing was done but nevertheless a qualified sleep practitioner would authorize the study based on referral and assessment that the patient has high pretest probability of OSA</w:t>
      </w:r>
      <w:r w:rsidR="001C5348">
        <w:rPr>
          <w:lang w:val="en-US"/>
        </w:rPr>
        <w:t>.</w:t>
      </w:r>
    </w:p>
    <w:p w14:paraId="1C22928E" w14:textId="77777777" w:rsidR="000A5970" w:rsidRPr="003D4E61" w:rsidRDefault="000A5970" w:rsidP="00F56E64">
      <w:pPr>
        <w:rPr>
          <w:lang w:val="en-US"/>
        </w:rPr>
      </w:pPr>
      <w:r>
        <w:rPr>
          <w:lang w:val="en-US"/>
        </w:rPr>
        <w:lastRenderedPageBreak/>
        <w:t xml:space="preserve">At the time of introduction of item 12250, </w:t>
      </w:r>
      <w:r w:rsidRPr="003D4E61">
        <w:rPr>
          <w:lang w:val="en-US"/>
        </w:rPr>
        <w:t xml:space="preserve">MSAC was uncertain about the likely uptake of Level 2 testing but expected that the availability of Level 2 unattended studies would reduce the volume of Level 1 laboratory based studies. </w:t>
      </w:r>
      <w:r w:rsidR="001C5348" w:rsidRPr="00B57E5F">
        <w:rPr>
          <w:lang w:val="en-US"/>
        </w:rPr>
        <w:t>However,</w:t>
      </w:r>
      <w:r w:rsidRPr="00B57E5F">
        <w:rPr>
          <w:lang w:val="en-US"/>
        </w:rPr>
        <w:t xml:space="preserve"> at the same time there was growing recognition of the adverse health impacts of OSA and a rising prevalence of OSA</w:t>
      </w:r>
      <w:r>
        <w:rPr>
          <w:lang w:val="en-US"/>
        </w:rPr>
        <w:t>.</w:t>
      </w:r>
      <w:r w:rsidRPr="00B57E5F">
        <w:rPr>
          <w:lang w:val="en-US"/>
        </w:rPr>
        <w:t xml:space="preserve"> </w:t>
      </w:r>
      <w:r w:rsidRPr="003D4E61">
        <w:rPr>
          <w:lang w:val="en-US"/>
        </w:rPr>
        <w:t xml:space="preserve">On the other hand, MSAC expressed some concern that positive Level 2 studies may lead to additional confirmatory Level 1 studies despite the accuracy of Level 2 tests. </w:t>
      </w:r>
    </w:p>
    <w:p w14:paraId="755D18B1" w14:textId="77777777" w:rsidR="000A5970" w:rsidRPr="003D4E61" w:rsidRDefault="000A5970" w:rsidP="00F56E64">
      <w:pPr>
        <w:rPr>
          <w:lang w:val="en-US"/>
        </w:rPr>
      </w:pPr>
      <w:r w:rsidRPr="003D4E61">
        <w:rPr>
          <w:lang w:val="en-US"/>
        </w:rPr>
        <w:t>There are</w:t>
      </w:r>
      <w:r>
        <w:rPr>
          <w:lang w:val="en-US"/>
        </w:rPr>
        <w:t xml:space="preserve"> several</w:t>
      </w:r>
      <w:r w:rsidRPr="003D4E61">
        <w:rPr>
          <w:lang w:val="en-US"/>
        </w:rPr>
        <w:t xml:space="preserve"> MBS items for sleep studies but the two main items </w:t>
      </w:r>
      <w:r>
        <w:rPr>
          <w:lang w:val="en-US"/>
        </w:rPr>
        <w:t xml:space="preserve">for adults </w:t>
      </w:r>
      <w:r w:rsidRPr="003D4E61">
        <w:rPr>
          <w:lang w:val="en-US"/>
        </w:rPr>
        <w:t>are item 12203 (Level 1 attended/laboratory based studies) and item 12250 (Level 2 unattended/home based studies).</w:t>
      </w:r>
    </w:p>
    <w:p w14:paraId="0F89269B" w14:textId="77777777" w:rsidR="000A5970" w:rsidRPr="00560BA0" w:rsidRDefault="001C5348" w:rsidP="001C5348">
      <w:pPr>
        <w:pStyle w:val="Heading3"/>
      </w:pPr>
      <w:bookmarkStart w:id="167" w:name="_Toc452990633"/>
      <w:r>
        <w:t>MBS data on s</w:t>
      </w:r>
      <w:r w:rsidR="000A5970">
        <w:t xml:space="preserve">leep studies </w:t>
      </w:r>
      <w:bookmarkEnd w:id="167"/>
      <w:r>
        <w:t>– items 12203, 12207 and 12250</w:t>
      </w:r>
    </w:p>
    <w:p w14:paraId="1B9AB5CB" w14:textId="77777777" w:rsidR="000A5970" w:rsidRPr="00C24933" w:rsidRDefault="001C5348" w:rsidP="00A51519">
      <w:pPr>
        <w:pStyle w:val="Caption"/>
        <w:tabs>
          <w:tab w:val="left" w:pos="1134"/>
        </w:tabs>
      </w:pPr>
      <w:bookmarkStart w:id="168" w:name="_Toc457450658"/>
      <w:bookmarkStart w:id="169" w:name="_Toc478721544"/>
      <w:r w:rsidRPr="00C24933">
        <w:t xml:space="preserve">Table </w:t>
      </w:r>
      <w:r w:rsidR="00253B22">
        <w:t>1</w:t>
      </w:r>
      <w:r w:rsidR="009936F3">
        <w:rPr>
          <w:noProof/>
        </w:rPr>
        <w:t>0</w:t>
      </w:r>
      <w:r w:rsidRPr="00C24933">
        <w:t>:</w:t>
      </w:r>
      <w:r w:rsidRPr="00C24933">
        <w:tab/>
        <w:t xml:space="preserve">High level MBS data on sleep studies – </w:t>
      </w:r>
      <w:r w:rsidR="000A5970" w:rsidRPr="00C24933">
        <w:t>items 12203, 12207 and 12250 (by date of processing)</w:t>
      </w:r>
      <w:bookmarkEnd w:id="168"/>
      <w:bookmarkEnd w:id="169"/>
    </w:p>
    <w:tbl>
      <w:tblPr>
        <w:tblStyle w:val="TableGrid"/>
        <w:tblW w:w="9214" w:type="dxa"/>
        <w:tblInd w:w="108" w:type="dxa"/>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ayout w:type="fixed"/>
        <w:tblLook w:val="04A0" w:firstRow="1" w:lastRow="0" w:firstColumn="1" w:lastColumn="0" w:noHBand="0" w:noVBand="1"/>
        <w:tblDescription w:val="Table 10 provides an overview of MBS data, including services and benefits, on sleep study items 12203, 12207 and 12250 in 2014-15."/>
      </w:tblPr>
      <w:tblGrid>
        <w:gridCol w:w="4820"/>
        <w:gridCol w:w="1464"/>
        <w:gridCol w:w="1465"/>
        <w:gridCol w:w="1465"/>
      </w:tblGrid>
      <w:tr w:rsidR="001C5348" w:rsidRPr="003B609E" w14:paraId="192C81A6" w14:textId="77777777" w:rsidTr="003B609E">
        <w:trPr>
          <w:tblHeader/>
        </w:trPr>
        <w:tc>
          <w:tcPr>
            <w:tcW w:w="4820" w:type="dxa"/>
            <w:tcBorders>
              <w:top w:val="single" w:sz="4" w:space="0" w:color="B56012"/>
            </w:tcBorders>
            <w:shd w:val="clear" w:color="auto" w:fill="auto"/>
          </w:tcPr>
          <w:p w14:paraId="193CEA0A" w14:textId="77777777" w:rsidR="001C5348" w:rsidRPr="003B609E" w:rsidRDefault="009936F3" w:rsidP="00A403FC">
            <w:pPr>
              <w:pStyle w:val="Tableheading"/>
            </w:pPr>
            <w:r>
              <w:t>Statistic</w:t>
            </w:r>
          </w:p>
        </w:tc>
        <w:tc>
          <w:tcPr>
            <w:tcW w:w="1464" w:type="dxa"/>
            <w:tcBorders>
              <w:top w:val="single" w:sz="4" w:space="0" w:color="B56012"/>
            </w:tcBorders>
            <w:shd w:val="clear" w:color="auto" w:fill="auto"/>
          </w:tcPr>
          <w:p w14:paraId="50EB4B70" w14:textId="77777777" w:rsidR="001C5348" w:rsidRPr="003B609E" w:rsidRDefault="001C5348" w:rsidP="00A403FC">
            <w:pPr>
              <w:pStyle w:val="Tableheading"/>
            </w:pPr>
            <w:r w:rsidRPr="003B609E">
              <w:t>12203</w:t>
            </w:r>
          </w:p>
        </w:tc>
        <w:tc>
          <w:tcPr>
            <w:tcW w:w="1465" w:type="dxa"/>
            <w:tcBorders>
              <w:top w:val="single" w:sz="4" w:space="0" w:color="B56012"/>
            </w:tcBorders>
          </w:tcPr>
          <w:p w14:paraId="6DB9DE4D" w14:textId="77777777" w:rsidR="001C5348" w:rsidRPr="003B609E" w:rsidRDefault="001C5348" w:rsidP="00A403FC">
            <w:pPr>
              <w:pStyle w:val="Tableheading"/>
            </w:pPr>
            <w:r w:rsidRPr="003B609E">
              <w:t>12207</w:t>
            </w:r>
          </w:p>
        </w:tc>
        <w:tc>
          <w:tcPr>
            <w:tcW w:w="1465" w:type="dxa"/>
            <w:tcBorders>
              <w:top w:val="single" w:sz="4" w:space="0" w:color="B56012"/>
            </w:tcBorders>
          </w:tcPr>
          <w:p w14:paraId="0E922F47" w14:textId="77777777" w:rsidR="001C5348" w:rsidRPr="003B609E" w:rsidRDefault="001C5348" w:rsidP="00A403FC">
            <w:pPr>
              <w:pStyle w:val="Tableheading"/>
            </w:pPr>
            <w:r w:rsidRPr="003B609E">
              <w:t>12250</w:t>
            </w:r>
          </w:p>
        </w:tc>
      </w:tr>
      <w:tr w:rsidR="001C5348" w:rsidRPr="00A403FC" w14:paraId="460C8DB1" w14:textId="77777777" w:rsidTr="003B609E">
        <w:trPr>
          <w:tblHeader/>
        </w:trPr>
        <w:tc>
          <w:tcPr>
            <w:tcW w:w="4820" w:type="dxa"/>
            <w:tcBorders>
              <w:top w:val="single" w:sz="4" w:space="0" w:color="B56012"/>
            </w:tcBorders>
            <w:shd w:val="clear" w:color="auto" w:fill="auto"/>
          </w:tcPr>
          <w:p w14:paraId="5B768263" w14:textId="77777777" w:rsidR="001C5348" w:rsidRPr="00A403FC" w:rsidRDefault="001C5348" w:rsidP="00A403FC">
            <w:pPr>
              <w:pStyle w:val="Tabletext"/>
              <w:rPr>
                <w:rFonts w:eastAsiaTheme="minorHAnsi"/>
              </w:rPr>
            </w:pPr>
            <w:r w:rsidRPr="00A403FC">
              <w:rPr>
                <w:rFonts w:eastAsiaTheme="minorHAnsi"/>
              </w:rPr>
              <w:t>Schedule fee</w:t>
            </w:r>
          </w:p>
        </w:tc>
        <w:tc>
          <w:tcPr>
            <w:tcW w:w="1464" w:type="dxa"/>
            <w:tcBorders>
              <w:top w:val="single" w:sz="4" w:space="0" w:color="B56012"/>
            </w:tcBorders>
            <w:shd w:val="clear" w:color="auto" w:fill="auto"/>
            <w:vAlign w:val="bottom"/>
          </w:tcPr>
          <w:p w14:paraId="6C74FBEF" w14:textId="77777777" w:rsidR="001C5348" w:rsidRPr="00A403FC" w:rsidRDefault="001C5348" w:rsidP="00A403FC">
            <w:pPr>
              <w:pStyle w:val="Tabletext"/>
              <w:rPr>
                <w:rFonts w:eastAsiaTheme="minorHAnsi"/>
              </w:rPr>
            </w:pPr>
            <w:r w:rsidRPr="00A403FC">
              <w:t>$588.00</w:t>
            </w:r>
          </w:p>
        </w:tc>
        <w:tc>
          <w:tcPr>
            <w:tcW w:w="1465" w:type="dxa"/>
            <w:tcBorders>
              <w:top w:val="single" w:sz="4" w:space="0" w:color="B56012"/>
            </w:tcBorders>
            <w:vAlign w:val="bottom"/>
          </w:tcPr>
          <w:p w14:paraId="5EF1F636" w14:textId="77777777" w:rsidR="001C5348" w:rsidRPr="00A403FC" w:rsidRDefault="001C5348" w:rsidP="00A403FC">
            <w:pPr>
              <w:pStyle w:val="Tabletext"/>
            </w:pPr>
            <w:r w:rsidRPr="00A403FC">
              <w:t>$588.00</w:t>
            </w:r>
          </w:p>
        </w:tc>
        <w:tc>
          <w:tcPr>
            <w:tcW w:w="1465" w:type="dxa"/>
            <w:tcBorders>
              <w:top w:val="single" w:sz="4" w:space="0" w:color="B56012"/>
            </w:tcBorders>
            <w:vAlign w:val="bottom"/>
          </w:tcPr>
          <w:p w14:paraId="037F4F29" w14:textId="77777777" w:rsidR="001C5348" w:rsidRPr="00A403FC" w:rsidRDefault="001C5348" w:rsidP="00A403FC">
            <w:pPr>
              <w:pStyle w:val="Tabletext"/>
            </w:pPr>
            <w:r w:rsidRPr="00A403FC">
              <w:t>$335.30</w:t>
            </w:r>
          </w:p>
        </w:tc>
      </w:tr>
      <w:tr w:rsidR="001C5348" w:rsidRPr="00A403FC" w14:paraId="0B46DA0F" w14:textId="77777777" w:rsidTr="003B609E">
        <w:tc>
          <w:tcPr>
            <w:tcW w:w="4820" w:type="dxa"/>
          </w:tcPr>
          <w:p w14:paraId="6AA4A92C" w14:textId="77777777" w:rsidR="001C5348" w:rsidRPr="00A403FC" w:rsidRDefault="001C5348" w:rsidP="00A403FC">
            <w:pPr>
              <w:pStyle w:val="Tabletext"/>
              <w:rPr>
                <w:rFonts w:eastAsiaTheme="minorHAnsi"/>
              </w:rPr>
            </w:pPr>
            <w:r w:rsidRPr="00A403FC">
              <w:rPr>
                <w:rFonts w:eastAsiaTheme="minorHAnsi"/>
              </w:rPr>
              <w:t>Total benefits paid 2014-15</w:t>
            </w:r>
          </w:p>
        </w:tc>
        <w:tc>
          <w:tcPr>
            <w:tcW w:w="1464" w:type="dxa"/>
            <w:vAlign w:val="bottom"/>
          </w:tcPr>
          <w:p w14:paraId="49FAF013" w14:textId="77777777" w:rsidR="001C5348" w:rsidRPr="00A403FC" w:rsidRDefault="001C5348" w:rsidP="00A403FC">
            <w:pPr>
              <w:pStyle w:val="Tabletext"/>
            </w:pPr>
            <w:r w:rsidRPr="00A403FC">
              <w:t>$49,134,837</w:t>
            </w:r>
          </w:p>
        </w:tc>
        <w:tc>
          <w:tcPr>
            <w:tcW w:w="1465" w:type="dxa"/>
            <w:vAlign w:val="bottom"/>
          </w:tcPr>
          <w:p w14:paraId="3AD8E2BE" w14:textId="77777777" w:rsidR="001C5348" w:rsidRPr="00A403FC" w:rsidRDefault="001C5348" w:rsidP="00A403FC">
            <w:pPr>
              <w:pStyle w:val="Tabletext"/>
            </w:pPr>
            <w:r w:rsidRPr="00A403FC">
              <w:t>$1,394</w:t>
            </w:r>
          </w:p>
        </w:tc>
        <w:tc>
          <w:tcPr>
            <w:tcW w:w="1465" w:type="dxa"/>
            <w:vAlign w:val="bottom"/>
          </w:tcPr>
          <w:p w14:paraId="2D7F64B2" w14:textId="77777777" w:rsidR="001C5348" w:rsidRPr="00A403FC" w:rsidRDefault="001C5348" w:rsidP="00A403FC">
            <w:pPr>
              <w:pStyle w:val="Tabletext"/>
            </w:pPr>
            <w:r w:rsidRPr="00A403FC">
              <w:t>$19,506,651</w:t>
            </w:r>
          </w:p>
        </w:tc>
      </w:tr>
      <w:tr w:rsidR="001C5348" w:rsidRPr="00A403FC" w14:paraId="68B928CE" w14:textId="77777777" w:rsidTr="003B609E">
        <w:tc>
          <w:tcPr>
            <w:tcW w:w="4820" w:type="dxa"/>
          </w:tcPr>
          <w:p w14:paraId="38281950" w14:textId="77777777" w:rsidR="001C5348" w:rsidRPr="00A403FC" w:rsidRDefault="001C5348" w:rsidP="00A403FC">
            <w:pPr>
              <w:pStyle w:val="Tabletext"/>
              <w:rPr>
                <w:rFonts w:eastAsiaTheme="minorHAnsi"/>
              </w:rPr>
            </w:pPr>
            <w:r w:rsidRPr="00A403FC">
              <w:rPr>
                <w:rFonts w:eastAsiaTheme="minorHAnsi"/>
              </w:rPr>
              <w:t>Number of services 2014-15</w:t>
            </w:r>
          </w:p>
        </w:tc>
        <w:tc>
          <w:tcPr>
            <w:tcW w:w="1464" w:type="dxa"/>
            <w:vAlign w:val="bottom"/>
          </w:tcPr>
          <w:p w14:paraId="755FDDD0" w14:textId="77777777" w:rsidR="001C5348" w:rsidRPr="00A403FC" w:rsidRDefault="001C5348" w:rsidP="00A403FC">
            <w:pPr>
              <w:pStyle w:val="Tabletext"/>
            </w:pPr>
            <w:r w:rsidRPr="00A403FC">
              <w:t>103,243</w:t>
            </w:r>
          </w:p>
        </w:tc>
        <w:tc>
          <w:tcPr>
            <w:tcW w:w="1465" w:type="dxa"/>
            <w:vAlign w:val="bottom"/>
          </w:tcPr>
          <w:p w14:paraId="79CD66E6" w14:textId="77777777" w:rsidR="001C5348" w:rsidRPr="00A403FC" w:rsidRDefault="001C5348" w:rsidP="00A403FC">
            <w:pPr>
              <w:pStyle w:val="Tabletext"/>
            </w:pPr>
            <w:r w:rsidRPr="00A403FC">
              <w:t>3</w:t>
            </w:r>
          </w:p>
        </w:tc>
        <w:tc>
          <w:tcPr>
            <w:tcW w:w="1465" w:type="dxa"/>
            <w:vAlign w:val="bottom"/>
          </w:tcPr>
          <w:p w14:paraId="57F18CF3" w14:textId="77777777" w:rsidR="001C5348" w:rsidRPr="00A403FC" w:rsidRDefault="001C5348" w:rsidP="00A403FC">
            <w:pPr>
              <w:pStyle w:val="Tabletext"/>
            </w:pPr>
            <w:r w:rsidRPr="00A403FC">
              <w:t>68,310</w:t>
            </w:r>
          </w:p>
        </w:tc>
      </w:tr>
      <w:tr w:rsidR="001C5348" w:rsidRPr="00A403FC" w14:paraId="050F09EE" w14:textId="77777777" w:rsidTr="003B609E">
        <w:tc>
          <w:tcPr>
            <w:tcW w:w="4820" w:type="dxa"/>
          </w:tcPr>
          <w:p w14:paraId="225F6192" w14:textId="77777777" w:rsidR="001C5348" w:rsidRPr="00A403FC" w:rsidRDefault="001C5348" w:rsidP="00A403FC">
            <w:pPr>
              <w:pStyle w:val="Tabletext"/>
              <w:rPr>
                <w:rFonts w:eastAsiaTheme="minorHAnsi"/>
              </w:rPr>
            </w:pPr>
            <w:r w:rsidRPr="00A403FC">
              <w:rPr>
                <w:rFonts w:eastAsiaTheme="minorHAnsi"/>
              </w:rPr>
              <w:t>% of services provided out-of-hospital 2014-15</w:t>
            </w:r>
          </w:p>
        </w:tc>
        <w:tc>
          <w:tcPr>
            <w:tcW w:w="1464" w:type="dxa"/>
            <w:vAlign w:val="bottom"/>
          </w:tcPr>
          <w:p w14:paraId="402EE5BF" w14:textId="77777777" w:rsidR="001C5348" w:rsidRPr="00A403FC" w:rsidRDefault="001C5348" w:rsidP="00A403FC">
            <w:pPr>
              <w:pStyle w:val="Tabletext"/>
            </w:pPr>
            <w:r w:rsidRPr="00A403FC">
              <w:t>49.70%</w:t>
            </w:r>
          </w:p>
        </w:tc>
        <w:tc>
          <w:tcPr>
            <w:tcW w:w="1465" w:type="dxa"/>
            <w:vAlign w:val="bottom"/>
          </w:tcPr>
          <w:p w14:paraId="6230A3B5" w14:textId="77777777" w:rsidR="001C5348" w:rsidRPr="00A403FC" w:rsidRDefault="001C5348" w:rsidP="00A403FC">
            <w:pPr>
              <w:pStyle w:val="Tabletext"/>
            </w:pPr>
            <w:r w:rsidRPr="00A403FC">
              <w:t>33.30%</w:t>
            </w:r>
          </w:p>
        </w:tc>
        <w:tc>
          <w:tcPr>
            <w:tcW w:w="1465" w:type="dxa"/>
            <w:vAlign w:val="bottom"/>
          </w:tcPr>
          <w:p w14:paraId="7F052FFD" w14:textId="77777777" w:rsidR="001C5348" w:rsidRPr="00A403FC" w:rsidRDefault="001C5348" w:rsidP="00A403FC">
            <w:pPr>
              <w:pStyle w:val="Tabletext"/>
            </w:pPr>
            <w:r w:rsidRPr="00A403FC">
              <w:t>99.60%</w:t>
            </w:r>
          </w:p>
        </w:tc>
      </w:tr>
      <w:tr w:rsidR="001C5348" w:rsidRPr="00A403FC" w14:paraId="5E66D476" w14:textId="77777777" w:rsidTr="003B609E">
        <w:tc>
          <w:tcPr>
            <w:tcW w:w="4820" w:type="dxa"/>
            <w:vAlign w:val="center"/>
          </w:tcPr>
          <w:p w14:paraId="2CFC9D3E" w14:textId="77777777" w:rsidR="001C5348" w:rsidRPr="00A403FC" w:rsidRDefault="001C5348" w:rsidP="00A403FC">
            <w:pPr>
              <w:pStyle w:val="Tabletext"/>
              <w:rPr>
                <w:rFonts w:eastAsiaTheme="minorHAnsi"/>
              </w:rPr>
            </w:pPr>
            <w:r w:rsidRPr="00A403FC">
              <w:t>Bulk-billing rate for out-of-hospital services 2014-15</w:t>
            </w:r>
          </w:p>
        </w:tc>
        <w:tc>
          <w:tcPr>
            <w:tcW w:w="1464" w:type="dxa"/>
            <w:vAlign w:val="bottom"/>
          </w:tcPr>
          <w:p w14:paraId="72292CAF" w14:textId="77777777" w:rsidR="001C5348" w:rsidRPr="00A403FC" w:rsidRDefault="001C5348" w:rsidP="00A403FC">
            <w:pPr>
              <w:pStyle w:val="Tabletext"/>
            </w:pPr>
            <w:r w:rsidRPr="00A403FC">
              <w:t>90.90%</w:t>
            </w:r>
          </w:p>
        </w:tc>
        <w:tc>
          <w:tcPr>
            <w:tcW w:w="1465" w:type="dxa"/>
            <w:vAlign w:val="bottom"/>
          </w:tcPr>
          <w:p w14:paraId="30A43B9F" w14:textId="77777777" w:rsidR="001C5348" w:rsidRPr="00A403FC" w:rsidRDefault="001C5348" w:rsidP="00A403FC">
            <w:pPr>
              <w:pStyle w:val="Tabletext"/>
            </w:pPr>
            <w:r w:rsidRPr="00A403FC">
              <w:t>100.00%</w:t>
            </w:r>
          </w:p>
        </w:tc>
        <w:tc>
          <w:tcPr>
            <w:tcW w:w="1465" w:type="dxa"/>
            <w:vAlign w:val="bottom"/>
          </w:tcPr>
          <w:p w14:paraId="27901AF4" w14:textId="77777777" w:rsidR="001C5348" w:rsidRPr="00A403FC" w:rsidRDefault="001C5348" w:rsidP="00A403FC">
            <w:pPr>
              <w:pStyle w:val="Tabletext"/>
            </w:pPr>
            <w:r w:rsidRPr="00A403FC">
              <w:t>85.50%</w:t>
            </w:r>
          </w:p>
        </w:tc>
      </w:tr>
      <w:tr w:rsidR="001C5348" w:rsidRPr="00A403FC" w14:paraId="205C6FE4" w14:textId="77777777" w:rsidTr="003B609E">
        <w:tc>
          <w:tcPr>
            <w:tcW w:w="4820" w:type="dxa"/>
            <w:vAlign w:val="center"/>
          </w:tcPr>
          <w:p w14:paraId="29F19A32" w14:textId="77777777" w:rsidR="001C5348" w:rsidRPr="00A403FC" w:rsidRDefault="001C5348" w:rsidP="00A403FC">
            <w:pPr>
              <w:pStyle w:val="Tabletext"/>
              <w:rPr>
                <w:rFonts w:eastAsiaTheme="minorHAnsi"/>
              </w:rPr>
            </w:pPr>
            <w:r w:rsidRPr="00A403FC">
              <w:t>Total patient count 2014-15</w:t>
            </w:r>
          </w:p>
        </w:tc>
        <w:tc>
          <w:tcPr>
            <w:tcW w:w="1464" w:type="dxa"/>
            <w:vAlign w:val="bottom"/>
          </w:tcPr>
          <w:p w14:paraId="34B53626" w14:textId="77777777" w:rsidR="001C5348" w:rsidRPr="00A403FC" w:rsidRDefault="001C5348" w:rsidP="00A403FC">
            <w:pPr>
              <w:pStyle w:val="Tabletext"/>
            </w:pPr>
            <w:r w:rsidRPr="00A403FC">
              <w:t>84,475</w:t>
            </w:r>
          </w:p>
        </w:tc>
        <w:tc>
          <w:tcPr>
            <w:tcW w:w="1465" w:type="dxa"/>
            <w:vAlign w:val="bottom"/>
          </w:tcPr>
          <w:p w14:paraId="26EB1C4F" w14:textId="77777777" w:rsidR="001C5348" w:rsidRPr="00A403FC" w:rsidRDefault="001C5348" w:rsidP="00A403FC">
            <w:pPr>
              <w:pStyle w:val="Tabletext"/>
            </w:pPr>
            <w:r w:rsidRPr="00A403FC">
              <w:t>3</w:t>
            </w:r>
          </w:p>
        </w:tc>
        <w:tc>
          <w:tcPr>
            <w:tcW w:w="1465" w:type="dxa"/>
            <w:vAlign w:val="bottom"/>
          </w:tcPr>
          <w:p w14:paraId="24A9C7A3" w14:textId="77777777" w:rsidR="001C5348" w:rsidRPr="00A403FC" w:rsidRDefault="001C5348" w:rsidP="00A403FC">
            <w:pPr>
              <w:pStyle w:val="Tabletext"/>
            </w:pPr>
            <w:r w:rsidRPr="00A403FC">
              <w:t>68,390</w:t>
            </w:r>
          </w:p>
        </w:tc>
      </w:tr>
      <w:tr w:rsidR="001C5348" w:rsidRPr="00A403FC" w14:paraId="2BAE46B5" w14:textId="77777777" w:rsidTr="003B609E">
        <w:tc>
          <w:tcPr>
            <w:tcW w:w="4820" w:type="dxa"/>
            <w:vAlign w:val="center"/>
          </w:tcPr>
          <w:p w14:paraId="153D2FBC" w14:textId="77777777" w:rsidR="001C5348" w:rsidRPr="00A403FC" w:rsidRDefault="001C5348" w:rsidP="00A403FC">
            <w:pPr>
              <w:pStyle w:val="Tabletext"/>
              <w:rPr>
                <w:rFonts w:eastAsiaTheme="minorHAnsi"/>
              </w:rPr>
            </w:pPr>
            <w:r w:rsidRPr="00A403FC">
              <w:t>Total provider count 2014-15</w:t>
            </w:r>
          </w:p>
        </w:tc>
        <w:tc>
          <w:tcPr>
            <w:tcW w:w="1464" w:type="dxa"/>
            <w:vAlign w:val="bottom"/>
          </w:tcPr>
          <w:p w14:paraId="675CF1B9" w14:textId="77777777" w:rsidR="001C5348" w:rsidRPr="00A403FC" w:rsidRDefault="001C5348" w:rsidP="00A403FC">
            <w:pPr>
              <w:pStyle w:val="Tabletext"/>
            </w:pPr>
            <w:r w:rsidRPr="00A403FC">
              <w:t>284</w:t>
            </w:r>
          </w:p>
        </w:tc>
        <w:tc>
          <w:tcPr>
            <w:tcW w:w="1465" w:type="dxa"/>
            <w:vAlign w:val="bottom"/>
          </w:tcPr>
          <w:p w14:paraId="73B22969" w14:textId="77777777" w:rsidR="001C5348" w:rsidRPr="00A403FC" w:rsidRDefault="001C5348" w:rsidP="00A403FC">
            <w:pPr>
              <w:pStyle w:val="Tabletext"/>
            </w:pPr>
            <w:r w:rsidRPr="00A403FC">
              <w:t>3</w:t>
            </w:r>
          </w:p>
        </w:tc>
        <w:tc>
          <w:tcPr>
            <w:tcW w:w="1465" w:type="dxa"/>
            <w:vAlign w:val="bottom"/>
          </w:tcPr>
          <w:p w14:paraId="14EB8DDE" w14:textId="77777777" w:rsidR="001C5348" w:rsidRPr="00A403FC" w:rsidRDefault="001C5348" w:rsidP="00A403FC">
            <w:pPr>
              <w:pStyle w:val="Tabletext"/>
            </w:pPr>
            <w:r w:rsidRPr="00A403FC">
              <w:t>224</w:t>
            </w:r>
          </w:p>
        </w:tc>
      </w:tr>
      <w:tr w:rsidR="001C5348" w:rsidRPr="00A403FC" w14:paraId="307E34C3" w14:textId="77777777" w:rsidTr="003B609E">
        <w:tc>
          <w:tcPr>
            <w:tcW w:w="4820" w:type="dxa"/>
            <w:vAlign w:val="center"/>
          </w:tcPr>
          <w:p w14:paraId="57DB450D" w14:textId="77777777" w:rsidR="001C5348" w:rsidRPr="00A403FC" w:rsidRDefault="001C5348" w:rsidP="00A403FC">
            <w:pPr>
              <w:pStyle w:val="Tabletext"/>
              <w:rPr>
                <w:rFonts w:eastAsiaTheme="minorHAnsi"/>
              </w:rPr>
            </w:pPr>
            <w:r w:rsidRPr="00A403FC">
              <w:t>Benefits change (%) from 2009-10 to 2014-15</w:t>
            </w:r>
          </w:p>
        </w:tc>
        <w:tc>
          <w:tcPr>
            <w:tcW w:w="1464" w:type="dxa"/>
            <w:vAlign w:val="bottom"/>
          </w:tcPr>
          <w:p w14:paraId="11F4DF83" w14:textId="77777777" w:rsidR="001C5348" w:rsidRPr="00A403FC" w:rsidRDefault="001C5348" w:rsidP="00A403FC">
            <w:pPr>
              <w:pStyle w:val="Tabletext"/>
            </w:pPr>
            <w:r w:rsidRPr="00A403FC">
              <w:t>34%</w:t>
            </w:r>
          </w:p>
        </w:tc>
        <w:tc>
          <w:tcPr>
            <w:tcW w:w="1465" w:type="dxa"/>
            <w:vAlign w:val="bottom"/>
          </w:tcPr>
          <w:p w14:paraId="7A2F6B9E" w14:textId="77777777" w:rsidR="001C5348" w:rsidRPr="00A403FC" w:rsidRDefault="001C5348" w:rsidP="00A403FC">
            <w:pPr>
              <w:pStyle w:val="Tabletext"/>
            </w:pPr>
            <w:r w:rsidRPr="00A403FC">
              <w:t>234%</w:t>
            </w:r>
          </w:p>
        </w:tc>
        <w:tc>
          <w:tcPr>
            <w:tcW w:w="1465" w:type="dxa"/>
            <w:vAlign w:val="bottom"/>
          </w:tcPr>
          <w:p w14:paraId="08409419" w14:textId="77777777" w:rsidR="001C5348" w:rsidRPr="00A403FC" w:rsidRDefault="001C5348" w:rsidP="00A403FC">
            <w:pPr>
              <w:pStyle w:val="Tabletext"/>
            </w:pPr>
            <w:r w:rsidRPr="00A403FC">
              <w:t>158%</w:t>
            </w:r>
          </w:p>
        </w:tc>
      </w:tr>
      <w:tr w:rsidR="001C5348" w:rsidRPr="00A403FC" w14:paraId="7B279F86" w14:textId="77777777" w:rsidTr="003B609E">
        <w:tc>
          <w:tcPr>
            <w:tcW w:w="4820" w:type="dxa"/>
            <w:vAlign w:val="center"/>
          </w:tcPr>
          <w:p w14:paraId="74BAE0B9" w14:textId="77777777" w:rsidR="001C5348" w:rsidRPr="00A403FC" w:rsidRDefault="001C5348" w:rsidP="00A403FC">
            <w:pPr>
              <w:pStyle w:val="Tabletext"/>
              <w:rPr>
                <w:rFonts w:eastAsiaTheme="minorHAnsi"/>
              </w:rPr>
            </w:pPr>
            <w:r w:rsidRPr="00A403FC">
              <w:t>Service change (%) from 2009-10 to 2014-15</w:t>
            </w:r>
          </w:p>
        </w:tc>
        <w:tc>
          <w:tcPr>
            <w:tcW w:w="1464" w:type="dxa"/>
            <w:vAlign w:val="bottom"/>
          </w:tcPr>
          <w:p w14:paraId="404C08C7" w14:textId="77777777" w:rsidR="001C5348" w:rsidRPr="00A403FC" w:rsidRDefault="001C5348" w:rsidP="00A403FC">
            <w:pPr>
              <w:pStyle w:val="Tabletext"/>
            </w:pPr>
            <w:r w:rsidRPr="00A403FC">
              <w:t>26%</w:t>
            </w:r>
          </w:p>
        </w:tc>
        <w:tc>
          <w:tcPr>
            <w:tcW w:w="1465" w:type="dxa"/>
            <w:vAlign w:val="bottom"/>
          </w:tcPr>
          <w:p w14:paraId="3FF97F9A" w14:textId="77777777" w:rsidR="001C5348" w:rsidRPr="00A403FC" w:rsidRDefault="001C5348" w:rsidP="00A403FC">
            <w:pPr>
              <w:pStyle w:val="Tabletext"/>
            </w:pPr>
            <w:r w:rsidRPr="00A403FC">
              <w:t>200%</w:t>
            </w:r>
          </w:p>
        </w:tc>
        <w:tc>
          <w:tcPr>
            <w:tcW w:w="1465" w:type="dxa"/>
            <w:vAlign w:val="bottom"/>
          </w:tcPr>
          <w:p w14:paraId="61A11175" w14:textId="77777777" w:rsidR="001C5348" w:rsidRPr="00A403FC" w:rsidRDefault="001C5348" w:rsidP="00A403FC">
            <w:pPr>
              <w:pStyle w:val="Tabletext"/>
            </w:pPr>
            <w:r w:rsidRPr="00A403FC">
              <w:t>143%</w:t>
            </w:r>
          </w:p>
        </w:tc>
      </w:tr>
    </w:tbl>
    <w:p w14:paraId="3A1FD8B5" w14:textId="77777777" w:rsidR="001C5348" w:rsidRPr="00C24933" w:rsidRDefault="001C5348" w:rsidP="00C24933">
      <w:pPr>
        <w:pStyle w:val="TableUnderLast"/>
      </w:pPr>
      <w:r w:rsidRPr="00C24933">
        <w:t>Unpublished data (Department of Health)</w:t>
      </w:r>
    </w:p>
    <w:p w14:paraId="72C9697F" w14:textId="77777777" w:rsidR="00330A53" w:rsidRDefault="000A5970" w:rsidP="00F56E64">
      <w:pPr>
        <w:rPr>
          <w:lang w:val="en-US"/>
        </w:rPr>
      </w:pPr>
      <w:r w:rsidRPr="006E5025">
        <w:rPr>
          <w:lang w:val="en-US"/>
        </w:rPr>
        <w:t>The following describes the use of both laboratory based (item 12203) and home based (item 12250) sleep studies. The analysis is confined mainly to adult studies and to the key items. Testing of children is limited, confined to the laboratory based Level 1 studies and largely linked to therapies other than CPAP.</w:t>
      </w:r>
      <w:r w:rsidR="00440C81">
        <w:rPr>
          <w:lang w:val="en-US"/>
        </w:rPr>
        <w:t xml:space="preserve"> </w:t>
      </w:r>
      <w:r w:rsidRPr="006E5025">
        <w:rPr>
          <w:lang w:val="en-US"/>
        </w:rPr>
        <w:t>The data look at service growth, geographical variation and use of associated services and in particular consultation with consultant physicians pre and post</w:t>
      </w:r>
      <w:r>
        <w:rPr>
          <w:lang w:val="en-US"/>
        </w:rPr>
        <w:t>-</w:t>
      </w:r>
      <w:r w:rsidRPr="006E5025">
        <w:rPr>
          <w:lang w:val="en-US"/>
        </w:rPr>
        <w:t>testing.</w:t>
      </w:r>
    </w:p>
    <w:p w14:paraId="33E133DC" w14:textId="77777777" w:rsidR="00330A53" w:rsidRDefault="00330A53">
      <w:pPr>
        <w:spacing w:before="0" w:after="0" w:line="240" w:lineRule="auto"/>
        <w:rPr>
          <w:lang w:val="en-US"/>
        </w:rPr>
      </w:pPr>
      <w:r>
        <w:rPr>
          <w:lang w:val="en-US"/>
        </w:rPr>
        <w:br w:type="page"/>
      </w:r>
    </w:p>
    <w:p w14:paraId="618F492D" w14:textId="77777777" w:rsidR="000A5970" w:rsidRPr="00440C81" w:rsidRDefault="0045533B" w:rsidP="00330A53">
      <w:pPr>
        <w:pStyle w:val="StyleTableUnderLastBold"/>
        <w:rPr>
          <w:b/>
          <w:i/>
          <w:lang w:val="en-US"/>
        </w:rPr>
      </w:pPr>
      <w:r w:rsidRPr="00872B48">
        <w:rPr>
          <w:noProof/>
        </w:rPr>
        <w:lastRenderedPageBreak/>
        <w:drawing>
          <wp:inline distT="0" distB="0" distL="0" distR="0" wp14:anchorId="00C90003" wp14:editId="3A121AA7">
            <wp:extent cx="5652135" cy="2436495"/>
            <wp:effectExtent l="0" t="0" r="5715" b="1905"/>
            <wp:docPr id="10" name="Chart 10" descr="Figure 1 shows that over the 5-year period, services were highest for item 12203, followed by item 11250 and then item 12210. The number of services of item 12210 increased slightly but fairly steady from 4,092 in October 2008 to 6,600 in June 2014. In contrast, over the same period, items 12250 and 12203 both showed a relatively sudden increase from 2008 to 2009-10, followed by a more gradual increase to 2013-14. Services for item 12250 increased from 12,745 to 28,134 in 2009-10 and then to 53,673 in 2009-10. Services for item 12203 increased from 55,841 to 81,777 in 2009-10 and then to 102,672 in 2009-10. "/>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0A5970" w:rsidRPr="00872B48">
        <w:rPr>
          <w:b/>
        </w:rPr>
        <w:t>*</w:t>
      </w:r>
      <w:r w:rsidR="000A5970" w:rsidRPr="00A7464E">
        <w:t xml:space="preserve">Item 12250 was </w:t>
      </w:r>
      <w:r w:rsidR="000A5970" w:rsidRPr="00DE4CD3">
        <w:t>MBS-listed on 1 October 2008; Data is by date of processing</w:t>
      </w:r>
      <w:r w:rsidR="00EE3C7E">
        <w:t xml:space="preserve">. </w:t>
      </w:r>
      <w:r w:rsidR="00EE3C7E" w:rsidRPr="00EE3C7E">
        <w:t>Unpublished data (Department of Health).</w:t>
      </w:r>
    </w:p>
    <w:p w14:paraId="50F71D69" w14:textId="77777777" w:rsidR="00440C81" w:rsidRPr="006E5025" w:rsidRDefault="00440C81" w:rsidP="00440C81">
      <w:pPr>
        <w:pStyle w:val="FigureCaption"/>
      </w:pPr>
      <w:r w:rsidRPr="008309ED">
        <w:t>Growth in Services – Sleep Study Items 12203 (adult lab-based), *12250 (adult home-based) and</w:t>
      </w:r>
      <w:r w:rsidRPr="006E5025">
        <w:t xml:space="preserve"> 12210 (child lab-based) – 1 October 2008 to 30 June 2014</w:t>
      </w:r>
    </w:p>
    <w:p w14:paraId="33302BB9" w14:textId="77777777" w:rsidR="00C24933" w:rsidRPr="00C24933" w:rsidRDefault="00C24933" w:rsidP="00A51519">
      <w:pPr>
        <w:pStyle w:val="Caption"/>
        <w:tabs>
          <w:tab w:val="left" w:pos="1134"/>
        </w:tabs>
      </w:pPr>
      <w:bookmarkStart w:id="170" w:name="_Toc457450659"/>
      <w:bookmarkStart w:id="171" w:name="_Toc478721545"/>
      <w:r w:rsidRPr="00C24933">
        <w:t>Table</w:t>
      </w:r>
      <w:r w:rsidR="00926B56">
        <w:t xml:space="preserve"> 11</w:t>
      </w:r>
      <w:r w:rsidRPr="00C24933">
        <w:t>:</w:t>
      </w:r>
      <w:r w:rsidRPr="00C24933">
        <w:tab/>
      </w:r>
      <w:r w:rsidR="000A5970" w:rsidRPr="00C24933">
        <w:rPr>
          <w:bCs/>
          <w:lang w:val="en-US"/>
        </w:rPr>
        <w:t>Benefits, average fee charged and service growth (2013-14)</w:t>
      </w:r>
      <w:r w:rsidRPr="00C24933">
        <w:rPr>
          <w:bCs/>
          <w:lang w:val="en-US"/>
        </w:rPr>
        <w:t xml:space="preserve"> – </w:t>
      </w:r>
      <w:r w:rsidR="000A5970" w:rsidRPr="00C24933">
        <w:rPr>
          <w:bCs/>
          <w:lang w:val="en-US"/>
        </w:rPr>
        <w:t>Items 12203, 12250 and 12210</w:t>
      </w:r>
      <w:bookmarkEnd w:id="170"/>
      <w:bookmarkEnd w:id="171"/>
    </w:p>
    <w:tbl>
      <w:tblPr>
        <w:tblW w:w="5000" w:type="pct"/>
        <w:tblBorders>
          <w:top w:val="single" w:sz="8" w:space="0" w:color="B56011"/>
          <w:bottom w:val="single" w:sz="8" w:space="0" w:color="B56011"/>
          <w:insideH w:val="single" w:sz="8" w:space="0" w:color="B56011"/>
        </w:tblBorders>
        <w:tblLook w:val="04A0" w:firstRow="1" w:lastRow="0" w:firstColumn="1" w:lastColumn="0" w:noHBand="0" w:noVBand="1"/>
        <w:tblDescription w:val="Table 11 provides the benefits, average fee, average benefit per service, and service growth over 2 periods (2010-11 to 2013-14 and 2012-13 to 2013-14) for the 3 sleep study items 12203, 12250 and 12210."/>
      </w:tblPr>
      <w:tblGrid>
        <w:gridCol w:w="1540"/>
        <w:gridCol w:w="1496"/>
        <w:gridCol w:w="1499"/>
        <w:gridCol w:w="1498"/>
        <w:gridCol w:w="1496"/>
        <w:gridCol w:w="1497"/>
      </w:tblGrid>
      <w:tr w:rsidR="00D66E89" w:rsidRPr="00D66E89" w14:paraId="0721BAE6" w14:textId="77777777" w:rsidTr="009936F3">
        <w:trPr>
          <w:trHeight w:val="812"/>
          <w:tblHeader/>
        </w:trPr>
        <w:tc>
          <w:tcPr>
            <w:tcW w:w="1540" w:type="dxa"/>
            <w:shd w:val="clear" w:color="auto" w:fill="auto"/>
            <w:noWrap/>
            <w:vAlign w:val="center"/>
            <w:hideMark/>
          </w:tcPr>
          <w:p w14:paraId="5A0A253B" w14:textId="77777777" w:rsidR="00D66E89" w:rsidRPr="00D66E89" w:rsidRDefault="00D66E89" w:rsidP="00D66E89">
            <w:pPr>
              <w:pStyle w:val="Tableheading"/>
            </w:pPr>
            <w:r w:rsidRPr="00D66E89">
              <w:t>Item</w:t>
            </w:r>
          </w:p>
        </w:tc>
        <w:tc>
          <w:tcPr>
            <w:tcW w:w="1540" w:type="dxa"/>
            <w:shd w:val="clear" w:color="auto" w:fill="auto"/>
            <w:vAlign w:val="center"/>
            <w:hideMark/>
          </w:tcPr>
          <w:p w14:paraId="52433E25" w14:textId="77777777" w:rsidR="00D66E89" w:rsidRPr="00D66E89" w:rsidRDefault="00D66E89" w:rsidP="00D66E89">
            <w:pPr>
              <w:pStyle w:val="Tableheading"/>
            </w:pPr>
            <w:r w:rsidRPr="00D66E89">
              <w:t>*Total benefits paid ($ million)</w:t>
            </w:r>
          </w:p>
        </w:tc>
        <w:tc>
          <w:tcPr>
            <w:tcW w:w="1541" w:type="dxa"/>
            <w:shd w:val="clear" w:color="auto" w:fill="auto"/>
            <w:vAlign w:val="center"/>
            <w:hideMark/>
          </w:tcPr>
          <w:p w14:paraId="78B3F8FD" w14:textId="77777777" w:rsidR="00D66E89" w:rsidRPr="00D66E89" w:rsidRDefault="00D66E89" w:rsidP="00D66E89">
            <w:pPr>
              <w:pStyle w:val="Tableheading"/>
            </w:pPr>
            <w:r w:rsidRPr="00D66E89">
              <w:t>Average fee charged per service ($)</w:t>
            </w:r>
          </w:p>
        </w:tc>
        <w:tc>
          <w:tcPr>
            <w:tcW w:w="1540" w:type="dxa"/>
            <w:shd w:val="clear" w:color="auto" w:fill="auto"/>
            <w:vAlign w:val="center"/>
            <w:hideMark/>
          </w:tcPr>
          <w:p w14:paraId="2B64032A" w14:textId="77777777" w:rsidR="00D66E89" w:rsidRPr="00D66E89" w:rsidRDefault="00D66E89" w:rsidP="00D66E89">
            <w:pPr>
              <w:pStyle w:val="Tableheading"/>
            </w:pPr>
            <w:r w:rsidRPr="00D66E89">
              <w:t>Average benefit per service ($)</w:t>
            </w:r>
          </w:p>
        </w:tc>
        <w:tc>
          <w:tcPr>
            <w:tcW w:w="1540" w:type="dxa"/>
            <w:shd w:val="clear" w:color="auto" w:fill="auto"/>
            <w:vAlign w:val="center"/>
            <w:hideMark/>
          </w:tcPr>
          <w:p w14:paraId="36DA2279" w14:textId="77777777" w:rsidR="00D66E89" w:rsidRPr="00D66E89" w:rsidRDefault="00D66E89" w:rsidP="00D66E89">
            <w:pPr>
              <w:pStyle w:val="Tableheading"/>
            </w:pPr>
            <w:r w:rsidRPr="00D66E89">
              <w:t>Service growth: 2010-11 to 2013-14 (%)</w:t>
            </w:r>
          </w:p>
        </w:tc>
        <w:tc>
          <w:tcPr>
            <w:tcW w:w="1541" w:type="dxa"/>
            <w:shd w:val="clear" w:color="auto" w:fill="auto"/>
            <w:vAlign w:val="center"/>
            <w:hideMark/>
          </w:tcPr>
          <w:p w14:paraId="696948FB" w14:textId="77777777" w:rsidR="00D66E89" w:rsidRPr="00D66E89" w:rsidRDefault="00D66E89" w:rsidP="00D66E89">
            <w:pPr>
              <w:pStyle w:val="Tableheading"/>
            </w:pPr>
            <w:r w:rsidRPr="00D66E89">
              <w:t>Service growth: 2012-13 to 2013-14 (%)</w:t>
            </w:r>
          </w:p>
        </w:tc>
      </w:tr>
      <w:tr w:rsidR="000A5970" w:rsidRPr="00440C81" w14:paraId="5B8C5A5E" w14:textId="77777777" w:rsidTr="00D66E89">
        <w:trPr>
          <w:trHeight w:val="311"/>
        </w:trPr>
        <w:tc>
          <w:tcPr>
            <w:tcW w:w="1540" w:type="dxa"/>
            <w:shd w:val="clear" w:color="auto" w:fill="auto"/>
            <w:noWrap/>
            <w:vAlign w:val="center"/>
            <w:hideMark/>
          </w:tcPr>
          <w:p w14:paraId="340BCABE" w14:textId="77777777" w:rsidR="000A5970" w:rsidRPr="00440C81" w:rsidRDefault="000A5970" w:rsidP="00D66E89">
            <w:pPr>
              <w:pStyle w:val="Tabletext"/>
            </w:pPr>
            <w:r w:rsidRPr="00440C81">
              <w:t>12203</w:t>
            </w:r>
          </w:p>
        </w:tc>
        <w:tc>
          <w:tcPr>
            <w:tcW w:w="1540" w:type="dxa"/>
            <w:shd w:val="clear" w:color="auto" w:fill="auto"/>
            <w:vAlign w:val="center"/>
            <w:hideMark/>
          </w:tcPr>
          <w:p w14:paraId="436DB5E9" w14:textId="77777777" w:rsidR="000A5970" w:rsidRPr="00440C81" w:rsidRDefault="000A5970" w:rsidP="00D66E89">
            <w:pPr>
              <w:pStyle w:val="Tabletext"/>
            </w:pPr>
            <w:r w:rsidRPr="00440C81">
              <w:t>$49.0</w:t>
            </w:r>
          </w:p>
        </w:tc>
        <w:tc>
          <w:tcPr>
            <w:tcW w:w="1541" w:type="dxa"/>
            <w:shd w:val="clear" w:color="auto" w:fill="auto"/>
            <w:vAlign w:val="center"/>
            <w:hideMark/>
          </w:tcPr>
          <w:p w14:paraId="62E89225" w14:textId="77777777" w:rsidR="000A5970" w:rsidRPr="00440C81" w:rsidRDefault="000A5970" w:rsidP="00D66E89">
            <w:pPr>
              <w:pStyle w:val="Tabletext"/>
            </w:pPr>
            <w:r w:rsidRPr="00440C81">
              <w:t>$614</w:t>
            </w:r>
          </w:p>
        </w:tc>
        <w:tc>
          <w:tcPr>
            <w:tcW w:w="1540" w:type="dxa"/>
            <w:shd w:val="clear" w:color="auto" w:fill="auto"/>
            <w:vAlign w:val="center"/>
            <w:hideMark/>
          </w:tcPr>
          <w:p w14:paraId="0F3B81DE" w14:textId="77777777" w:rsidR="000A5970" w:rsidRPr="00440C81" w:rsidRDefault="000A5970" w:rsidP="00D66E89">
            <w:pPr>
              <w:pStyle w:val="Tabletext"/>
            </w:pPr>
            <w:r w:rsidRPr="00440C81">
              <w:t>$477</w:t>
            </w:r>
          </w:p>
        </w:tc>
        <w:tc>
          <w:tcPr>
            <w:tcW w:w="1540" w:type="dxa"/>
            <w:shd w:val="clear" w:color="auto" w:fill="auto"/>
            <w:vAlign w:val="center"/>
            <w:hideMark/>
          </w:tcPr>
          <w:p w14:paraId="78F1CEC1" w14:textId="77777777" w:rsidR="000A5970" w:rsidRPr="00440C81" w:rsidRDefault="000A5970" w:rsidP="00D66E89">
            <w:pPr>
              <w:pStyle w:val="Tabletext"/>
            </w:pPr>
            <w:r w:rsidRPr="00440C81">
              <w:t>22%</w:t>
            </w:r>
          </w:p>
        </w:tc>
        <w:tc>
          <w:tcPr>
            <w:tcW w:w="1541" w:type="dxa"/>
            <w:shd w:val="clear" w:color="auto" w:fill="auto"/>
            <w:vAlign w:val="center"/>
            <w:hideMark/>
          </w:tcPr>
          <w:p w14:paraId="6F95A949" w14:textId="77777777" w:rsidR="000A5970" w:rsidRPr="00440C81" w:rsidRDefault="000A5970" w:rsidP="00D66E89">
            <w:pPr>
              <w:pStyle w:val="Tabletext"/>
            </w:pPr>
            <w:r w:rsidRPr="00440C81">
              <w:t>8%</w:t>
            </w:r>
          </w:p>
        </w:tc>
      </w:tr>
      <w:tr w:rsidR="000A5970" w:rsidRPr="00440C81" w14:paraId="5147EDF8" w14:textId="77777777" w:rsidTr="00C24933">
        <w:trPr>
          <w:trHeight w:val="315"/>
        </w:trPr>
        <w:tc>
          <w:tcPr>
            <w:tcW w:w="1540" w:type="dxa"/>
            <w:shd w:val="clear" w:color="auto" w:fill="auto"/>
            <w:noWrap/>
            <w:vAlign w:val="center"/>
            <w:hideMark/>
          </w:tcPr>
          <w:p w14:paraId="3273A3F0" w14:textId="77777777" w:rsidR="000A5970" w:rsidRPr="00440C81" w:rsidRDefault="000A5970" w:rsidP="00D66E89">
            <w:pPr>
              <w:pStyle w:val="Tabletext"/>
            </w:pPr>
            <w:r w:rsidRPr="00440C81">
              <w:t>*12250</w:t>
            </w:r>
          </w:p>
        </w:tc>
        <w:tc>
          <w:tcPr>
            <w:tcW w:w="1540" w:type="dxa"/>
            <w:shd w:val="clear" w:color="auto" w:fill="auto"/>
            <w:vAlign w:val="center"/>
            <w:hideMark/>
          </w:tcPr>
          <w:p w14:paraId="1964F539" w14:textId="77777777" w:rsidR="000A5970" w:rsidRPr="00440C81" w:rsidRDefault="000A5970" w:rsidP="00D66E89">
            <w:pPr>
              <w:pStyle w:val="Tabletext"/>
            </w:pPr>
            <w:r w:rsidRPr="00440C81">
              <w:t>$15.3</w:t>
            </w:r>
          </w:p>
        </w:tc>
        <w:tc>
          <w:tcPr>
            <w:tcW w:w="1541" w:type="dxa"/>
            <w:shd w:val="clear" w:color="auto" w:fill="auto"/>
            <w:vAlign w:val="center"/>
            <w:hideMark/>
          </w:tcPr>
          <w:p w14:paraId="512046AD" w14:textId="77777777" w:rsidR="000A5970" w:rsidRPr="00440C81" w:rsidRDefault="000A5970" w:rsidP="00D66E89">
            <w:pPr>
              <w:pStyle w:val="Tabletext"/>
            </w:pPr>
            <w:r w:rsidRPr="00440C81">
              <w:t>$307</w:t>
            </w:r>
          </w:p>
        </w:tc>
        <w:tc>
          <w:tcPr>
            <w:tcW w:w="1540" w:type="dxa"/>
            <w:shd w:val="clear" w:color="auto" w:fill="auto"/>
            <w:vAlign w:val="center"/>
            <w:hideMark/>
          </w:tcPr>
          <w:p w14:paraId="5E4432D0" w14:textId="77777777" w:rsidR="000A5970" w:rsidRPr="00440C81" w:rsidRDefault="000A5970" w:rsidP="00D66E89">
            <w:pPr>
              <w:pStyle w:val="Tabletext"/>
            </w:pPr>
            <w:r w:rsidRPr="00440C81">
              <w:t>$286</w:t>
            </w:r>
          </w:p>
        </w:tc>
        <w:tc>
          <w:tcPr>
            <w:tcW w:w="1540" w:type="dxa"/>
            <w:shd w:val="clear" w:color="auto" w:fill="auto"/>
            <w:vAlign w:val="center"/>
            <w:hideMark/>
          </w:tcPr>
          <w:p w14:paraId="795E38D7" w14:textId="77777777" w:rsidR="000A5970" w:rsidRPr="00440C81" w:rsidRDefault="000A5970" w:rsidP="00D66E89">
            <w:pPr>
              <w:pStyle w:val="Tabletext"/>
            </w:pPr>
            <w:r w:rsidRPr="00440C81">
              <w:t>61%</w:t>
            </w:r>
          </w:p>
        </w:tc>
        <w:tc>
          <w:tcPr>
            <w:tcW w:w="1541" w:type="dxa"/>
            <w:shd w:val="clear" w:color="auto" w:fill="auto"/>
            <w:vAlign w:val="center"/>
            <w:hideMark/>
          </w:tcPr>
          <w:p w14:paraId="2EB783CC" w14:textId="77777777" w:rsidR="000A5970" w:rsidRPr="00440C81" w:rsidRDefault="000A5970" w:rsidP="00D66E89">
            <w:pPr>
              <w:pStyle w:val="Tabletext"/>
            </w:pPr>
            <w:r w:rsidRPr="00440C81">
              <w:t>23%</w:t>
            </w:r>
          </w:p>
        </w:tc>
      </w:tr>
      <w:tr w:rsidR="000A5970" w:rsidRPr="00440C81" w14:paraId="091C45E0" w14:textId="77777777" w:rsidTr="00C24933">
        <w:trPr>
          <w:trHeight w:val="315"/>
        </w:trPr>
        <w:tc>
          <w:tcPr>
            <w:tcW w:w="1540" w:type="dxa"/>
            <w:shd w:val="clear" w:color="auto" w:fill="auto"/>
            <w:noWrap/>
            <w:vAlign w:val="center"/>
            <w:hideMark/>
          </w:tcPr>
          <w:p w14:paraId="4F811A29" w14:textId="77777777" w:rsidR="000A5970" w:rsidRPr="00440C81" w:rsidRDefault="000A5970" w:rsidP="00D66E89">
            <w:pPr>
              <w:pStyle w:val="Tabletext"/>
            </w:pPr>
            <w:r w:rsidRPr="00440C81">
              <w:t>12210</w:t>
            </w:r>
          </w:p>
        </w:tc>
        <w:tc>
          <w:tcPr>
            <w:tcW w:w="1540" w:type="dxa"/>
            <w:shd w:val="clear" w:color="auto" w:fill="auto"/>
            <w:vAlign w:val="center"/>
            <w:hideMark/>
          </w:tcPr>
          <w:p w14:paraId="26D57348" w14:textId="77777777" w:rsidR="000A5970" w:rsidRPr="00440C81" w:rsidRDefault="000A5970" w:rsidP="00D66E89">
            <w:pPr>
              <w:pStyle w:val="Tabletext"/>
            </w:pPr>
            <w:r w:rsidRPr="00440C81">
              <w:t>$3.8</w:t>
            </w:r>
          </w:p>
        </w:tc>
        <w:tc>
          <w:tcPr>
            <w:tcW w:w="1541" w:type="dxa"/>
            <w:shd w:val="clear" w:color="auto" w:fill="auto"/>
            <w:vAlign w:val="center"/>
            <w:hideMark/>
          </w:tcPr>
          <w:p w14:paraId="65B46992" w14:textId="77777777" w:rsidR="000A5970" w:rsidRPr="00440C81" w:rsidRDefault="000A5970" w:rsidP="00D66E89">
            <w:pPr>
              <w:pStyle w:val="Tabletext"/>
            </w:pPr>
            <w:r w:rsidRPr="00440C81">
              <w:t>$775</w:t>
            </w:r>
          </w:p>
        </w:tc>
        <w:tc>
          <w:tcPr>
            <w:tcW w:w="1540" w:type="dxa"/>
            <w:shd w:val="clear" w:color="auto" w:fill="auto"/>
            <w:vAlign w:val="center"/>
            <w:hideMark/>
          </w:tcPr>
          <w:p w14:paraId="5542ECC4" w14:textId="77777777" w:rsidR="000A5970" w:rsidRPr="00440C81" w:rsidRDefault="000A5970" w:rsidP="00D66E89">
            <w:pPr>
              <w:pStyle w:val="Tabletext"/>
            </w:pPr>
            <w:r w:rsidRPr="00440C81">
              <w:t>$579</w:t>
            </w:r>
          </w:p>
        </w:tc>
        <w:tc>
          <w:tcPr>
            <w:tcW w:w="1540" w:type="dxa"/>
            <w:shd w:val="clear" w:color="auto" w:fill="auto"/>
            <w:vAlign w:val="center"/>
            <w:hideMark/>
          </w:tcPr>
          <w:p w14:paraId="0381F62C" w14:textId="77777777" w:rsidR="000A5970" w:rsidRPr="00440C81" w:rsidRDefault="000A5970" w:rsidP="00D66E89">
            <w:pPr>
              <w:pStyle w:val="Tabletext"/>
            </w:pPr>
            <w:r w:rsidRPr="00440C81">
              <w:t>18%</w:t>
            </w:r>
          </w:p>
        </w:tc>
        <w:tc>
          <w:tcPr>
            <w:tcW w:w="1541" w:type="dxa"/>
            <w:shd w:val="clear" w:color="auto" w:fill="auto"/>
            <w:vAlign w:val="center"/>
            <w:hideMark/>
          </w:tcPr>
          <w:p w14:paraId="2BCD96BB" w14:textId="77777777" w:rsidR="000A5970" w:rsidRPr="00440C81" w:rsidRDefault="000A5970" w:rsidP="00D66E89">
            <w:pPr>
              <w:pStyle w:val="Tabletext"/>
            </w:pPr>
            <w:r w:rsidRPr="00440C81">
              <w:t>6%</w:t>
            </w:r>
          </w:p>
        </w:tc>
      </w:tr>
    </w:tbl>
    <w:p w14:paraId="1CB14FDC" w14:textId="77777777" w:rsidR="000A5970" w:rsidRPr="00440C81" w:rsidRDefault="00440C81" w:rsidP="00330A53">
      <w:pPr>
        <w:pStyle w:val="StyleTableUnderLastBold"/>
      </w:pPr>
      <w:r w:rsidRPr="00440C81">
        <w:rPr>
          <w:b/>
        </w:rPr>
        <w:t>*</w:t>
      </w:r>
      <w:r>
        <w:t xml:space="preserve"> </w:t>
      </w:r>
      <w:r w:rsidR="000A5970" w:rsidRPr="00440C81">
        <w:t xml:space="preserve">About 80% of 12250 services </w:t>
      </w:r>
      <w:r w:rsidR="000A5970" w:rsidRPr="008F23CC">
        <w:t>are</w:t>
      </w:r>
      <w:r w:rsidR="000A5970" w:rsidRPr="00440C81">
        <w:t xml:space="preserve"> bulk-billed; Data is by date of processing</w:t>
      </w:r>
      <w:r w:rsidR="00EE3C7E">
        <w:t xml:space="preserve">. </w:t>
      </w:r>
      <w:r w:rsidR="00EE3C7E" w:rsidRPr="00EE3C7E">
        <w:t>Unpublished data (Department of Health).</w:t>
      </w:r>
    </w:p>
    <w:p w14:paraId="59516836" w14:textId="77777777" w:rsidR="000A5970" w:rsidRDefault="000A5970" w:rsidP="003F2A67">
      <w:pPr>
        <w:pStyle w:val="NormalBulleted"/>
      </w:pPr>
      <w:r w:rsidRPr="00560BA0">
        <w:t>Since 2010-11, the average annual increase in item 12250 services has been 18%.</w:t>
      </w:r>
      <w:r w:rsidR="00A403FC">
        <w:t xml:space="preserve"> </w:t>
      </w:r>
      <w:r w:rsidRPr="00560BA0">
        <w:t>Service growth from 2012-13 to 2013-14 was even higher at 23% with total benefits paid increasing from $12.4m to $15.3m.</w:t>
      </w:r>
      <w:r w:rsidR="00A403FC">
        <w:t xml:space="preserve"> </w:t>
      </w:r>
      <w:r w:rsidRPr="00560BA0">
        <w:t>This rate of growth is well above the average for all MBS services of 6-7%.</w:t>
      </w:r>
      <w:r w:rsidR="00A403FC">
        <w:t xml:space="preserve"> </w:t>
      </w:r>
    </w:p>
    <w:p w14:paraId="2317CFC9" w14:textId="77777777" w:rsidR="000A5970" w:rsidRPr="00560BA0" w:rsidRDefault="000A5970" w:rsidP="003F2A67">
      <w:pPr>
        <w:pStyle w:val="NormalBulleted"/>
      </w:pPr>
      <w:r w:rsidRPr="00560BA0">
        <w:t>While annual growth for item 12203 is comparatively lower (about 6% from 2010-11), service growth for this item has not decreased since the listing of item 12250 on 1 October 2008 (benefits paid for this item increased from $45.2m in 2012-13 to $49.0m in 2013-14).</w:t>
      </w:r>
      <w:r w:rsidR="00A403FC">
        <w:t xml:space="preserve"> </w:t>
      </w:r>
    </w:p>
    <w:p w14:paraId="638B28A3" w14:textId="77777777" w:rsidR="000A5970" w:rsidRDefault="000A5970" w:rsidP="003F2A67">
      <w:pPr>
        <w:pStyle w:val="NormalBulleted"/>
      </w:pPr>
      <w:r w:rsidRPr="00560BA0">
        <w:t>The data suggest that the majority of item 12250 services are being provided to patients who, prior to the availability of item 12250, may not have received a sleep study (or at least an MBS rebated lab-based study).</w:t>
      </w:r>
      <w:r w:rsidR="00A403FC">
        <w:t xml:space="preserve"> </w:t>
      </w:r>
      <w:r w:rsidRPr="00560BA0">
        <w:t>A confounding factor is that MBS billing of public hospital services has increased over time.</w:t>
      </w:r>
    </w:p>
    <w:p w14:paraId="6CA2CE27" w14:textId="77777777" w:rsidR="000A5970" w:rsidRPr="005F4E76" w:rsidRDefault="000A5970" w:rsidP="003F2A67">
      <w:pPr>
        <w:pStyle w:val="NormalBulleted"/>
        <w:rPr>
          <w:bCs/>
          <w:lang w:val="en-US"/>
        </w:rPr>
      </w:pPr>
      <w:r w:rsidRPr="00F15D21">
        <w:t xml:space="preserve">Average annual growth for paediatric laboratory based sleep studies (item 12210) is also increasing at an average rate of 4% per year since 2010-11. </w:t>
      </w:r>
    </w:p>
    <w:p w14:paraId="3CCB9F4F" w14:textId="77777777" w:rsidR="000A5970" w:rsidRPr="00872B48" w:rsidRDefault="000A5970" w:rsidP="00C24933">
      <w:pPr>
        <w:pStyle w:val="Heading4"/>
      </w:pPr>
      <w:r w:rsidRPr="00872B48">
        <w:t>Services per Patient</w:t>
      </w:r>
    </w:p>
    <w:p w14:paraId="6AAB7E53" w14:textId="77777777" w:rsidR="000A5970" w:rsidRPr="00560BA0" w:rsidRDefault="000A5970" w:rsidP="00F56E64">
      <w:r w:rsidRPr="00560BA0">
        <w:t>In 2012-13, 2,098 patients received both an item 12203 and an item 12250.</w:t>
      </w:r>
      <w:r w:rsidR="00A403FC">
        <w:t xml:space="preserve"> </w:t>
      </w:r>
      <w:r w:rsidRPr="00560BA0">
        <w:t>This makes up only a small proportion of item 12250 services (about 5%) and doe</w:t>
      </w:r>
      <w:r w:rsidR="00C24933">
        <w:t>s not appear to be a driver of the growth of item 12203</w:t>
      </w:r>
      <w:r w:rsidRPr="00560BA0">
        <w:t>.</w:t>
      </w:r>
    </w:p>
    <w:p w14:paraId="501A342E" w14:textId="77777777" w:rsidR="00C24933" w:rsidRPr="00E52BC8" w:rsidRDefault="00C24933" w:rsidP="00E52BC8">
      <w:pPr>
        <w:pStyle w:val="Caption"/>
      </w:pPr>
      <w:bookmarkStart w:id="172" w:name="_Toc457450660"/>
      <w:bookmarkStart w:id="173" w:name="_Toc478721546"/>
      <w:r w:rsidRPr="00E52BC8">
        <w:lastRenderedPageBreak/>
        <w:t>Table</w:t>
      </w:r>
      <w:r w:rsidR="00926B56">
        <w:t>12</w:t>
      </w:r>
      <w:r w:rsidRPr="00E52BC8">
        <w:t>:</w:t>
      </w:r>
      <w:r w:rsidRPr="00E52BC8">
        <w:tab/>
        <w:t>Number of patients who received an adult lab-based sleep study (12203) and also an adult home-based sleep study (12250) in Financial Year 2012-13</w:t>
      </w:r>
      <w:bookmarkEnd w:id="172"/>
      <w:bookmarkEnd w:id="173"/>
    </w:p>
    <w:tbl>
      <w:tblPr>
        <w:tblW w:w="9087" w:type="dxa"/>
        <w:tblInd w:w="93" w:type="dxa"/>
        <w:tblBorders>
          <w:top w:val="single" w:sz="4" w:space="0" w:color="B56011"/>
          <w:bottom w:val="single" w:sz="4" w:space="0" w:color="B56011"/>
          <w:insideH w:val="single" w:sz="4" w:space="0" w:color="B56011"/>
        </w:tblBorders>
        <w:tblLook w:val="04A0" w:firstRow="1" w:lastRow="0" w:firstColumn="1" w:lastColumn="0" w:noHBand="0" w:noVBand="1"/>
        <w:tblDescription w:val="Table 12 show that 2,098 adult patients received both a lab-based sleep study and a home-based sleep study in 2012-13."/>
      </w:tblPr>
      <w:tblGrid>
        <w:gridCol w:w="2271"/>
        <w:gridCol w:w="2272"/>
        <w:gridCol w:w="2272"/>
        <w:gridCol w:w="2272"/>
      </w:tblGrid>
      <w:tr w:rsidR="000A5970" w:rsidRPr="00EA757D" w14:paraId="1ED266D6" w14:textId="77777777" w:rsidTr="009936F3">
        <w:trPr>
          <w:trHeight w:val="240"/>
          <w:tblHeader/>
        </w:trPr>
        <w:tc>
          <w:tcPr>
            <w:tcW w:w="2271" w:type="dxa"/>
            <w:shd w:val="clear" w:color="auto" w:fill="auto"/>
            <w:vAlign w:val="center"/>
            <w:hideMark/>
          </w:tcPr>
          <w:p w14:paraId="1850B67C" w14:textId="77777777" w:rsidR="000A5970" w:rsidRPr="00C24933" w:rsidRDefault="000A5970" w:rsidP="00A403FC">
            <w:pPr>
              <w:pStyle w:val="Tableheading"/>
            </w:pPr>
            <w:r w:rsidRPr="00C24933">
              <w:t>No. of Lab Studies</w:t>
            </w:r>
          </w:p>
        </w:tc>
        <w:tc>
          <w:tcPr>
            <w:tcW w:w="2272" w:type="dxa"/>
            <w:shd w:val="clear" w:color="auto" w:fill="auto"/>
            <w:vAlign w:val="center"/>
            <w:hideMark/>
          </w:tcPr>
          <w:p w14:paraId="6B756A7E" w14:textId="77777777" w:rsidR="000A5970" w:rsidRPr="00C24933" w:rsidRDefault="000A5970" w:rsidP="00EA4658">
            <w:pPr>
              <w:pStyle w:val="Tableheading"/>
              <w:jc w:val="center"/>
            </w:pPr>
            <w:r w:rsidRPr="00C24933">
              <w:t>Patients</w:t>
            </w:r>
          </w:p>
        </w:tc>
        <w:tc>
          <w:tcPr>
            <w:tcW w:w="2272" w:type="dxa"/>
            <w:shd w:val="clear" w:color="auto" w:fill="auto"/>
            <w:vAlign w:val="center"/>
            <w:hideMark/>
          </w:tcPr>
          <w:p w14:paraId="12834D80" w14:textId="77777777" w:rsidR="000A5970" w:rsidRPr="00C24933" w:rsidRDefault="000A5970" w:rsidP="00A403FC">
            <w:pPr>
              <w:pStyle w:val="Tableheading"/>
            </w:pPr>
            <w:r w:rsidRPr="00C24933">
              <w:t>*12250 services</w:t>
            </w:r>
          </w:p>
        </w:tc>
        <w:tc>
          <w:tcPr>
            <w:tcW w:w="2272" w:type="dxa"/>
            <w:shd w:val="clear" w:color="auto" w:fill="auto"/>
            <w:vAlign w:val="center"/>
            <w:hideMark/>
          </w:tcPr>
          <w:p w14:paraId="5240E65D" w14:textId="77777777" w:rsidR="000A5970" w:rsidRPr="00C24933" w:rsidRDefault="000A5970" w:rsidP="00A403FC">
            <w:pPr>
              <w:pStyle w:val="Tableheading"/>
            </w:pPr>
            <w:r w:rsidRPr="00C24933">
              <w:t>12203 services</w:t>
            </w:r>
          </w:p>
        </w:tc>
      </w:tr>
      <w:tr w:rsidR="000A5970" w:rsidRPr="00EA757D" w14:paraId="7647A222" w14:textId="77777777" w:rsidTr="00C24933">
        <w:trPr>
          <w:trHeight w:val="300"/>
        </w:trPr>
        <w:tc>
          <w:tcPr>
            <w:tcW w:w="2271" w:type="dxa"/>
            <w:shd w:val="clear" w:color="auto" w:fill="auto"/>
            <w:vAlign w:val="center"/>
            <w:hideMark/>
          </w:tcPr>
          <w:p w14:paraId="08BFEC8C" w14:textId="77777777" w:rsidR="000A5970" w:rsidRPr="00753A9F" w:rsidRDefault="000A5970" w:rsidP="00753A9F">
            <w:pPr>
              <w:pStyle w:val="Tabletext"/>
            </w:pPr>
            <w:r w:rsidRPr="00753A9F">
              <w:t>1</w:t>
            </w:r>
          </w:p>
        </w:tc>
        <w:tc>
          <w:tcPr>
            <w:tcW w:w="2272" w:type="dxa"/>
            <w:shd w:val="clear" w:color="auto" w:fill="auto"/>
            <w:vAlign w:val="center"/>
            <w:hideMark/>
          </w:tcPr>
          <w:p w14:paraId="45E2714E" w14:textId="77777777" w:rsidR="000A5970" w:rsidRPr="00C24933" w:rsidRDefault="000A5970" w:rsidP="00753A9F">
            <w:pPr>
              <w:pStyle w:val="TableTextDecimalAlign"/>
            </w:pPr>
            <w:r w:rsidRPr="00C24933">
              <w:t>2,098</w:t>
            </w:r>
          </w:p>
        </w:tc>
        <w:tc>
          <w:tcPr>
            <w:tcW w:w="2272" w:type="dxa"/>
            <w:shd w:val="clear" w:color="auto" w:fill="auto"/>
            <w:vAlign w:val="center"/>
            <w:hideMark/>
          </w:tcPr>
          <w:p w14:paraId="1B218AE4" w14:textId="77777777" w:rsidR="000A5970" w:rsidRPr="00C24933" w:rsidRDefault="000A5970" w:rsidP="00753A9F">
            <w:pPr>
              <w:pStyle w:val="TableTextDecimalAlign"/>
            </w:pPr>
            <w:r w:rsidRPr="00C24933">
              <w:t>x 1</w:t>
            </w:r>
          </w:p>
        </w:tc>
        <w:tc>
          <w:tcPr>
            <w:tcW w:w="2272" w:type="dxa"/>
            <w:shd w:val="clear" w:color="auto" w:fill="auto"/>
            <w:vAlign w:val="center"/>
            <w:hideMark/>
          </w:tcPr>
          <w:p w14:paraId="70DA003A" w14:textId="77777777" w:rsidR="000A5970" w:rsidRPr="00C24933" w:rsidRDefault="000A5970" w:rsidP="00753A9F">
            <w:pPr>
              <w:pStyle w:val="TableTextDecimalAlign"/>
            </w:pPr>
            <w:r w:rsidRPr="00C24933">
              <w:t>x 1</w:t>
            </w:r>
          </w:p>
        </w:tc>
      </w:tr>
      <w:tr w:rsidR="000A5970" w:rsidRPr="00EA757D" w14:paraId="30BAD748" w14:textId="77777777" w:rsidTr="00C24933">
        <w:trPr>
          <w:trHeight w:val="300"/>
        </w:trPr>
        <w:tc>
          <w:tcPr>
            <w:tcW w:w="2271" w:type="dxa"/>
            <w:shd w:val="clear" w:color="auto" w:fill="auto"/>
            <w:vAlign w:val="center"/>
            <w:hideMark/>
          </w:tcPr>
          <w:p w14:paraId="3523F64D" w14:textId="77777777" w:rsidR="000A5970" w:rsidRPr="00753A9F" w:rsidRDefault="000A5970" w:rsidP="00753A9F">
            <w:pPr>
              <w:pStyle w:val="Tabletext"/>
            </w:pPr>
            <w:r w:rsidRPr="00753A9F">
              <w:t>2</w:t>
            </w:r>
          </w:p>
        </w:tc>
        <w:tc>
          <w:tcPr>
            <w:tcW w:w="2272" w:type="dxa"/>
            <w:shd w:val="clear" w:color="auto" w:fill="auto"/>
            <w:vAlign w:val="center"/>
            <w:hideMark/>
          </w:tcPr>
          <w:p w14:paraId="3FACBCDE" w14:textId="77777777" w:rsidR="000A5970" w:rsidRPr="00C24933" w:rsidRDefault="000A5970" w:rsidP="00753A9F">
            <w:pPr>
              <w:pStyle w:val="TableTextDecimalAlign"/>
            </w:pPr>
            <w:r w:rsidRPr="00C24933">
              <w:t>178</w:t>
            </w:r>
          </w:p>
        </w:tc>
        <w:tc>
          <w:tcPr>
            <w:tcW w:w="2272" w:type="dxa"/>
            <w:shd w:val="clear" w:color="auto" w:fill="auto"/>
            <w:vAlign w:val="center"/>
            <w:hideMark/>
          </w:tcPr>
          <w:p w14:paraId="60D662C5" w14:textId="77777777" w:rsidR="000A5970" w:rsidRPr="00C24933" w:rsidRDefault="000A5970" w:rsidP="00753A9F">
            <w:pPr>
              <w:pStyle w:val="TableTextDecimalAlign"/>
            </w:pPr>
            <w:r w:rsidRPr="00C24933">
              <w:t>x 1</w:t>
            </w:r>
          </w:p>
        </w:tc>
        <w:tc>
          <w:tcPr>
            <w:tcW w:w="2272" w:type="dxa"/>
            <w:shd w:val="clear" w:color="auto" w:fill="auto"/>
            <w:vAlign w:val="center"/>
            <w:hideMark/>
          </w:tcPr>
          <w:p w14:paraId="1B97FC68" w14:textId="77777777" w:rsidR="000A5970" w:rsidRPr="00C24933" w:rsidRDefault="000A5970" w:rsidP="00753A9F">
            <w:pPr>
              <w:pStyle w:val="TableTextDecimalAlign"/>
            </w:pPr>
            <w:r w:rsidRPr="00C24933">
              <w:t>x 2</w:t>
            </w:r>
          </w:p>
        </w:tc>
      </w:tr>
      <w:tr w:rsidR="000A5970" w:rsidRPr="00EA757D" w14:paraId="0694E9BC" w14:textId="77777777" w:rsidTr="00C24933">
        <w:trPr>
          <w:trHeight w:val="300"/>
        </w:trPr>
        <w:tc>
          <w:tcPr>
            <w:tcW w:w="2271" w:type="dxa"/>
            <w:shd w:val="clear" w:color="auto" w:fill="auto"/>
            <w:vAlign w:val="center"/>
            <w:hideMark/>
          </w:tcPr>
          <w:p w14:paraId="0AE1B329" w14:textId="77777777" w:rsidR="000A5970" w:rsidRPr="00753A9F" w:rsidRDefault="000A5970" w:rsidP="00753A9F">
            <w:pPr>
              <w:pStyle w:val="Tabletext"/>
            </w:pPr>
            <w:r w:rsidRPr="00753A9F">
              <w:t>3</w:t>
            </w:r>
          </w:p>
        </w:tc>
        <w:tc>
          <w:tcPr>
            <w:tcW w:w="2272" w:type="dxa"/>
            <w:shd w:val="clear" w:color="auto" w:fill="auto"/>
            <w:vAlign w:val="center"/>
            <w:hideMark/>
          </w:tcPr>
          <w:p w14:paraId="0FA2E2BF" w14:textId="77777777" w:rsidR="000A5970" w:rsidRPr="00C24933" w:rsidRDefault="000A5970" w:rsidP="00753A9F">
            <w:pPr>
              <w:pStyle w:val="TableTextDecimalAlign"/>
            </w:pPr>
            <w:r w:rsidRPr="00C24933">
              <w:t>8</w:t>
            </w:r>
          </w:p>
        </w:tc>
        <w:tc>
          <w:tcPr>
            <w:tcW w:w="2272" w:type="dxa"/>
            <w:shd w:val="clear" w:color="auto" w:fill="auto"/>
            <w:vAlign w:val="center"/>
            <w:hideMark/>
          </w:tcPr>
          <w:p w14:paraId="76E16B5C" w14:textId="77777777" w:rsidR="000A5970" w:rsidRPr="00C24933" w:rsidRDefault="000A5970" w:rsidP="00753A9F">
            <w:pPr>
              <w:pStyle w:val="TableTextDecimalAlign"/>
            </w:pPr>
            <w:r w:rsidRPr="00C24933">
              <w:t>x 1</w:t>
            </w:r>
          </w:p>
        </w:tc>
        <w:tc>
          <w:tcPr>
            <w:tcW w:w="2272" w:type="dxa"/>
            <w:shd w:val="clear" w:color="auto" w:fill="auto"/>
            <w:vAlign w:val="center"/>
            <w:hideMark/>
          </w:tcPr>
          <w:p w14:paraId="40E0AE8B" w14:textId="77777777" w:rsidR="000A5970" w:rsidRPr="00C24933" w:rsidRDefault="000A5970" w:rsidP="00753A9F">
            <w:pPr>
              <w:pStyle w:val="TableTextDecimalAlign"/>
            </w:pPr>
            <w:r w:rsidRPr="00C24933">
              <w:t>x 3</w:t>
            </w:r>
          </w:p>
        </w:tc>
      </w:tr>
    </w:tbl>
    <w:p w14:paraId="19D77F9B" w14:textId="77777777" w:rsidR="000A5970" w:rsidRPr="00F15D21" w:rsidRDefault="000A5970" w:rsidP="005F4E76">
      <w:pPr>
        <w:pStyle w:val="TableUnderLast"/>
      </w:pPr>
      <w:r w:rsidRPr="00C24933">
        <w:t>*About 40,503 patients received a service under item 12250 in 2012-13; Data is by date of service</w:t>
      </w:r>
      <w:r w:rsidR="00EE3C7E">
        <w:t xml:space="preserve">. </w:t>
      </w:r>
      <w:r w:rsidR="00EE3C7E" w:rsidRPr="00EE3C7E">
        <w:t>Unpublished data (Department of Health)</w:t>
      </w:r>
      <w:r w:rsidR="005F4E76">
        <w:t>.</w:t>
      </w:r>
    </w:p>
    <w:p w14:paraId="7B471A86" w14:textId="77777777" w:rsidR="000A5970" w:rsidRPr="00C24933" w:rsidRDefault="000A5970" w:rsidP="00F56E64">
      <w:pPr>
        <w:rPr>
          <w:bCs/>
        </w:rPr>
      </w:pPr>
      <w:r w:rsidRPr="00A7464E">
        <w:t xml:space="preserve">The data </w:t>
      </w:r>
      <w:r w:rsidRPr="00DE4CD3">
        <w:t>below indicate that approximately 20% of patients (12,927 patients in 2012-13) receive more than one adult lab-based study (item 12203) in the same 12 month period.</w:t>
      </w:r>
      <w:r w:rsidR="00A403FC">
        <w:t xml:space="preserve"> </w:t>
      </w:r>
      <w:r w:rsidRPr="00DE4CD3">
        <w:t>Reassessment (post institution of therapy)</w:t>
      </w:r>
      <w:r w:rsidRPr="00872B48">
        <w:t xml:space="preserve"> is MBS rebated for Level 1 but not Level 2 studies.</w:t>
      </w:r>
      <w:r w:rsidR="00A403FC">
        <w:t xml:space="preserve"> </w:t>
      </w:r>
    </w:p>
    <w:p w14:paraId="71D16FE0" w14:textId="77777777" w:rsidR="000A5970" w:rsidRPr="00E52BC8" w:rsidRDefault="00C24933" w:rsidP="00E52BC8">
      <w:pPr>
        <w:pStyle w:val="Caption"/>
      </w:pPr>
      <w:bookmarkStart w:id="174" w:name="_Toc457450661"/>
      <w:bookmarkStart w:id="175" w:name="_Toc478721547"/>
      <w:r w:rsidRPr="00E52BC8">
        <w:t>Table</w:t>
      </w:r>
      <w:r w:rsidR="00926B56">
        <w:t xml:space="preserve"> 13</w:t>
      </w:r>
      <w:r w:rsidRPr="00E52BC8">
        <w:t>:</w:t>
      </w:r>
      <w:r w:rsidRPr="00E52BC8">
        <w:tab/>
      </w:r>
      <w:r w:rsidR="000A5970" w:rsidRPr="00E52BC8">
        <w:t>Lab-based sleep study item 12203: Number of services per patient (2012-13)</w:t>
      </w:r>
      <w:bookmarkEnd w:id="174"/>
      <w:bookmarkEnd w:id="175"/>
    </w:p>
    <w:tbl>
      <w:tblPr>
        <w:tblW w:w="9229" w:type="dxa"/>
        <w:tblInd w:w="93" w:type="dxa"/>
        <w:tblBorders>
          <w:top w:val="single" w:sz="4" w:space="0" w:color="B56011"/>
          <w:bottom w:val="single" w:sz="4" w:space="0" w:color="B56011"/>
          <w:insideH w:val="single" w:sz="4" w:space="0" w:color="B56011"/>
        </w:tblBorders>
        <w:tblLook w:val="04A0" w:firstRow="1" w:lastRow="0" w:firstColumn="1" w:lastColumn="0" w:noHBand="0" w:noVBand="1"/>
        <w:tblDescription w:val="Table 13 shows that approximately 46,489 adult patients had one lab study (item 12203), reducing to 12,373 who ha2 2 and 554 who had 3 during 2012-13."/>
      </w:tblPr>
      <w:tblGrid>
        <w:gridCol w:w="4614"/>
        <w:gridCol w:w="4615"/>
      </w:tblGrid>
      <w:tr w:rsidR="00C24933" w:rsidRPr="009669AE" w14:paraId="106A1FA4" w14:textId="77777777" w:rsidTr="009669AE">
        <w:trPr>
          <w:trHeight w:val="304"/>
          <w:tblHeader/>
        </w:trPr>
        <w:tc>
          <w:tcPr>
            <w:tcW w:w="4614" w:type="dxa"/>
            <w:shd w:val="clear" w:color="auto" w:fill="auto"/>
            <w:vAlign w:val="center"/>
            <w:hideMark/>
          </w:tcPr>
          <w:p w14:paraId="0ABDE57B" w14:textId="77777777" w:rsidR="000A5970" w:rsidRPr="009669AE" w:rsidRDefault="000A5970" w:rsidP="009669AE">
            <w:pPr>
              <w:pStyle w:val="Tableheading"/>
            </w:pPr>
            <w:r w:rsidRPr="009669AE">
              <w:t>No. of Lab Studies</w:t>
            </w:r>
          </w:p>
        </w:tc>
        <w:tc>
          <w:tcPr>
            <w:tcW w:w="4615" w:type="dxa"/>
            <w:shd w:val="clear" w:color="auto" w:fill="auto"/>
            <w:vAlign w:val="center"/>
            <w:hideMark/>
          </w:tcPr>
          <w:p w14:paraId="321951F6" w14:textId="77777777" w:rsidR="000A5970" w:rsidRPr="009669AE" w:rsidRDefault="000A5970" w:rsidP="009669AE">
            <w:pPr>
              <w:pStyle w:val="Tableheading"/>
            </w:pPr>
            <w:r w:rsidRPr="009669AE">
              <w:t>Approx. Patients</w:t>
            </w:r>
          </w:p>
        </w:tc>
      </w:tr>
      <w:tr w:rsidR="00C24933" w:rsidRPr="00EF1C21" w14:paraId="1F093C45" w14:textId="77777777" w:rsidTr="00C24933">
        <w:trPr>
          <w:trHeight w:val="300"/>
        </w:trPr>
        <w:tc>
          <w:tcPr>
            <w:tcW w:w="4614" w:type="dxa"/>
            <w:shd w:val="clear" w:color="auto" w:fill="auto"/>
            <w:vAlign w:val="center"/>
            <w:hideMark/>
          </w:tcPr>
          <w:p w14:paraId="524C7ED0" w14:textId="77777777" w:rsidR="000A5970" w:rsidRPr="00A403FC" w:rsidRDefault="000A5970" w:rsidP="009669AE">
            <w:pPr>
              <w:pStyle w:val="Tabletext"/>
            </w:pPr>
            <w:r w:rsidRPr="00A403FC">
              <w:t>1</w:t>
            </w:r>
          </w:p>
        </w:tc>
        <w:tc>
          <w:tcPr>
            <w:tcW w:w="4615" w:type="dxa"/>
            <w:shd w:val="clear" w:color="auto" w:fill="auto"/>
            <w:vAlign w:val="center"/>
            <w:hideMark/>
          </w:tcPr>
          <w:p w14:paraId="5BA9E028" w14:textId="77777777" w:rsidR="000A5970" w:rsidRPr="00A403FC" w:rsidRDefault="000A5970" w:rsidP="009669AE">
            <w:pPr>
              <w:pStyle w:val="TableTextDecimalAlign"/>
            </w:pPr>
            <w:r w:rsidRPr="00A403FC">
              <w:t>46,489</w:t>
            </w:r>
          </w:p>
        </w:tc>
      </w:tr>
      <w:tr w:rsidR="00C24933" w:rsidRPr="00EF1C21" w14:paraId="3B32D800" w14:textId="77777777" w:rsidTr="00C24933">
        <w:trPr>
          <w:trHeight w:val="300"/>
        </w:trPr>
        <w:tc>
          <w:tcPr>
            <w:tcW w:w="4614" w:type="dxa"/>
            <w:shd w:val="clear" w:color="auto" w:fill="auto"/>
            <w:vAlign w:val="center"/>
            <w:hideMark/>
          </w:tcPr>
          <w:p w14:paraId="4059DF75" w14:textId="77777777" w:rsidR="000A5970" w:rsidRPr="00A403FC" w:rsidRDefault="000A5970" w:rsidP="009669AE">
            <w:pPr>
              <w:pStyle w:val="Tabletext"/>
            </w:pPr>
            <w:r w:rsidRPr="00A403FC">
              <w:t>2</w:t>
            </w:r>
          </w:p>
        </w:tc>
        <w:tc>
          <w:tcPr>
            <w:tcW w:w="4615" w:type="dxa"/>
            <w:shd w:val="clear" w:color="auto" w:fill="auto"/>
            <w:vAlign w:val="center"/>
            <w:hideMark/>
          </w:tcPr>
          <w:p w14:paraId="52DE74C7" w14:textId="77777777" w:rsidR="000A5970" w:rsidRPr="00A403FC" w:rsidRDefault="000A5970" w:rsidP="009669AE">
            <w:pPr>
              <w:pStyle w:val="TableTextDecimalAlign"/>
            </w:pPr>
            <w:r w:rsidRPr="00A403FC">
              <w:t>12,373</w:t>
            </w:r>
          </w:p>
        </w:tc>
      </w:tr>
      <w:tr w:rsidR="00C24933" w:rsidRPr="00EF1C21" w14:paraId="2F18C18E" w14:textId="77777777" w:rsidTr="00C24933">
        <w:trPr>
          <w:trHeight w:val="300"/>
        </w:trPr>
        <w:tc>
          <w:tcPr>
            <w:tcW w:w="4614" w:type="dxa"/>
            <w:shd w:val="clear" w:color="auto" w:fill="auto"/>
            <w:vAlign w:val="center"/>
            <w:hideMark/>
          </w:tcPr>
          <w:p w14:paraId="28954C72" w14:textId="77777777" w:rsidR="000A5970" w:rsidRPr="00A403FC" w:rsidRDefault="000A5970" w:rsidP="009669AE">
            <w:pPr>
              <w:pStyle w:val="Tabletext"/>
            </w:pPr>
            <w:r w:rsidRPr="00A403FC">
              <w:t>3</w:t>
            </w:r>
          </w:p>
        </w:tc>
        <w:tc>
          <w:tcPr>
            <w:tcW w:w="4615" w:type="dxa"/>
            <w:shd w:val="clear" w:color="auto" w:fill="auto"/>
            <w:vAlign w:val="center"/>
            <w:hideMark/>
          </w:tcPr>
          <w:p w14:paraId="02A28018" w14:textId="77777777" w:rsidR="000A5970" w:rsidRPr="00A403FC" w:rsidRDefault="000A5970" w:rsidP="009669AE">
            <w:pPr>
              <w:pStyle w:val="TableTextDecimalAlign"/>
            </w:pPr>
            <w:r w:rsidRPr="00A403FC">
              <w:t>554</w:t>
            </w:r>
          </w:p>
        </w:tc>
      </w:tr>
    </w:tbl>
    <w:p w14:paraId="63C63E33" w14:textId="77777777" w:rsidR="000A5970" w:rsidRPr="00A316D7" w:rsidRDefault="000A5970" w:rsidP="00C24933">
      <w:pPr>
        <w:pStyle w:val="TableUnderLast"/>
      </w:pPr>
      <w:r>
        <w:t>*</w:t>
      </w:r>
      <w:r w:rsidRPr="00A316D7">
        <w:t>Data is by date of service</w:t>
      </w:r>
      <w:r w:rsidR="00EE3C7E">
        <w:t xml:space="preserve">. </w:t>
      </w:r>
      <w:r w:rsidR="00EE3C7E" w:rsidRPr="00EE3C7E">
        <w:t>Unpublished data (Department of Health).</w:t>
      </w:r>
    </w:p>
    <w:p w14:paraId="474D24A9" w14:textId="77777777" w:rsidR="000A5970" w:rsidRDefault="000A5970" w:rsidP="00C24933">
      <w:pPr>
        <w:pStyle w:val="Heading3"/>
      </w:pPr>
      <w:bookmarkStart w:id="176" w:name="_Toc452990634"/>
      <w:r w:rsidRPr="00A316D7">
        <w:t>State/Territory Comparison and Provider Variation</w:t>
      </w:r>
      <w:bookmarkEnd w:id="176"/>
    </w:p>
    <w:p w14:paraId="75844414" w14:textId="77777777" w:rsidR="00297587" w:rsidRDefault="00297587" w:rsidP="0099709F">
      <w:pPr>
        <w:rPr>
          <w:lang w:val="en-US" w:eastAsia="en-US"/>
        </w:rPr>
      </w:pPr>
      <w:r>
        <w:rPr>
          <w:lang w:val="en-US" w:eastAsia="en-US"/>
        </w:rPr>
        <w:t>Comparison of data for items 12203, 12210 and 12250 shows the following:</w:t>
      </w:r>
    </w:p>
    <w:p w14:paraId="6E34A78D" w14:textId="77777777" w:rsidR="00297587" w:rsidRPr="00A316D7" w:rsidRDefault="00297587" w:rsidP="00297587">
      <w:pPr>
        <w:pStyle w:val="NormalBulleted"/>
      </w:pPr>
      <w:r w:rsidRPr="00A316D7">
        <w:t>The highest number of item 12203 services occurred in Q</w:t>
      </w:r>
      <w:r>
        <w:t>ueensland</w:t>
      </w:r>
      <w:r w:rsidRPr="00A316D7">
        <w:t xml:space="preserve"> (35%), followed by NSW (28%) and VIC (20%).</w:t>
      </w:r>
      <w:r>
        <w:t xml:space="preserve"> </w:t>
      </w:r>
      <w:r w:rsidRPr="00A316D7">
        <w:t>The per capita use of item 12203 services (7.53 per 1000) for Q</w:t>
      </w:r>
      <w:r>
        <w:t>ueensland</w:t>
      </w:r>
      <w:r w:rsidRPr="00A316D7">
        <w:t xml:space="preserve"> is well above other states and territories.</w:t>
      </w:r>
      <w:r>
        <w:t xml:space="preserve"> </w:t>
      </w:r>
    </w:p>
    <w:p w14:paraId="750CC8D3" w14:textId="77777777" w:rsidR="00297587" w:rsidRPr="00A316D7" w:rsidRDefault="00297587" w:rsidP="00297587">
      <w:pPr>
        <w:pStyle w:val="NormalBulleted"/>
      </w:pPr>
      <w:r w:rsidRPr="00A316D7">
        <w:t>In Q</w:t>
      </w:r>
      <w:r>
        <w:t>ueensland</w:t>
      </w:r>
      <w:r w:rsidRPr="00A316D7">
        <w:t xml:space="preserve"> a large proportion of item 12203 services are provided by very few clinicians</w:t>
      </w:r>
      <w:r>
        <w:t>.</w:t>
      </w:r>
      <w:r w:rsidRPr="00A316D7">
        <w:t xml:space="preserve"> Nationally, the average number of item 12203 services (per provider) performed in 2013-14 was roughly 400. A few clinicians perform more than 7000 services annually</w:t>
      </w:r>
      <w:r>
        <w:t>.</w:t>
      </w:r>
    </w:p>
    <w:p w14:paraId="0681498E" w14:textId="77777777" w:rsidR="00297587" w:rsidRPr="00A316D7" w:rsidRDefault="00297587" w:rsidP="00297587">
      <w:pPr>
        <w:pStyle w:val="NormalBulleted"/>
      </w:pPr>
      <w:r w:rsidRPr="00A316D7">
        <w:t>For item 12250, 43% of services occurred in NSW, followed by V</w:t>
      </w:r>
      <w:r>
        <w:t>ictoria</w:t>
      </w:r>
      <w:r w:rsidRPr="00A316D7">
        <w:t xml:space="preserve"> (24%) and Q</w:t>
      </w:r>
      <w:r>
        <w:t>ueensland</w:t>
      </w:r>
      <w:r w:rsidRPr="00A316D7">
        <w:t xml:space="preserve"> (18%).</w:t>
      </w:r>
      <w:r>
        <w:t xml:space="preserve"> </w:t>
      </w:r>
      <w:r w:rsidRPr="00A316D7">
        <w:t>Similar to item 12203, a large number of services are concentrated in a few providers.</w:t>
      </w:r>
      <w:r>
        <w:t xml:space="preserve"> </w:t>
      </w:r>
      <w:r w:rsidRPr="00A316D7">
        <w:t>The average number of services (per provider) for 2013-14 was 275 with a few clinicians performing more than 2000 studies annually.</w:t>
      </w:r>
      <w:r>
        <w:t xml:space="preserve"> </w:t>
      </w:r>
    </w:p>
    <w:p w14:paraId="28EF8CA7" w14:textId="77777777" w:rsidR="00297587" w:rsidRPr="0099709F" w:rsidRDefault="00297587" w:rsidP="00CD7DEB">
      <w:pPr>
        <w:pStyle w:val="NormalBulleted"/>
        <w:rPr>
          <w:lang w:val="en-US" w:eastAsia="en-US"/>
        </w:rPr>
      </w:pPr>
      <w:r w:rsidRPr="00F268B1">
        <w:t>In 2013-14, while 181 sleep physicians billed at least one item 12250 service (totalling about 53,000 services nationally), around 35% of these services were performed by less than 10</w:t>
      </w:r>
      <w:r w:rsidRPr="00A316D7">
        <w:t xml:space="preserve"> providers.</w:t>
      </w:r>
      <w:r>
        <w:t xml:space="preserve"> </w:t>
      </w:r>
    </w:p>
    <w:p w14:paraId="08F3A1C3" w14:textId="77777777" w:rsidR="000A5970" w:rsidRDefault="000A5970" w:rsidP="000A5970">
      <w:r>
        <w:rPr>
          <w:noProof/>
        </w:rPr>
        <w:lastRenderedPageBreak/>
        <w:drawing>
          <wp:inline distT="0" distB="0" distL="0" distR="0" wp14:anchorId="63954EE9" wp14:editId="72012891">
            <wp:extent cx="3633746" cy="2941983"/>
            <wp:effectExtent l="0" t="0" r="5080" b="10795"/>
            <wp:docPr id="11" name="Chart 11" descr="Figure 2 also shows that no home-based adult studies occurred in Tasmania. The highest number of services for item 12210 occurred in New South Wales, with very few recorded in Tasmania, the Australian Capital Territory or the Northern Territory.  "/>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t xml:space="preserve"> </w:t>
      </w:r>
    </w:p>
    <w:p w14:paraId="05916712" w14:textId="77777777" w:rsidR="000A5970" w:rsidRDefault="000A5970" w:rsidP="00EA4658">
      <w:pPr>
        <w:pStyle w:val="TableUnderLast"/>
      </w:pPr>
      <w:r w:rsidRPr="00A316D7">
        <w:t>Data is by date of processing</w:t>
      </w:r>
      <w:r w:rsidR="00EE3C7E">
        <w:t xml:space="preserve">. </w:t>
      </w:r>
      <w:r w:rsidR="00EE3C7E" w:rsidRPr="00EE3C7E">
        <w:t>Unpublished data (</w:t>
      </w:r>
      <w:r w:rsidR="00EE3C7E" w:rsidRPr="00EA4658">
        <w:t>Department</w:t>
      </w:r>
      <w:r w:rsidR="00EE3C7E" w:rsidRPr="00EE3C7E">
        <w:t xml:space="preserve"> of Health).</w:t>
      </w:r>
    </w:p>
    <w:p w14:paraId="362BDDFA" w14:textId="77777777" w:rsidR="009F4694" w:rsidRDefault="009F4694" w:rsidP="00CD7DEB">
      <w:pPr>
        <w:pStyle w:val="FigureCaption"/>
      </w:pPr>
      <w:r w:rsidRPr="00A316D7">
        <w:t>Items 12203, 12210 and 12250 - Services by State/Territory - Provider location (2013-14)</w:t>
      </w:r>
    </w:p>
    <w:p w14:paraId="4BEFA1C0" w14:textId="77777777" w:rsidR="009669AE" w:rsidRDefault="009669AE" w:rsidP="0099709F">
      <w:pPr>
        <w:pStyle w:val="Caption"/>
      </w:pPr>
      <w:bookmarkStart w:id="177" w:name="_Toc478721548"/>
      <w:r w:rsidRPr="00E52BC8">
        <w:t>Table 1</w:t>
      </w:r>
      <w:r>
        <w:t>4</w:t>
      </w:r>
      <w:r w:rsidRPr="00E52BC8">
        <w:t>:</w:t>
      </w:r>
      <w:r w:rsidRPr="00E52BC8">
        <w:tab/>
        <w:t>Lab-based sleep study item</w:t>
      </w:r>
      <w:r w:rsidR="00297587">
        <w:t>s</w:t>
      </w:r>
      <w:r w:rsidRPr="00E52BC8">
        <w:t xml:space="preserve"> 12203</w:t>
      </w:r>
      <w:r w:rsidR="00297587">
        <w:t xml:space="preserve"> and 12250</w:t>
      </w:r>
      <w:r w:rsidRPr="00E52BC8">
        <w:t xml:space="preserve">: </w:t>
      </w:r>
      <w:r>
        <w:t>S</w:t>
      </w:r>
      <w:r w:rsidRPr="00E52BC8">
        <w:t xml:space="preserve">ervices per </w:t>
      </w:r>
      <w:r>
        <w:t>1,000 population</w:t>
      </w:r>
      <w:bookmarkEnd w:id="177"/>
    </w:p>
    <w:tbl>
      <w:tblPr>
        <w:tblW w:w="7244" w:type="dxa"/>
        <w:tblInd w:w="93" w:type="dxa"/>
        <w:tblBorders>
          <w:top w:val="single" w:sz="4" w:space="0" w:color="B56011"/>
          <w:bottom w:val="single" w:sz="4" w:space="0" w:color="B56011"/>
          <w:insideH w:val="single" w:sz="4" w:space="0" w:color="B56011"/>
        </w:tblBorders>
        <w:tblLook w:val="04A0" w:firstRow="1" w:lastRow="0" w:firstColumn="1" w:lastColumn="0" w:noHBand="0" w:noVBand="1"/>
        <w:tblDescription w:val="Table 14 provides the number of services per 1,000 population for lab-based sleep study items 12203 and 12250."/>
      </w:tblPr>
      <w:tblGrid>
        <w:gridCol w:w="3276"/>
        <w:gridCol w:w="1984"/>
        <w:gridCol w:w="1984"/>
      </w:tblGrid>
      <w:tr w:rsidR="009669AE" w:rsidRPr="0099709F" w14:paraId="333E9C86" w14:textId="77777777" w:rsidTr="0099709F">
        <w:trPr>
          <w:trHeight w:val="304"/>
          <w:tblHeader/>
        </w:trPr>
        <w:tc>
          <w:tcPr>
            <w:tcW w:w="3276" w:type="dxa"/>
            <w:shd w:val="clear" w:color="auto" w:fill="auto"/>
            <w:vAlign w:val="center"/>
            <w:hideMark/>
          </w:tcPr>
          <w:p w14:paraId="431D2C19" w14:textId="77777777" w:rsidR="009669AE" w:rsidRPr="009F4694" w:rsidRDefault="009669AE" w:rsidP="00807B09">
            <w:pPr>
              <w:pStyle w:val="Tableheading"/>
            </w:pPr>
            <w:r w:rsidRPr="009F4694">
              <w:t>State/Territory</w:t>
            </w:r>
          </w:p>
        </w:tc>
        <w:tc>
          <w:tcPr>
            <w:tcW w:w="1984" w:type="dxa"/>
            <w:shd w:val="clear" w:color="auto" w:fill="auto"/>
            <w:vAlign w:val="center"/>
            <w:hideMark/>
          </w:tcPr>
          <w:p w14:paraId="5131A3C2" w14:textId="77777777" w:rsidR="009669AE" w:rsidRPr="009F4694" w:rsidRDefault="009669AE" w:rsidP="0099709F">
            <w:pPr>
              <w:pStyle w:val="Tableheading"/>
              <w:jc w:val="center"/>
            </w:pPr>
            <w:r w:rsidRPr="009F4694">
              <w:t>Item 12203</w:t>
            </w:r>
          </w:p>
        </w:tc>
        <w:tc>
          <w:tcPr>
            <w:tcW w:w="1984" w:type="dxa"/>
          </w:tcPr>
          <w:p w14:paraId="786419CC" w14:textId="77777777" w:rsidR="009669AE" w:rsidRPr="009F4694" w:rsidRDefault="009669AE" w:rsidP="0099709F">
            <w:pPr>
              <w:pStyle w:val="Tableheading"/>
              <w:jc w:val="center"/>
            </w:pPr>
            <w:r w:rsidRPr="009F4694">
              <w:t>Item 12250</w:t>
            </w:r>
          </w:p>
        </w:tc>
      </w:tr>
      <w:tr w:rsidR="009F4694" w:rsidRPr="00A403FC" w14:paraId="069F4215" w14:textId="77777777" w:rsidTr="0099709F">
        <w:trPr>
          <w:trHeight w:val="300"/>
        </w:trPr>
        <w:tc>
          <w:tcPr>
            <w:tcW w:w="3276" w:type="dxa"/>
            <w:shd w:val="clear" w:color="auto" w:fill="auto"/>
            <w:vAlign w:val="center"/>
            <w:hideMark/>
          </w:tcPr>
          <w:p w14:paraId="04078C70" w14:textId="77777777" w:rsidR="009F4694" w:rsidRPr="00A403FC" w:rsidRDefault="009F4694" w:rsidP="009F4694">
            <w:pPr>
              <w:pStyle w:val="Tabletext"/>
            </w:pPr>
            <w:r w:rsidRPr="009669AE">
              <w:t>NSW</w:t>
            </w:r>
          </w:p>
        </w:tc>
        <w:tc>
          <w:tcPr>
            <w:tcW w:w="1984" w:type="dxa"/>
            <w:shd w:val="clear" w:color="auto" w:fill="auto"/>
            <w:hideMark/>
          </w:tcPr>
          <w:p w14:paraId="30A34A4E" w14:textId="77777777" w:rsidR="009F4694" w:rsidRPr="009F4694" w:rsidRDefault="009F4694" w:rsidP="009F4694">
            <w:pPr>
              <w:pStyle w:val="TableTextDecimalAlign"/>
            </w:pPr>
            <w:r w:rsidRPr="009F4694">
              <w:t>3.76</w:t>
            </w:r>
          </w:p>
        </w:tc>
        <w:tc>
          <w:tcPr>
            <w:tcW w:w="1984" w:type="dxa"/>
          </w:tcPr>
          <w:p w14:paraId="03664CDC" w14:textId="77777777" w:rsidR="009F4694" w:rsidRPr="009F4694" w:rsidRDefault="009F4694" w:rsidP="009F4694">
            <w:pPr>
              <w:pStyle w:val="TableTextDecimalAlign"/>
            </w:pPr>
            <w:r w:rsidRPr="009F4694">
              <w:t>3.04</w:t>
            </w:r>
          </w:p>
        </w:tc>
      </w:tr>
      <w:tr w:rsidR="009F4694" w:rsidRPr="00A403FC" w14:paraId="773BE7C5" w14:textId="77777777" w:rsidTr="00CD7DEB">
        <w:trPr>
          <w:trHeight w:val="300"/>
        </w:trPr>
        <w:tc>
          <w:tcPr>
            <w:tcW w:w="3276" w:type="dxa"/>
            <w:shd w:val="clear" w:color="auto" w:fill="auto"/>
            <w:vAlign w:val="center"/>
          </w:tcPr>
          <w:p w14:paraId="26B6CEE9" w14:textId="77777777" w:rsidR="009F4694" w:rsidRPr="00A403FC" w:rsidRDefault="009F4694" w:rsidP="009F4694">
            <w:pPr>
              <w:pStyle w:val="Tabletext"/>
            </w:pPr>
            <w:r w:rsidRPr="009669AE">
              <w:t>VIC</w:t>
            </w:r>
          </w:p>
        </w:tc>
        <w:tc>
          <w:tcPr>
            <w:tcW w:w="1984" w:type="dxa"/>
            <w:shd w:val="clear" w:color="auto" w:fill="auto"/>
          </w:tcPr>
          <w:p w14:paraId="4E2C8BB9" w14:textId="77777777" w:rsidR="009F4694" w:rsidRPr="009F4694" w:rsidRDefault="009F4694" w:rsidP="009F4694">
            <w:pPr>
              <w:pStyle w:val="TableTextDecimalAlign"/>
            </w:pPr>
            <w:r w:rsidRPr="009F4694">
              <w:t>3.44</w:t>
            </w:r>
          </w:p>
        </w:tc>
        <w:tc>
          <w:tcPr>
            <w:tcW w:w="1984" w:type="dxa"/>
          </w:tcPr>
          <w:p w14:paraId="1DF91233" w14:textId="77777777" w:rsidR="009F4694" w:rsidRPr="009F4694" w:rsidRDefault="009F4694" w:rsidP="009F4694">
            <w:pPr>
              <w:pStyle w:val="TableTextDecimalAlign"/>
            </w:pPr>
            <w:r w:rsidRPr="009F4694">
              <w:t>2.19</w:t>
            </w:r>
          </w:p>
        </w:tc>
      </w:tr>
      <w:tr w:rsidR="009F4694" w:rsidRPr="00A403FC" w14:paraId="556D69F7" w14:textId="77777777" w:rsidTr="00CD7DEB">
        <w:trPr>
          <w:trHeight w:val="300"/>
        </w:trPr>
        <w:tc>
          <w:tcPr>
            <w:tcW w:w="3276" w:type="dxa"/>
            <w:shd w:val="clear" w:color="auto" w:fill="auto"/>
            <w:vAlign w:val="center"/>
          </w:tcPr>
          <w:p w14:paraId="50376814" w14:textId="77777777" w:rsidR="009F4694" w:rsidRPr="00A403FC" w:rsidRDefault="009F4694" w:rsidP="009F4694">
            <w:pPr>
              <w:pStyle w:val="Tabletext"/>
            </w:pPr>
            <w:r w:rsidRPr="009669AE">
              <w:t>QLD</w:t>
            </w:r>
          </w:p>
        </w:tc>
        <w:tc>
          <w:tcPr>
            <w:tcW w:w="1984" w:type="dxa"/>
            <w:shd w:val="clear" w:color="auto" w:fill="auto"/>
          </w:tcPr>
          <w:p w14:paraId="78A09650" w14:textId="77777777" w:rsidR="009F4694" w:rsidRPr="009F4694" w:rsidRDefault="009F4694" w:rsidP="009F4694">
            <w:pPr>
              <w:pStyle w:val="TableTextDecimalAlign"/>
            </w:pPr>
            <w:r w:rsidRPr="009F4694">
              <w:t>7.53</w:t>
            </w:r>
          </w:p>
        </w:tc>
        <w:tc>
          <w:tcPr>
            <w:tcW w:w="1984" w:type="dxa"/>
          </w:tcPr>
          <w:p w14:paraId="43B36D1A" w14:textId="77777777" w:rsidR="009F4694" w:rsidRPr="009F4694" w:rsidRDefault="009F4694" w:rsidP="009F4694">
            <w:pPr>
              <w:pStyle w:val="TableTextDecimalAlign"/>
            </w:pPr>
            <w:r w:rsidRPr="009F4694">
              <w:t>2.05</w:t>
            </w:r>
          </w:p>
        </w:tc>
      </w:tr>
      <w:tr w:rsidR="009F4694" w:rsidRPr="00A403FC" w14:paraId="7F054C60" w14:textId="77777777" w:rsidTr="00CD7DEB">
        <w:trPr>
          <w:trHeight w:val="300"/>
        </w:trPr>
        <w:tc>
          <w:tcPr>
            <w:tcW w:w="3276" w:type="dxa"/>
            <w:shd w:val="clear" w:color="auto" w:fill="auto"/>
            <w:vAlign w:val="center"/>
          </w:tcPr>
          <w:p w14:paraId="61871BAB" w14:textId="77777777" w:rsidR="009F4694" w:rsidRPr="00A403FC" w:rsidRDefault="009F4694" w:rsidP="009F4694">
            <w:pPr>
              <w:pStyle w:val="Tabletext"/>
            </w:pPr>
            <w:r w:rsidRPr="009669AE">
              <w:t>SA</w:t>
            </w:r>
          </w:p>
        </w:tc>
        <w:tc>
          <w:tcPr>
            <w:tcW w:w="1984" w:type="dxa"/>
            <w:shd w:val="clear" w:color="auto" w:fill="auto"/>
          </w:tcPr>
          <w:p w14:paraId="173D6164" w14:textId="77777777" w:rsidR="009F4694" w:rsidRPr="009F4694" w:rsidRDefault="009F4694" w:rsidP="009F4694">
            <w:pPr>
              <w:pStyle w:val="TableTextDecimalAlign"/>
            </w:pPr>
            <w:r w:rsidRPr="009F4694">
              <w:t>3.81</w:t>
            </w:r>
          </w:p>
        </w:tc>
        <w:tc>
          <w:tcPr>
            <w:tcW w:w="1984" w:type="dxa"/>
          </w:tcPr>
          <w:p w14:paraId="28CDECE1" w14:textId="77777777" w:rsidR="009F4694" w:rsidRPr="009F4694" w:rsidRDefault="009F4694" w:rsidP="009F4694">
            <w:pPr>
              <w:pStyle w:val="TableTextDecimalAlign"/>
            </w:pPr>
            <w:r w:rsidRPr="009F4694">
              <w:t>2.29</w:t>
            </w:r>
          </w:p>
        </w:tc>
      </w:tr>
      <w:tr w:rsidR="009F4694" w:rsidRPr="00A403FC" w14:paraId="44DE8E67" w14:textId="77777777" w:rsidTr="00CD7DEB">
        <w:trPr>
          <w:trHeight w:val="300"/>
        </w:trPr>
        <w:tc>
          <w:tcPr>
            <w:tcW w:w="3276" w:type="dxa"/>
            <w:shd w:val="clear" w:color="auto" w:fill="auto"/>
            <w:vAlign w:val="center"/>
          </w:tcPr>
          <w:p w14:paraId="094FFA83" w14:textId="77777777" w:rsidR="009F4694" w:rsidRPr="00A403FC" w:rsidRDefault="009F4694" w:rsidP="009F4694">
            <w:pPr>
              <w:pStyle w:val="Tabletext"/>
            </w:pPr>
            <w:r w:rsidRPr="009669AE">
              <w:t>WA</w:t>
            </w:r>
          </w:p>
        </w:tc>
        <w:tc>
          <w:tcPr>
            <w:tcW w:w="1984" w:type="dxa"/>
            <w:shd w:val="clear" w:color="auto" w:fill="auto"/>
          </w:tcPr>
          <w:p w14:paraId="5C4A1BFA" w14:textId="77777777" w:rsidR="009F4694" w:rsidRPr="009F4694" w:rsidRDefault="009F4694" w:rsidP="009F4694">
            <w:pPr>
              <w:pStyle w:val="TableTextDecimalAlign"/>
            </w:pPr>
            <w:r w:rsidRPr="009F4694">
              <w:t>3.00</w:t>
            </w:r>
          </w:p>
        </w:tc>
        <w:tc>
          <w:tcPr>
            <w:tcW w:w="1984" w:type="dxa"/>
          </w:tcPr>
          <w:p w14:paraId="22201BFD" w14:textId="77777777" w:rsidR="009F4694" w:rsidRPr="009F4694" w:rsidRDefault="009F4694" w:rsidP="009F4694">
            <w:pPr>
              <w:pStyle w:val="TableTextDecimalAlign"/>
            </w:pPr>
            <w:r w:rsidRPr="009F4694">
              <w:t>1.39</w:t>
            </w:r>
          </w:p>
        </w:tc>
      </w:tr>
      <w:tr w:rsidR="009F4694" w:rsidRPr="00A403FC" w14:paraId="1EA49233" w14:textId="77777777" w:rsidTr="0099709F">
        <w:trPr>
          <w:trHeight w:val="300"/>
        </w:trPr>
        <w:tc>
          <w:tcPr>
            <w:tcW w:w="3276" w:type="dxa"/>
            <w:shd w:val="clear" w:color="auto" w:fill="auto"/>
            <w:vAlign w:val="center"/>
            <w:hideMark/>
          </w:tcPr>
          <w:p w14:paraId="2909E8ED" w14:textId="77777777" w:rsidR="009F4694" w:rsidRPr="00A403FC" w:rsidRDefault="009F4694" w:rsidP="009F4694">
            <w:pPr>
              <w:pStyle w:val="Tabletext"/>
            </w:pPr>
            <w:r w:rsidRPr="009669AE">
              <w:t>TAS</w:t>
            </w:r>
            <w:r w:rsidRPr="00A403FC">
              <w:t xml:space="preserve"> </w:t>
            </w:r>
          </w:p>
        </w:tc>
        <w:tc>
          <w:tcPr>
            <w:tcW w:w="1984" w:type="dxa"/>
            <w:shd w:val="clear" w:color="auto" w:fill="auto"/>
            <w:hideMark/>
          </w:tcPr>
          <w:p w14:paraId="7C3987F6" w14:textId="77777777" w:rsidR="009F4694" w:rsidRPr="009F4694" w:rsidRDefault="009F4694" w:rsidP="009F4694">
            <w:pPr>
              <w:pStyle w:val="TableTextDecimalAlign"/>
            </w:pPr>
            <w:r w:rsidRPr="009F4694">
              <w:t>2.63</w:t>
            </w:r>
          </w:p>
        </w:tc>
        <w:tc>
          <w:tcPr>
            <w:tcW w:w="1984" w:type="dxa"/>
          </w:tcPr>
          <w:p w14:paraId="4621ED97" w14:textId="77777777" w:rsidR="009F4694" w:rsidRPr="009F4694" w:rsidRDefault="009F4694" w:rsidP="009F4694">
            <w:pPr>
              <w:pStyle w:val="TableTextDecimalAlign"/>
            </w:pPr>
            <w:r w:rsidRPr="009F4694">
              <w:t>0.00</w:t>
            </w:r>
          </w:p>
        </w:tc>
      </w:tr>
      <w:tr w:rsidR="009F4694" w:rsidRPr="00A403FC" w14:paraId="56CCADA3" w14:textId="77777777" w:rsidTr="0099709F">
        <w:trPr>
          <w:trHeight w:val="300"/>
        </w:trPr>
        <w:tc>
          <w:tcPr>
            <w:tcW w:w="3276" w:type="dxa"/>
            <w:shd w:val="clear" w:color="auto" w:fill="auto"/>
            <w:vAlign w:val="center"/>
            <w:hideMark/>
          </w:tcPr>
          <w:p w14:paraId="2A8967ED" w14:textId="77777777" w:rsidR="009F4694" w:rsidRPr="00A403FC" w:rsidRDefault="009F4694" w:rsidP="009F4694">
            <w:pPr>
              <w:pStyle w:val="Tabletext"/>
            </w:pPr>
            <w:r w:rsidRPr="009669AE">
              <w:t>NT</w:t>
            </w:r>
          </w:p>
        </w:tc>
        <w:tc>
          <w:tcPr>
            <w:tcW w:w="1984" w:type="dxa"/>
            <w:shd w:val="clear" w:color="auto" w:fill="auto"/>
            <w:hideMark/>
          </w:tcPr>
          <w:p w14:paraId="7464A7D1" w14:textId="77777777" w:rsidR="009F4694" w:rsidRPr="009F4694" w:rsidRDefault="009F4694" w:rsidP="009F4694">
            <w:pPr>
              <w:pStyle w:val="TableTextDecimalAlign"/>
            </w:pPr>
            <w:r w:rsidRPr="009F4694">
              <w:t>3.54</w:t>
            </w:r>
          </w:p>
        </w:tc>
        <w:tc>
          <w:tcPr>
            <w:tcW w:w="1984" w:type="dxa"/>
          </w:tcPr>
          <w:p w14:paraId="5486EA05" w14:textId="77777777" w:rsidR="009F4694" w:rsidRPr="009F4694" w:rsidRDefault="009F4694" w:rsidP="009F4694">
            <w:pPr>
              <w:pStyle w:val="TableTextDecimalAlign"/>
            </w:pPr>
            <w:r w:rsidRPr="009F4694">
              <w:t>1.14</w:t>
            </w:r>
          </w:p>
        </w:tc>
      </w:tr>
      <w:tr w:rsidR="009F4694" w:rsidRPr="00A403FC" w14:paraId="0FC9E36B" w14:textId="77777777" w:rsidTr="00CD7DEB">
        <w:trPr>
          <w:trHeight w:val="300"/>
        </w:trPr>
        <w:tc>
          <w:tcPr>
            <w:tcW w:w="3276" w:type="dxa"/>
            <w:shd w:val="clear" w:color="auto" w:fill="auto"/>
            <w:vAlign w:val="center"/>
          </w:tcPr>
          <w:p w14:paraId="052E2EAB" w14:textId="77777777" w:rsidR="009F4694" w:rsidRPr="009669AE" w:rsidRDefault="009F4694" w:rsidP="009F4694">
            <w:pPr>
              <w:pStyle w:val="Tabletext"/>
            </w:pPr>
            <w:r w:rsidRPr="009669AE">
              <w:t>ACT</w:t>
            </w:r>
          </w:p>
        </w:tc>
        <w:tc>
          <w:tcPr>
            <w:tcW w:w="1984" w:type="dxa"/>
            <w:shd w:val="clear" w:color="auto" w:fill="auto"/>
          </w:tcPr>
          <w:p w14:paraId="57C1118A" w14:textId="77777777" w:rsidR="009F4694" w:rsidRPr="009F4694" w:rsidRDefault="009F4694" w:rsidP="009F4694">
            <w:pPr>
              <w:pStyle w:val="TableTextDecimalAlign"/>
            </w:pPr>
            <w:r w:rsidRPr="009F4694">
              <w:t>5.21</w:t>
            </w:r>
          </w:p>
        </w:tc>
        <w:tc>
          <w:tcPr>
            <w:tcW w:w="1984" w:type="dxa"/>
          </w:tcPr>
          <w:p w14:paraId="24CAB68C" w14:textId="77777777" w:rsidR="009F4694" w:rsidRPr="009F4694" w:rsidRDefault="009F4694" w:rsidP="009F4694">
            <w:pPr>
              <w:pStyle w:val="TableTextDecimalAlign"/>
            </w:pPr>
            <w:r w:rsidRPr="009F4694">
              <w:t>1.06</w:t>
            </w:r>
          </w:p>
        </w:tc>
      </w:tr>
    </w:tbl>
    <w:p w14:paraId="4F262915" w14:textId="77777777" w:rsidR="000A5970" w:rsidRPr="00A316D7" w:rsidRDefault="003F377E" w:rsidP="000A5970">
      <w:pPr>
        <w:pStyle w:val="Heading3"/>
      </w:pPr>
      <w:bookmarkStart w:id="178" w:name="_Toc452990635"/>
      <w:r>
        <w:t>Consultation items billed w</w:t>
      </w:r>
      <w:r w:rsidR="000A5970" w:rsidRPr="00A316D7">
        <w:t xml:space="preserve">ith </w:t>
      </w:r>
      <w:r>
        <w:t>home b</w:t>
      </w:r>
      <w:r w:rsidR="000A5970" w:rsidRPr="00A316D7">
        <w:t xml:space="preserve">ased </w:t>
      </w:r>
      <w:r>
        <w:t>s</w:t>
      </w:r>
      <w:r w:rsidR="000A5970" w:rsidRPr="00A316D7">
        <w:t xml:space="preserve">leep </w:t>
      </w:r>
      <w:r>
        <w:t>s</w:t>
      </w:r>
      <w:r w:rsidR="000A5970" w:rsidRPr="00A316D7">
        <w:t>tudies</w:t>
      </w:r>
      <w:bookmarkEnd w:id="178"/>
      <w:r w:rsidR="000A5970" w:rsidRPr="00A316D7">
        <w:t xml:space="preserve"> </w:t>
      </w:r>
    </w:p>
    <w:p w14:paraId="0602E0BA" w14:textId="77777777" w:rsidR="000A5970" w:rsidRDefault="000A5970" w:rsidP="00F56E64">
      <w:r w:rsidRPr="00A316D7">
        <w:t>The following data look at the relationship between sleep studies and attendance with a sleep or respiratory physician before or after testing. The level of involvement of sleep and respiratory physicians in the decision to undergo testing and the development of a management plan following testing is of interest particularly as testing and management move more into primary care.</w:t>
      </w:r>
      <w:bookmarkStart w:id="179" w:name="_Toc430335978"/>
      <w:r w:rsidRPr="00A316D7">
        <w:t xml:space="preserve"> Group A4 consultations are consultant physician attendances and include items 110 and 116. </w:t>
      </w:r>
    </w:p>
    <w:p w14:paraId="3773E7BC" w14:textId="77777777" w:rsidR="000A5970" w:rsidRPr="00E52BC8" w:rsidRDefault="002E55AF" w:rsidP="00E52BC8">
      <w:pPr>
        <w:pStyle w:val="Caption"/>
      </w:pPr>
      <w:bookmarkStart w:id="180" w:name="_Toc457450662"/>
      <w:bookmarkStart w:id="181" w:name="_Toc478721549"/>
      <w:r w:rsidRPr="00E52BC8">
        <w:t xml:space="preserve">Table </w:t>
      </w:r>
      <w:r w:rsidR="009936F3" w:rsidRPr="00E52BC8">
        <w:t>1</w:t>
      </w:r>
      <w:r w:rsidR="009F4694">
        <w:t>5</w:t>
      </w:r>
      <w:r w:rsidRPr="00E52BC8">
        <w:tab/>
        <w:t>Patients who received a MBS funded consultation (from a sleep and respiratory specialist) up to 3 weeks prior to a service under item 12250 for home-based studies (2012-13)</w:t>
      </w:r>
      <w:bookmarkEnd w:id="179"/>
      <w:bookmarkEnd w:id="180"/>
      <w:bookmarkEnd w:id="181"/>
    </w:p>
    <w:tbl>
      <w:tblPr>
        <w:tblW w:w="4947" w:type="pct"/>
        <w:tblInd w:w="108" w:type="dxa"/>
        <w:tblLook w:val="04A0" w:firstRow="1" w:lastRow="0" w:firstColumn="1" w:lastColumn="0" w:noHBand="0" w:noVBand="1"/>
        <w:tblDescription w:val="Table 15 provides the numbers of patients who received an MBS funded consultation up to 3 weeks before a service under item 12250 for home-based studies in 2012-13, and the number of Group A4 items billed."/>
      </w:tblPr>
      <w:tblGrid>
        <w:gridCol w:w="3356"/>
        <w:gridCol w:w="2874"/>
        <w:gridCol w:w="2700"/>
      </w:tblGrid>
      <w:tr w:rsidR="00BE71B4" w:rsidRPr="002E55AF" w14:paraId="2B6E4685" w14:textId="77777777" w:rsidTr="0099709F">
        <w:trPr>
          <w:trHeight w:val="300"/>
          <w:tblHeader/>
        </w:trPr>
        <w:tc>
          <w:tcPr>
            <w:tcW w:w="1879" w:type="pct"/>
            <w:tcBorders>
              <w:top w:val="single" w:sz="4" w:space="0" w:color="B56011"/>
              <w:bottom w:val="single" w:sz="4" w:space="0" w:color="B56011"/>
            </w:tcBorders>
            <w:shd w:val="clear" w:color="auto" w:fill="auto"/>
            <w:vAlign w:val="center"/>
          </w:tcPr>
          <w:p w14:paraId="748DD88E" w14:textId="77777777" w:rsidR="000A5970" w:rsidRPr="002E55AF" w:rsidRDefault="000A5970" w:rsidP="00A403FC">
            <w:pPr>
              <w:pStyle w:val="Tableheading"/>
            </w:pPr>
            <w:r w:rsidRPr="002E55AF">
              <w:t>Approx. patients receiving a 12250 (adult home-based sleep study)</w:t>
            </w:r>
            <w:r w:rsidR="009936F3" w:rsidRPr="0099709F">
              <w:rPr>
                <w:vertAlign w:val="superscript"/>
              </w:rPr>
              <w:t>a</w:t>
            </w:r>
          </w:p>
        </w:tc>
        <w:tc>
          <w:tcPr>
            <w:tcW w:w="1609" w:type="pct"/>
            <w:tcBorders>
              <w:top w:val="single" w:sz="4" w:space="0" w:color="B56011"/>
              <w:bottom w:val="single" w:sz="4" w:space="0" w:color="B56011"/>
            </w:tcBorders>
            <w:shd w:val="clear" w:color="auto" w:fill="auto"/>
            <w:vAlign w:val="center"/>
          </w:tcPr>
          <w:p w14:paraId="00B9C7CF" w14:textId="77777777" w:rsidR="000A5970" w:rsidRPr="002E55AF" w:rsidRDefault="000A5970" w:rsidP="00A403FC">
            <w:pPr>
              <w:pStyle w:val="Tableheading"/>
            </w:pPr>
            <w:r w:rsidRPr="002E55AF">
              <w:t>Approx. patients receiving an A4 item (up to 3 weeks prior)</w:t>
            </w:r>
          </w:p>
        </w:tc>
        <w:tc>
          <w:tcPr>
            <w:tcW w:w="1512" w:type="pct"/>
            <w:tcBorders>
              <w:top w:val="single" w:sz="4" w:space="0" w:color="B56011"/>
              <w:bottom w:val="single" w:sz="4" w:space="0" w:color="B56011"/>
            </w:tcBorders>
            <w:shd w:val="clear" w:color="auto" w:fill="auto"/>
            <w:vAlign w:val="center"/>
          </w:tcPr>
          <w:p w14:paraId="72330C5D" w14:textId="77777777" w:rsidR="000A5970" w:rsidRPr="002E55AF" w:rsidRDefault="000A5970" w:rsidP="00A403FC">
            <w:pPr>
              <w:pStyle w:val="Tableheading"/>
            </w:pPr>
            <w:r w:rsidRPr="002E55AF">
              <w:t>No Group A4 item billed</w:t>
            </w:r>
          </w:p>
        </w:tc>
      </w:tr>
      <w:tr w:rsidR="00BE71B4" w:rsidRPr="002E55AF" w14:paraId="441DF88A" w14:textId="77777777" w:rsidTr="00BE71B4">
        <w:trPr>
          <w:trHeight w:val="300"/>
        </w:trPr>
        <w:tc>
          <w:tcPr>
            <w:tcW w:w="1879" w:type="pct"/>
            <w:tcBorders>
              <w:top w:val="single" w:sz="4" w:space="0" w:color="B56011"/>
              <w:bottom w:val="single" w:sz="4" w:space="0" w:color="B56011"/>
            </w:tcBorders>
            <w:shd w:val="clear" w:color="auto" w:fill="auto"/>
            <w:vAlign w:val="center"/>
          </w:tcPr>
          <w:p w14:paraId="40942F90" w14:textId="77777777" w:rsidR="000A5970" w:rsidRPr="002E55AF" w:rsidRDefault="000A5970" w:rsidP="00A403FC">
            <w:pPr>
              <w:pStyle w:val="Tabletext"/>
            </w:pPr>
            <w:r w:rsidRPr="002E55AF">
              <w:t>40,122</w:t>
            </w:r>
          </w:p>
        </w:tc>
        <w:tc>
          <w:tcPr>
            <w:tcW w:w="1609" w:type="pct"/>
            <w:tcBorders>
              <w:top w:val="single" w:sz="4" w:space="0" w:color="B56011"/>
              <w:bottom w:val="single" w:sz="4" w:space="0" w:color="B56011"/>
            </w:tcBorders>
            <w:shd w:val="clear" w:color="auto" w:fill="auto"/>
            <w:vAlign w:val="center"/>
          </w:tcPr>
          <w:p w14:paraId="0FF17996" w14:textId="77777777" w:rsidR="000A5970" w:rsidRPr="002E55AF" w:rsidRDefault="000A5970" w:rsidP="00A403FC">
            <w:pPr>
              <w:pStyle w:val="Tabletext"/>
            </w:pPr>
            <w:r w:rsidRPr="002E55AF">
              <w:t>4,412 (11%)</w:t>
            </w:r>
          </w:p>
        </w:tc>
        <w:tc>
          <w:tcPr>
            <w:tcW w:w="1512" w:type="pct"/>
            <w:tcBorders>
              <w:top w:val="single" w:sz="4" w:space="0" w:color="B56011"/>
              <w:bottom w:val="single" w:sz="4" w:space="0" w:color="B56011"/>
            </w:tcBorders>
            <w:shd w:val="clear" w:color="auto" w:fill="auto"/>
            <w:vAlign w:val="center"/>
          </w:tcPr>
          <w:p w14:paraId="3DD233E7" w14:textId="77777777" w:rsidR="000A5970" w:rsidRPr="002E55AF" w:rsidRDefault="000A5970" w:rsidP="00A403FC">
            <w:pPr>
              <w:pStyle w:val="Tabletext"/>
            </w:pPr>
            <w:r w:rsidRPr="002E55AF">
              <w:t>35,710 (89%)</w:t>
            </w:r>
          </w:p>
        </w:tc>
      </w:tr>
    </w:tbl>
    <w:p w14:paraId="4CD494E2" w14:textId="77777777" w:rsidR="009936F3" w:rsidRDefault="000A5970" w:rsidP="0099709F">
      <w:pPr>
        <w:pStyle w:val="08Tablefootnotes"/>
      </w:pPr>
      <w:r w:rsidRPr="00F93B82">
        <w:t>Data is by date of service</w:t>
      </w:r>
      <w:r w:rsidR="009936F3">
        <w:t>.</w:t>
      </w:r>
      <w:r w:rsidRPr="00F93B82">
        <w:t xml:space="preserve"> </w:t>
      </w:r>
    </w:p>
    <w:p w14:paraId="12607846" w14:textId="77777777" w:rsidR="000A5970" w:rsidRPr="00F93B82" w:rsidRDefault="009936F3" w:rsidP="0099709F">
      <w:pPr>
        <w:pStyle w:val="09Tablefootnoteslast-nostick"/>
      </w:pPr>
      <w:r>
        <w:t>a D</w:t>
      </w:r>
      <w:r w:rsidR="000A5970" w:rsidRPr="009936F3">
        <w:t>ata</w:t>
      </w:r>
      <w:r w:rsidR="000A5970" w:rsidRPr="00F93B82">
        <w:t xml:space="preserve"> </w:t>
      </w:r>
      <w:r w:rsidR="000A5970" w:rsidRPr="009936F3">
        <w:t>extraction</w:t>
      </w:r>
      <w:r w:rsidR="000A5970" w:rsidRPr="00F93B82">
        <w:t xml:space="preserve"> period and methodology will influence patient number</w:t>
      </w:r>
      <w:r w:rsidR="00EE3C7E">
        <w:t xml:space="preserve">. </w:t>
      </w:r>
      <w:r w:rsidR="00EE3C7E" w:rsidRPr="00EE3C7E">
        <w:t>Unpublished data (Department of Health).</w:t>
      </w:r>
    </w:p>
    <w:p w14:paraId="19F2C490" w14:textId="77777777" w:rsidR="000A5970" w:rsidRPr="00BF2DCB" w:rsidRDefault="002E55AF" w:rsidP="00E52BC8">
      <w:pPr>
        <w:pStyle w:val="Caption"/>
      </w:pPr>
      <w:bookmarkStart w:id="182" w:name="_Toc430335979"/>
      <w:bookmarkStart w:id="183" w:name="_Toc457450663"/>
      <w:bookmarkStart w:id="184" w:name="_Toc478721550"/>
      <w:r w:rsidRPr="00C24933">
        <w:lastRenderedPageBreak/>
        <w:t xml:space="preserve">Table </w:t>
      </w:r>
      <w:r w:rsidR="009936F3">
        <w:t>1</w:t>
      </w:r>
      <w:r w:rsidR="009F4694">
        <w:t>6</w:t>
      </w:r>
      <w:r w:rsidRPr="00C24933">
        <w:t>:</w:t>
      </w:r>
      <w:r w:rsidRPr="00C24933">
        <w:tab/>
      </w:r>
      <w:r w:rsidRPr="00BF2DCB">
        <w:t xml:space="preserve">Patients who received a MBS rebated consultation (from a sleep and respiratory specialist) up to 12 months before and/or after a service under item </w:t>
      </w:r>
      <w:r w:rsidRPr="00E52BC8">
        <w:t>12250</w:t>
      </w:r>
      <w:r w:rsidRPr="00BF2DCB">
        <w:t xml:space="preserve"> for home-based studies (2012-13)</w:t>
      </w:r>
      <w:bookmarkEnd w:id="182"/>
      <w:bookmarkEnd w:id="183"/>
      <w:bookmarkEnd w:id="184"/>
    </w:p>
    <w:tbl>
      <w:tblPr>
        <w:tblW w:w="4947" w:type="pct"/>
        <w:tblInd w:w="108" w:type="dxa"/>
        <w:tblLook w:val="04A0" w:firstRow="1" w:lastRow="0" w:firstColumn="1" w:lastColumn="0" w:noHBand="0" w:noVBand="1"/>
        <w:tblDescription w:val="Table 16 provides the numbers of patients who received an MBS rebated consultation up to 12 months before and/or after a service under item 12250 for home-based studies in 2012-13, and the number of Group A4 items billed."/>
      </w:tblPr>
      <w:tblGrid>
        <w:gridCol w:w="3220"/>
        <w:gridCol w:w="2949"/>
        <w:gridCol w:w="2761"/>
      </w:tblGrid>
      <w:tr w:rsidR="000A5970" w:rsidRPr="002E55AF" w14:paraId="4EEEE0B4" w14:textId="77777777" w:rsidTr="0099709F">
        <w:trPr>
          <w:trHeight w:val="300"/>
          <w:tblHeader/>
        </w:trPr>
        <w:tc>
          <w:tcPr>
            <w:tcW w:w="1803" w:type="pct"/>
            <w:tcBorders>
              <w:top w:val="single" w:sz="4" w:space="0" w:color="B56011"/>
              <w:bottom w:val="single" w:sz="4" w:space="0" w:color="B56011"/>
            </w:tcBorders>
            <w:shd w:val="clear" w:color="auto" w:fill="auto"/>
            <w:vAlign w:val="bottom"/>
          </w:tcPr>
          <w:p w14:paraId="116B8575" w14:textId="77777777" w:rsidR="000A5970" w:rsidRPr="0099709F" w:rsidRDefault="000A5970" w:rsidP="00A403FC">
            <w:pPr>
              <w:pStyle w:val="Tableheading"/>
              <w:rPr>
                <w:vertAlign w:val="superscript"/>
              </w:rPr>
            </w:pPr>
            <w:r w:rsidRPr="002E55AF">
              <w:t>Approx. patients receiving a 12250 (adult home-based sleep study)</w:t>
            </w:r>
            <w:r w:rsidR="009936F3">
              <w:rPr>
                <w:vertAlign w:val="superscript"/>
              </w:rPr>
              <w:t>a</w:t>
            </w:r>
          </w:p>
        </w:tc>
        <w:tc>
          <w:tcPr>
            <w:tcW w:w="1651" w:type="pct"/>
            <w:tcBorders>
              <w:top w:val="single" w:sz="4" w:space="0" w:color="B56011"/>
              <w:bottom w:val="single" w:sz="4" w:space="0" w:color="B56011"/>
            </w:tcBorders>
            <w:shd w:val="clear" w:color="auto" w:fill="auto"/>
            <w:vAlign w:val="bottom"/>
          </w:tcPr>
          <w:p w14:paraId="64EB955F" w14:textId="77777777" w:rsidR="000A5970" w:rsidRPr="002E55AF" w:rsidRDefault="000A5970" w:rsidP="00A403FC">
            <w:pPr>
              <w:pStyle w:val="Tableheading"/>
            </w:pPr>
            <w:r w:rsidRPr="002E55AF">
              <w:t>Group A4 item billed either before and/or after item 12250</w:t>
            </w:r>
          </w:p>
        </w:tc>
        <w:tc>
          <w:tcPr>
            <w:tcW w:w="1546" w:type="pct"/>
            <w:tcBorders>
              <w:top w:val="single" w:sz="4" w:space="0" w:color="B56011"/>
              <w:bottom w:val="single" w:sz="4" w:space="0" w:color="B56011"/>
            </w:tcBorders>
            <w:shd w:val="clear" w:color="auto" w:fill="auto"/>
            <w:vAlign w:val="bottom"/>
          </w:tcPr>
          <w:p w14:paraId="3CCE3C5F" w14:textId="77777777" w:rsidR="000A5970" w:rsidRPr="002E55AF" w:rsidRDefault="000A5970" w:rsidP="00A403FC">
            <w:pPr>
              <w:pStyle w:val="Tableheading"/>
            </w:pPr>
            <w:r w:rsidRPr="002E55AF">
              <w:t>No Group A4 item billed</w:t>
            </w:r>
          </w:p>
        </w:tc>
      </w:tr>
      <w:tr w:rsidR="000A5970" w:rsidRPr="002E55AF" w14:paraId="04DACE0F" w14:textId="77777777" w:rsidTr="002E55AF">
        <w:trPr>
          <w:trHeight w:val="300"/>
        </w:trPr>
        <w:tc>
          <w:tcPr>
            <w:tcW w:w="1803" w:type="pct"/>
            <w:tcBorders>
              <w:top w:val="single" w:sz="4" w:space="0" w:color="B56011"/>
              <w:bottom w:val="single" w:sz="4" w:space="0" w:color="B56011"/>
            </w:tcBorders>
            <w:shd w:val="clear" w:color="auto" w:fill="auto"/>
            <w:vAlign w:val="bottom"/>
          </w:tcPr>
          <w:p w14:paraId="3D2F2B36" w14:textId="77777777" w:rsidR="000A5970" w:rsidRPr="002E55AF" w:rsidRDefault="000A5970" w:rsidP="00A403FC">
            <w:pPr>
              <w:pStyle w:val="Tabletext"/>
            </w:pPr>
            <w:r w:rsidRPr="002E55AF">
              <w:t>39,386</w:t>
            </w:r>
          </w:p>
        </w:tc>
        <w:tc>
          <w:tcPr>
            <w:tcW w:w="1651" w:type="pct"/>
            <w:tcBorders>
              <w:top w:val="single" w:sz="4" w:space="0" w:color="B56011"/>
              <w:bottom w:val="single" w:sz="4" w:space="0" w:color="B56011"/>
            </w:tcBorders>
            <w:shd w:val="clear" w:color="auto" w:fill="auto"/>
            <w:vAlign w:val="bottom"/>
          </w:tcPr>
          <w:p w14:paraId="55999DF1" w14:textId="77777777" w:rsidR="000A5970" w:rsidRPr="002E55AF" w:rsidRDefault="000A5970" w:rsidP="00A403FC">
            <w:pPr>
              <w:pStyle w:val="Tabletext"/>
            </w:pPr>
            <w:r w:rsidRPr="002E55AF">
              <w:t>13,073 (33%)</w:t>
            </w:r>
          </w:p>
        </w:tc>
        <w:tc>
          <w:tcPr>
            <w:tcW w:w="1546" w:type="pct"/>
            <w:tcBorders>
              <w:top w:val="single" w:sz="4" w:space="0" w:color="B56011"/>
              <w:bottom w:val="single" w:sz="4" w:space="0" w:color="B56011"/>
            </w:tcBorders>
            <w:shd w:val="clear" w:color="auto" w:fill="auto"/>
            <w:vAlign w:val="bottom"/>
          </w:tcPr>
          <w:p w14:paraId="014D12E7" w14:textId="77777777" w:rsidR="000A5970" w:rsidRPr="002E55AF" w:rsidRDefault="000A5970" w:rsidP="00A403FC">
            <w:pPr>
              <w:pStyle w:val="Tabletext"/>
            </w:pPr>
            <w:r w:rsidRPr="002E55AF">
              <w:t>26,313 (67%)</w:t>
            </w:r>
          </w:p>
        </w:tc>
      </w:tr>
    </w:tbl>
    <w:p w14:paraId="591FDA62" w14:textId="77777777" w:rsidR="009936F3" w:rsidRDefault="000A5970" w:rsidP="0099709F">
      <w:pPr>
        <w:pStyle w:val="08Tablefootnotes"/>
        <w:rPr>
          <w:vertAlign w:val="superscript"/>
        </w:rPr>
      </w:pPr>
      <w:r w:rsidRPr="00F93B82">
        <w:t>Data based on date of service and derived specialty</w:t>
      </w:r>
      <w:r w:rsidR="009936F3">
        <w:t>.</w:t>
      </w:r>
    </w:p>
    <w:p w14:paraId="3609CB22" w14:textId="77777777" w:rsidR="000A5970" w:rsidRPr="00F93B82" w:rsidRDefault="009936F3" w:rsidP="0099709F">
      <w:pPr>
        <w:pStyle w:val="08Tablefootnotes"/>
        <w:rPr>
          <w:b/>
          <w:bCs/>
        </w:rPr>
      </w:pPr>
      <w:r>
        <w:t>a D</w:t>
      </w:r>
      <w:r w:rsidR="000A5970" w:rsidRPr="00F93B82">
        <w:t>ata extraction period and methodology will influence patient number</w:t>
      </w:r>
      <w:r w:rsidR="00EE3C7E">
        <w:t xml:space="preserve">. </w:t>
      </w:r>
      <w:r w:rsidR="00EE3C7E" w:rsidRPr="00EE3C7E">
        <w:t>Unpublished data (Department of Health).</w:t>
      </w:r>
    </w:p>
    <w:p w14:paraId="30C2B6A9" w14:textId="77777777" w:rsidR="000A5970" w:rsidRPr="00BF2DCB" w:rsidRDefault="002E55AF" w:rsidP="00E52BC8">
      <w:pPr>
        <w:pStyle w:val="Caption"/>
      </w:pPr>
      <w:bookmarkStart w:id="185" w:name="_Toc430335980"/>
      <w:bookmarkStart w:id="186" w:name="_Toc457450664"/>
      <w:bookmarkStart w:id="187" w:name="_Toc478721551"/>
      <w:r w:rsidRPr="00C24933">
        <w:t xml:space="preserve">Table </w:t>
      </w:r>
      <w:r w:rsidR="009936F3">
        <w:t>1</w:t>
      </w:r>
      <w:r w:rsidR="00E87DF8">
        <w:t>7</w:t>
      </w:r>
      <w:r w:rsidRPr="00C24933">
        <w:tab/>
      </w:r>
      <w:r w:rsidRPr="00BF2DCB">
        <w:t xml:space="preserve">Patients who received a MBS rebated consultation (from a sleep and respiratory specialist) up to 12 months before and/or after a service under </w:t>
      </w:r>
      <w:r w:rsidRPr="00E52BC8">
        <w:t>item</w:t>
      </w:r>
      <w:r w:rsidRPr="00BF2DCB">
        <w:t xml:space="preserve"> 12203 for adult lab-based studies (2012-13)</w:t>
      </w:r>
      <w:bookmarkEnd w:id="185"/>
      <w:bookmarkEnd w:id="186"/>
      <w:bookmarkEnd w:id="187"/>
    </w:p>
    <w:tbl>
      <w:tblPr>
        <w:tblW w:w="4947" w:type="pct"/>
        <w:tblInd w:w="108" w:type="dxa"/>
        <w:tblLook w:val="04A0" w:firstRow="1" w:lastRow="0" w:firstColumn="1" w:lastColumn="0" w:noHBand="0" w:noVBand="1"/>
        <w:tblDescription w:val="Table 17 provides the numbers of patients who received an MBS rebated consultation up to 12 months before and/or after a service under item 12203 for adult lab-based studies in 2012-13, and the number of Group A4 items billed."/>
      </w:tblPr>
      <w:tblGrid>
        <w:gridCol w:w="3220"/>
        <w:gridCol w:w="2949"/>
        <w:gridCol w:w="2761"/>
      </w:tblGrid>
      <w:tr w:rsidR="000A5970" w:rsidRPr="002E55AF" w14:paraId="7F0F18B6" w14:textId="77777777" w:rsidTr="0099709F">
        <w:trPr>
          <w:trHeight w:val="300"/>
          <w:tblHeader/>
        </w:trPr>
        <w:tc>
          <w:tcPr>
            <w:tcW w:w="1803" w:type="pct"/>
            <w:tcBorders>
              <w:top w:val="single" w:sz="4" w:space="0" w:color="B56011"/>
              <w:bottom w:val="single" w:sz="4" w:space="0" w:color="B56011"/>
            </w:tcBorders>
            <w:shd w:val="clear" w:color="auto" w:fill="auto"/>
            <w:vAlign w:val="bottom"/>
          </w:tcPr>
          <w:p w14:paraId="38E64D08" w14:textId="77777777" w:rsidR="000A5970" w:rsidRPr="0099709F" w:rsidRDefault="000A5970" w:rsidP="00A403FC">
            <w:pPr>
              <w:pStyle w:val="Tableheading"/>
              <w:rPr>
                <w:vertAlign w:val="superscript"/>
              </w:rPr>
            </w:pPr>
            <w:r w:rsidRPr="002E55AF">
              <w:t>Approx. patients receiving a 12203 (adult lab-based sleep study)</w:t>
            </w:r>
            <w:r w:rsidR="009936F3">
              <w:rPr>
                <w:vertAlign w:val="superscript"/>
              </w:rPr>
              <w:t>a</w:t>
            </w:r>
          </w:p>
        </w:tc>
        <w:tc>
          <w:tcPr>
            <w:tcW w:w="1651" w:type="pct"/>
            <w:tcBorders>
              <w:top w:val="single" w:sz="4" w:space="0" w:color="B56011"/>
              <w:bottom w:val="single" w:sz="4" w:space="0" w:color="B56011"/>
            </w:tcBorders>
            <w:shd w:val="clear" w:color="auto" w:fill="auto"/>
            <w:vAlign w:val="bottom"/>
          </w:tcPr>
          <w:p w14:paraId="76260B5D" w14:textId="77777777" w:rsidR="000A5970" w:rsidRPr="0099709F" w:rsidRDefault="000A5970" w:rsidP="00A403FC">
            <w:pPr>
              <w:pStyle w:val="Tableheading"/>
              <w:rPr>
                <w:vertAlign w:val="superscript"/>
              </w:rPr>
            </w:pPr>
            <w:r w:rsidRPr="002E55AF">
              <w:t>Group A4 item billed either before and/or after item 12203</w:t>
            </w:r>
            <w:r w:rsidR="009936F3">
              <w:rPr>
                <w:vertAlign w:val="superscript"/>
              </w:rPr>
              <w:t>b</w:t>
            </w:r>
          </w:p>
        </w:tc>
        <w:tc>
          <w:tcPr>
            <w:tcW w:w="1546" w:type="pct"/>
            <w:tcBorders>
              <w:top w:val="single" w:sz="4" w:space="0" w:color="B56011"/>
              <w:bottom w:val="single" w:sz="4" w:space="0" w:color="B56011"/>
            </w:tcBorders>
            <w:shd w:val="clear" w:color="auto" w:fill="auto"/>
            <w:vAlign w:val="bottom"/>
          </w:tcPr>
          <w:p w14:paraId="2C8ED85C" w14:textId="77777777" w:rsidR="000A5970" w:rsidRPr="002E55AF" w:rsidRDefault="000A5970" w:rsidP="00A403FC">
            <w:pPr>
              <w:pStyle w:val="Tableheading"/>
            </w:pPr>
            <w:r w:rsidRPr="002E55AF">
              <w:t>No Group A4 item billed</w:t>
            </w:r>
          </w:p>
        </w:tc>
      </w:tr>
      <w:tr w:rsidR="000A5970" w:rsidRPr="002E55AF" w14:paraId="6024F650" w14:textId="77777777" w:rsidTr="0099709F">
        <w:trPr>
          <w:trHeight w:val="300"/>
        </w:trPr>
        <w:tc>
          <w:tcPr>
            <w:tcW w:w="1803" w:type="pct"/>
            <w:tcBorders>
              <w:top w:val="single" w:sz="4" w:space="0" w:color="B56011"/>
              <w:bottom w:val="single" w:sz="4" w:space="0" w:color="B56011"/>
            </w:tcBorders>
            <w:shd w:val="clear" w:color="auto" w:fill="auto"/>
            <w:vAlign w:val="bottom"/>
          </w:tcPr>
          <w:p w14:paraId="0133EF6A" w14:textId="77777777" w:rsidR="000A5970" w:rsidRPr="002E55AF" w:rsidRDefault="000A5970" w:rsidP="00A403FC">
            <w:pPr>
              <w:pStyle w:val="Tabletext"/>
            </w:pPr>
            <w:r w:rsidRPr="002E55AF">
              <w:t>61,760</w:t>
            </w:r>
          </w:p>
        </w:tc>
        <w:tc>
          <w:tcPr>
            <w:tcW w:w="1651" w:type="pct"/>
            <w:tcBorders>
              <w:top w:val="single" w:sz="4" w:space="0" w:color="B56011"/>
              <w:bottom w:val="single" w:sz="4" w:space="0" w:color="B56011"/>
            </w:tcBorders>
            <w:shd w:val="clear" w:color="auto" w:fill="auto"/>
            <w:vAlign w:val="bottom"/>
          </w:tcPr>
          <w:p w14:paraId="40745B32" w14:textId="77777777" w:rsidR="000A5970" w:rsidRPr="002E55AF" w:rsidRDefault="000A5970" w:rsidP="00A403FC">
            <w:pPr>
              <w:pStyle w:val="Tabletext"/>
            </w:pPr>
            <w:r w:rsidRPr="002E55AF">
              <w:t>44,750 (72%)</w:t>
            </w:r>
          </w:p>
        </w:tc>
        <w:tc>
          <w:tcPr>
            <w:tcW w:w="1546" w:type="pct"/>
            <w:tcBorders>
              <w:top w:val="single" w:sz="4" w:space="0" w:color="B56011"/>
              <w:bottom w:val="single" w:sz="4" w:space="0" w:color="B56011"/>
            </w:tcBorders>
            <w:shd w:val="clear" w:color="auto" w:fill="auto"/>
            <w:vAlign w:val="bottom"/>
          </w:tcPr>
          <w:p w14:paraId="4ADB7504" w14:textId="77777777" w:rsidR="000A5970" w:rsidRPr="002E55AF" w:rsidRDefault="000A5970" w:rsidP="00A403FC">
            <w:pPr>
              <w:pStyle w:val="Tabletext"/>
            </w:pPr>
            <w:r w:rsidRPr="002E55AF">
              <w:t>17,010 (28%)</w:t>
            </w:r>
          </w:p>
        </w:tc>
      </w:tr>
    </w:tbl>
    <w:p w14:paraId="050A4F6E" w14:textId="77777777" w:rsidR="009936F3" w:rsidRDefault="000A5970" w:rsidP="0099709F">
      <w:pPr>
        <w:pStyle w:val="08Tablefootnotes"/>
      </w:pPr>
      <w:r w:rsidRPr="00F93B82">
        <w:t>Data based on date of service and derived specialty</w:t>
      </w:r>
      <w:r w:rsidR="009936F3">
        <w:t>.</w:t>
      </w:r>
    </w:p>
    <w:p w14:paraId="7795E5CE" w14:textId="77777777" w:rsidR="009936F3" w:rsidRDefault="009936F3" w:rsidP="0099709F">
      <w:pPr>
        <w:pStyle w:val="08Tablefootnotes"/>
        <w:rPr>
          <w:vertAlign w:val="superscript"/>
        </w:rPr>
      </w:pPr>
      <w:r w:rsidRPr="0099709F">
        <w:t xml:space="preserve">a </w:t>
      </w:r>
      <w:r w:rsidR="000A5970" w:rsidRPr="00F93B82">
        <w:t>A patient may receive up to 3 lab-based studies under item 12203 in a 12 month period</w:t>
      </w:r>
      <w:r>
        <w:t>.</w:t>
      </w:r>
      <w:r w:rsidR="000A5970" w:rsidRPr="00F93B82">
        <w:t xml:space="preserve"> </w:t>
      </w:r>
    </w:p>
    <w:p w14:paraId="4C9E0E8A" w14:textId="77777777" w:rsidR="000A5970" w:rsidRPr="00F93B82" w:rsidRDefault="009936F3" w:rsidP="0099709F">
      <w:pPr>
        <w:pStyle w:val="09Tablefootnoteslast-nostick"/>
        <w:rPr>
          <w:b/>
          <w:bCs/>
        </w:rPr>
      </w:pPr>
      <w:r>
        <w:t xml:space="preserve">b </w:t>
      </w:r>
      <w:r w:rsidR="000A5970" w:rsidRPr="009936F3">
        <w:t>Based</w:t>
      </w:r>
      <w:r w:rsidR="000A5970" w:rsidRPr="00F93B82">
        <w:t xml:space="preserve"> on the initial 12203 service received</w:t>
      </w:r>
      <w:r w:rsidR="00EE3C7E">
        <w:t xml:space="preserve">. </w:t>
      </w:r>
      <w:r w:rsidR="00EE3C7E" w:rsidRPr="00EE3C7E">
        <w:t>Unpublished data (Department of Health).</w:t>
      </w:r>
    </w:p>
    <w:p w14:paraId="66A0A3F7" w14:textId="77777777" w:rsidR="000A5970" w:rsidRPr="00BF2DCB" w:rsidRDefault="002E55AF" w:rsidP="00E52BC8">
      <w:pPr>
        <w:pStyle w:val="Caption"/>
      </w:pPr>
      <w:bookmarkStart w:id="188" w:name="_Toc430335981"/>
      <w:bookmarkStart w:id="189" w:name="_Toc457450665"/>
      <w:bookmarkStart w:id="190" w:name="_Toc478721552"/>
      <w:r w:rsidRPr="00C24933">
        <w:t xml:space="preserve">Table </w:t>
      </w:r>
      <w:r w:rsidR="009936F3">
        <w:t>1</w:t>
      </w:r>
      <w:r w:rsidR="00E87DF8">
        <w:t>8</w:t>
      </w:r>
      <w:r w:rsidRPr="00C24933">
        <w:t>:</w:t>
      </w:r>
      <w:r w:rsidRPr="00C24933">
        <w:tab/>
      </w:r>
      <w:r w:rsidRPr="00BF2DCB">
        <w:t xml:space="preserve">Patients who received a MBS rebated consultation (from a sleep and respiratory </w:t>
      </w:r>
      <w:r w:rsidRPr="00E52BC8">
        <w:t>specialist</w:t>
      </w:r>
      <w:r w:rsidRPr="00BF2DCB">
        <w:t>) up to 12 months before and/or after a service under item 12210 for paediatric lab-based studies (2012-13)</w:t>
      </w:r>
      <w:bookmarkEnd w:id="188"/>
      <w:bookmarkEnd w:id="189"/>
      <w:bookmarkEnd w:id="190"/>
    </w:p>
    <w:tbl>
      <w:tblPr>
        <w:tblW w:w="4947" w:type="pct"/>
        <w:tblInd w:w="108" w:type="dxa"/>
        <w:tblLook w:val="04A0" w:firstRow="1" w:lastRow="0" w:firstColumn="1" w:lastColumn="0" w:noHBand="0" w:noVBand="1"/>
        <w:tblDescription w:val="Table 18 provides the numbers of patients who received an MBS rebated consultation up to 12 months before and/or after a service under item 12210 for paediatric lab-based studies in 2012-13, and the number of Group A4 items billed."/>
      </w:tblPr>
      <w:tblGrid>
        <w:gridCol w:w="3282"/>
        <w:gridCol w:w="2901"/>
        <w:gridCol w:w="2747"/>
      </w:tblGrid>
      <w:tr w:rsidR="000A5970" w:rsidRPr="002E55AF" w14:paraId="2EE7C381" w14:textId="77777777" w:rsidTr="0099709F">
        <w:trPr>
          <w:cantSplit/>
          <w:trHeight w:val="300"/>
          <w:tblHeader/>
        </w:trPr>
        <w:tc>
          <w:tcPr>
            <w:tcW w:w="1837" w:type="pct"/>
            <w:tcBorders>
              <w:top w:val="single" w:sz="4" w:space="0" w:color="B56011"/>
              <w:bottom w:val="single" w:sz="4" w:space="0" w:color="B56011"/>
            </w:tcBorders>
            <w:shd w:val="clear" w:color="auto" w:fill="auto"/>
            <w:vAlign w:val="center"/>
          </w:tcPr>
          <w:p w14:paraId="3BBF20C9" w14:textId="77777777" w:rsidR="000A5970" w:rsidRPr="0099709F" w:rsidRDefault="000A5970" w:rsidP="00A403FC">
            <w:pPr>
              <w:pStyle w:val="Tableheading"/>
              <w:rPr>
                <w:vertAlign w:val="superscript"/>
              </w:rPr>
            </w:pPr>
            <w:r w:rsidRPr="002E55AF">
              <w:t>Approx. patients receiving a 12210 (child lab-based sleep study)</w:t>
            </w:r>
            <w:r w:rsidR="009936F3">
              <w:rPr>
                <w:vertAlign w:val="superscript"/>
              </w:rPr>
              <w:t>a</w:t>
            </w:r>
          </w:p>
        </w:tc>
        <w:tc>
          <w:tcPr>
            <w:tcW w:w="1624" w:type="pct"/>
            <w:tcBorders>
              <w:top w:val="single" w:sz="4" w:space="0" w:color="B56011"/>
              <w:bottom w:val="single" w:sz="4" w:space="0" w:color="B56011"/>
            </w:tcBorders>
            <w:shd w:val="clear" w:color="auto" w:fill="auto"/>
            <w:vAlign w:val="center"/>
          </w:tcPr>
          <w:p w14:paraId="2E5981A2" w14:textId="77777777" w:rsidR="000A5970" w:rsidRPr="0099709F" w:rsidRDefault="000A5970" w:rsidP="00A403FC">
            <w:pPr>
              <w:pStyle w:val="Tableheading"/>
              <w:rPr>
                <w:vertAlign w:val="superscript"/>
              </w:rPr>
            </w:pPr>
            <w:r w:rsidRPr="002E55AF">
              <w:t>Group A4 item billed either before and/or after item 12210</w:t>
            </w:r>
            <w:r w:rsidR="009936F3">
              <w:rPr>
                <w:vertAlign w:val="superscript"/>
              </w:rPr>
              <w:t>b</w:t>
            </w:r>
          </w:p>
        </w:tc>
        <w:tc>
          <w:tcPr>
            <w:tcW w:w="1538" w:type="pct"/>
            <w:tcBorders>
              <w:top w:val="single" w:sz="4" w:space="0" w:color="B56011"/>
              <w:bottom w:val="single" w:sz="4" w:space="0" w:color="B56011"/>
            </w:tcBorders>
            <w:shd w:val="clear" w:color="auto" w:fill="auto"/>
            <w:vAlign w:val="center"/>
          </w:tcPr>
          <w:p w14:paraId="3ACEE9AF" w14:textId="77777777" w:rsidR="000A5970" w:rsidRPr="002E55AF" w:rsidRDefault="000A5970" w:rsidP="00A403FC">
            <w:pPr>
              <w:pStyle w:val="Tableheading"/>
            </w:pPr>
            <w:r w:rsidRPr="002E55AF">
              <w:t>No Group A4 item billed</w:t>
            </w:r>
          </w:p>
        </w:tc>
      </w:tr>
      <w:tr w:rsidR="000A5970" w:rsidRPr="002E55AF" w14:paraId="2DF105DA" w14:textId="77777777" w:rsidTr="00BE71B4">
        <w:trPr>
          <w:cantSplit/>
          <w:trHeight w:val="300"/>
        </w:trPr>
        <w:tc>
          <w:tcPr>
            <w:tcW w:w="1837" w:type="pct"/>
            <w:tcBorders>
              <w:top w:val="single" w:sz="4" w:space="0" w:color="B56011"/>
              <w:bottom w:val="single" w:sz="4" w:space="0" w:color="B56011"/>
            </w:tcBorders>
            <w:shd w:val="clear" w:color="auto" w:fill="auto"/>
            <w:vAlign w:val="center"/>
          </w:tcPr>
          <w:p w14:paraId="0C43F90B" w14:textId="77777777" w:rsidR="000A5970" w:rsidRPr="002E55AF" w:rsidRDefault="000A5970" w:rsidP="00A403FC">
            <w:pPr>
              <w:pStyle w:val="Tabletext"/>
            </w:pPr>
            <w:r w:rsidRPr="002E55AF">
              <w:t>5,839</w:t>
            </w:r>
          </w:p>
        </w:tc>
        <w:tc>
          <w:tcPr>
            <w:tcW w:w="1624" w:type="pct"/>
            <w:tcBorders>
              <w:top w:val="single" w:sz="4" w:space="0" w:color="B56011"/>
              <w:bottom w:val="single" w:sz="4" w:space="0" w:color="B56011"/>
            </w:tcBorders>
            <w:shd w:val="clear" w:color="auto" w:fill="auto"/>
            <w:vAlign w:val="center"/>
          </w:tcPr>
          <w:p w14:paraId="26B5D1EC" w14:textId="77777777" w:rsidR="000A5970" w:rsidRPr="002E55AF" w:rsidRDefault="000A5970" w:rsidP="00A403FC">
            <w:pPr>
              <w:pStyle w:val="Tabletext"/>
            </w:pPr>
            <w:r w:rsidRPr="002E55AF">
              <w:t>4,962 (85%)</w:t>
            </w:r>
          </w:p>
        </w:tc>
        <w:tc>
          <w:tcPr>
            <w:tcW w:w="1538" w:type="pct"/>
            <w:tcBorders>
              <w:top w:val="single" w:sz="4" w:space="0" w:color="B56011"/>
              <w:bottom w:val="single" w:sz="4" w:space="0" w:color="B56011"/>
            </w:tcBorders>
            <w:shd w:val="clear" w:color="auto" w:fill="auto"/>
            <w:vAlign w:val="center"/>
          </w:tcPr>
          <w:p w14:paraId="284303AF" w14:textId="77777777" w:rsidR="000A5970" w:rsidRPr="002E55AF" w:rsidRDefault="000A5970" w:rsidP="00A403FC">
            <w:pPr>
              <w:pStyle w:val="Tabletext"/>
            </w:pPr>
            <w:r w:rsidRPr="002E55AF">
              <w:t>877 (15%)</w:t>
            </w:r>
          </w:p>
        </w:tc>
      </w:tr>
    </w:tbl>
    <w:p w14:paraId="127A354B" w14:textId="77777777" w:rsidR="009936F3" w:rsidRDefault="000A5970" w:rsidP="0099709F">
      <w:pPr>
        <w:pStyle w:val="08Tablefootnotes"/>
      </w:pPr>
      <w:r w:rsidRPr="00F93B82">
        <w:t>Data based on date of service and derived specialty</w:t>
      </w:r>
      <w:r w:rsidR="009936F3">
        <w:t>.</w:t>
      </w:r>
    </w:p>
    <w:p w14:paraId="755B4174" w14:textId="77777777" w:rsidR="009936F3" w:rsidRDefault="009936F3" w:rsidP="0099709F">
      <w:pPr>
        <w:pStyle w:val="08Tablefootnotes"/>
      </w:pPr>
      <w:r>
        <w:t xml:space="preserve">a </w:t>
      </w:r>
      <w:r w:rsidR="000A5970" w:rsidRPr="009936F3">
        <w:t>A</w:t>
      </w:r>
      <w:r w:rsidR="000A5970" w:rsidRPr="00F93B82">
        <w:t xml:space="preserve"> patient may receive up to 3 lab-based studies under item 12210 in a 12 month period</w:t>
      </w:r>
      <w:r>
        <w:t>.</w:t>
      </w:r>
    </w:p>
    <w:p w14:paraId="48EAFCB8" w14:textId="77777777" w:rsidR="000A5970" w:rsidRPr="00F93B82" w:rsidRDefault="009936F3" w:rsidP="0099709F">
      <w:pPr>
        <w:pStyle w:val="09Tablefootnoteslast-nostick"/>
        <w:rPr>
          <w:b/>
          <w:bCs/>
        </w:rPr>
      </w:pPr>
      <w:r>
        <w:t xml:space="preserve">b </w:t>
      </w:r>
      <w:r w:rsidR="000A5970" w:rsidRPr="009936F3">
        <w:t>Based</w:t>
      </w:r>
      <w:r w:rsidR="000A5970" w:rsidRPr="00F93B82">
        <w:t xml:space="preserve"> on the initial 12210 service received</w:t>
      </w:r>
      <w:r w:rsidR="00EE3C7E">
        <w:t xml:space="preserve">. </w:t>
      </w:r>
      <w:r w:rsidR="00EE3C7E" w:rsidRPr="00EE3C7E">
        <w:t>Unpublished data (Department of Health).</w:t>
      </w:r>
    </w:p>
    <w:p w14:paraId="79EE092A" w14:textId="77777777" w:rsidR="000A5970" w:rsidRDefault="000A5970" w:rsidP="003F2A67">
      <w:pPr>
        <w:pStyle w:val="NormalBulleted"/>
      </w:pPr>
      <w:r w:rsidRPr="00A316D7">
        <w:t xml:space="preserve">Approximately, 35,710 patients (89%) did not have a MBS rebated consultant physician consultation (an A4 consultation) in the 3 weeks prior to the home-based investigation. </w:t>
      </w:r>
    </w:p>
    <w:p w14:paraId="3BE286CC" w14:textId="77777777" w:rsidR="000A5970" w:rsidRDefault="000A5970" w:rsidP="003F2A67">
      <w:pPr>
        <w:pStyle w:val="NormalBulleted"/>
      </w:pPr>
      <w:r w:rsidRPr="00A316D7">
        <w:t xml:space="preserve">Furthermore, about 26,313 patients (67%) did not have a MBS rebated physician consultation within the twelve months (before or after) of the </w:t>
      </w:r>
      <w:r>
        <w:t>home-based investigation</w:t>
      </w:r>
      <w:r w:rsidRPr="00A316D7">
        <w:t>.</w:t>
      </w:r>
      <w:r w:rsidR="00A403FC">
        <w:t xml:space="preserve"> </w:t>
      </w:r>
      <w:r w:rsidRPr="00A316D7">
        <w:t xml:space="preserve">Of the patients who did have a consultation, about 55% attended the same sleep specialist who billed item 12250. </w:t>
      </w:r>
    </w:p>
    <w:p w14:paraId="7C5A015E" w14:textId="77777777" w:rsidR="000A5970" w:rsidRPr="00A316D7" w:rsidRDefault="000A5970" w:rsidP="003F2A67">
      <w:pPr>
        <w:pStyle w:val="NormalBulleted"/>
      </w:pPr>
      <w:r w:rsidRPr="00A316D7">
        <w:t>Patients who undergo laboratory based studies have a different claiming pattern. Most adult patients undergoing laboratory based studies do attend a physician before or after the test.</w:t>
      </w:r>
      <w:r w:rsidR="00A403FC">
        <w:t xml:space="preserve"> </w:t>
      </w:r>
      <w:r w:rsidRPr="00A316D7">
        <w:t>44, 750 or 72% of services were associated with a MBS rebated consultation with a sleep or respiratory specialist in the 12 months before or after the sleep study</w:t>
      </w:r>
      <w:r w:rsidR="0068267F">
        <w:t>.</w:t>
      </w:r>
    </w:p>
    <w:p w14:paraId="23F37B5F" w14:textId="77777777" w:rsidR="000A5970" w:rsidRPr="00A316D7" w:rsidRDefault="000A5970" w:rsidP="000A5970">
      <w:pPr>
        <w:pStyle w:val="Heading3"/>
      </w:pPr>
      <w:bookmarkStart w:id="191" w:name="_Toc452990636"/>
      <w:r w:rsidRPr="00A316D7">
        <w:t>Models of care</w:t>
      </w:r>
      <w:bookmarkEnd w:id="191"/>
    </w:p>
    <w:p w14:paraId="4ED0A7AE" w14:textId="77777777" w:rsidR="0067214D" w:rsidRDefault="000A5970" w:rsidP="00F56E64">
      <w:r>
        <w:t>Generally, but with a few exceptions,</w:t>
      </w:r>
      <w:r w:rsidRPr="00A316D7">
        <w:t xml:space="preserve"> laboratory based Level 1 studies have been provided at hospitals</w:t>
      </w:r>
      <w:r>
        <w:t>, public and private</w:t>
      </w:r>
      <w:r w:rsidRPr="00A316D7">
        <w:t>. Home based Level 2 studies are generally community sector services offered by sleep physician practices and, more recently, “sleep disorder businesses”. The provider data below show that most sleep physicians provide largely one or other of the two types of test, rather than offering both. (This is particularly the case with high volume providers)</w:t>
      </w:r>
      <w:r w:rsidR="0067214D">
        <w:t>.</w:t>
      </w:r>
      <w:r w:rsidR="0067214D">
        <w:br w:type="page"/>
      </w:r>
    </w:p>
    <w:p w14:paraId="35BD9295" w14:textId="77777777" w:rsidR="000A5970" w:rsidRPr="00A316D7" w:rsidRDefault="00BE71B4" w:rsidP="009D42A3">
      <w:pPr>
        <w:pStyle w:val="Caption"/>
      </w:pPr>
      <w:bookmarkStart w:id="192" w:name="_Toc457450666"/>
      <w:bookmarkStart w:id="193" w:name="_Toc478721553"/>
      <w:r w:rsidRPr="00C24933">
        <w:lastRenderedPageBreak/>
        <w:t xml:space="preserve">Table </w:t>
      </w:r>
      <w:r w:rsidR="009936F3">
        <w:t>1</w:t>
      </w:r>
      <w:r w:rsidR="00E87DF8">
        <w:t>9</w:t>
      </w:r>
      <w:r w:rsidRPr="00C24933">
        <w:t>:</w:t>
      </w:r>
      <w:r w:rsidRPr="00C24933">
        <w:tab/>
      </w:r>
      <w:r w:rsidRPr="00A316D7">
        <w:t>Number of sleep providers who billed item 12203 and/or item 12250 (2012-13)</w:t>
      </w:r>
      <w:bookmarkEnd w:id="192"/>
      <w:bookmarkEnd w:id="193"/>
    </w:p>
    <w:tbl>
      <w:tblPr>
        <w:tblW w:w="3374" w:type="pct"/>
        <w:tblInd w:w="108" w:type="dxa"/>
        <w:tblBorders>
          <w:top w:val="single" w:sz="4" w:space="0" w:color="B56011"/>
          <w:bottom w:val="single" w:sz="4" w:space="0" w:color="B56011"/>
          <w:insideH w:val="single" w:sz="4" w:space="0" w:color="B56011"/>
        </w:tblBorders>
        <w:tblCellMar>
          <w:left w:w="0" w:type="dxa"/>
          <w:right w:w="0" w:type="dxa"/>
        </w:tblCellMar>
        <w:tblLook w:val="04A0" w:firstRow="1" w:lastRow="0" w:firstColumn="1" w:lastColumn="0" w:noHBand="0" w:noVBand="1"/>
        <w:tblDescription w:val="Table 19 shows the numbers of providers who billed items 12203 only, 12250 only and both 12203 and 12250 in 2012-13. "/>
      </w:tblPr>
      <w:tblGrid>
        <w:gridCol w:w="4434"/>
        <w:gridCol w:w="1657"/>
      </w:tblGrid>
      <w:tr w:rsidR="00BE71B4" w:rsidRPr="00BE71B4" w14:paraId="7F9F7D0C" w14:textId="77777777" w:rsidTr="0099709F">
        <w:trPr>
          <w:trHeight w:val="225"/>
          <w:tblHeader/>
        </w:trPr>
        <w:tc>
          <w:tcPr>
            <w:tcW w:w="3640" w:type="pct"/>
            <w:shd w:val="clear" w:color="auto" w:fill="auto"/>
            <w:tcMar>
              <w:top w:w="0" w:type="dxa"/>
              <w:left w:w="108" w:type="dxa"/>
              <w:bottom w:w="0" w:type="dxa"/>
              <w:right w:w="108" w:type="dxa"/>
            </w:tcMar>
            <w:vAlign w:val="center"/>
            <w:hideMark/>
          </w:tcPr>
          <w:p w14:paraId="44AD25D6" w14:textId="77777777" w:rsidR="000A5970" w:rsidRPr="00BE71B4" w:rsidRDefault="000A5970" w:rsidP="00A403FC">
            <w:pPr>
              <w:pStyle w:val="Tableheading"/>
            </w:pPr>
            <w:r w:rsidRPr="00BE71B4">
              <w:t>Item(s) billed</w:t>
            </w:r>
          </w:p>
        </w:tc>
        <w:tc>
          <w:tcPr>
            <w:tcW w:w="1360" w:type="pct"/>
            <w:shd w:val="clear" w:color="auto" w:fill="auto"/>
            <w:tcMar>
              <w:top w:w="0" w:type="dxa"/>
              <w:left w:w="108" w:type="dxa"/>
              <w:bottom w:w="0" w:type="dxa"/>
              <w:right w:w="108" w:type="dxa"/>
            </w:tcMar>
            <w:vAlign w:val="center"/>
            <w:hideMark/>
          </w:tcPr>
          <w:p w14:paraId="41915610" w14:textId="77777777" w:rsidR="000A5970" w:rsidRPr="00BE71B4" w:rsidRDefault="000A5970" w:rsidP="0099709F">
            <w:pPr>
              <w:pStyle w:val="Tableheading"/>
              <w:jc w:val="center"/>
            </w:pPr>
            <w:r w:rsidRPr="00BE71B4">
              <w:t>*</w:t>
            </w:r>
            <w:r w:rsidRPr="00E87DF8">
              <w:t>Providers</w:t>
            </w:r>
          </w:p>
        </w:tc>
      </w:tr>
      <w:tr w:rsidR="00BE71B4" w:rsidRPr="00BE71B4" w14:paraId="38BD65FB" w14:textId="77777777" w:rsidTr="0099709F">
        <w:trPr>
          <w:trHeight w:val="240"/>
        </w:trPr>
        <w:tc>
          <w:tcPr>
            <w:tcW w:w="3640" w:type="pct"/>
            <w:shd w:val="clear" w:color="auto" w:fill="auto"/>
            <w:noWrap/>
            <w:tcMar>
              <w:top w:w="0" w:type="dxa"/>
              <w:left w:w="108" w:type="dxa"/>
              <w:bottom w:w="0" w:type="dxa"/>
              <w:right w:w="108" w:type="dxa"/>
            </w:tcMar>
            <w:vAlign w:val="bottom"/>
            <w:hideMark/>
          </w:tcPr>
          <w:p w14:paraId="248D4260" w14:textId="77777777" w:rsidR="000A5970" w:rsidRPr="00BE71B4" w:rsidRDefault="000A5970" w:rsidP="00A403FC">
            <w:pPr>
              <w:pStyle w:val="Tabletext"/>
            </w:pPr>
            <w:r w:rsidRPr="00BE71B4">
              <w:t>12203 only</w:t>
            </w:r>
          </w:p>
        </w:tc>
        <w:tc>
          <w:tcPr>
            <w:tcW w:w="1360" w:type="pct"/>
            <w:shd w:val="clear" w:color="auto" w:fill="auto"/>
            <w:noWrap/>
            <w:tcMar>
              <w:top w:w="0" w:type="dxa"/>
              <w:left w:w="108" w:type="dxa"/>
              <w:bottom w:w="0" w:type="dxa"/>
              <w:right w:w="108" w:type="dxa"/>
            </w:tcMar>
            <w:vAlign w:val="bottom"/>
            <w:hideMark/>
          </w:tcPr>
          <w:p w14:paraId="5A383105" w14:textId="77777777" w:rsidR="000A5970" w:rsidRPr="00BE71B4" w:rsidRDefault="000A5970" w:rsidP="00EA4658">
            <w:pPr>
              <w:pStyle w:val="TableTextDecimalAlign"/>
            </w:pPr>
            <w:r w:rsidRPr="00BE71B4">
              <w:t>269</w:t>
            </w:r>
          </w:p>
        </w:tc>
      </w:tr>
      <w:tr w:rsidR="00BE71B4" w:rsidRPr="00BE71B4" w14:paraId="48DCAB0E" w14:textId="77777777" w:rsidTr="0099709F">
        <w:trPr>
          <w:trHeight w:val="240"/>
        </w:trPr>
        <w:tc>
          <w:tcPr>
            <w:tcW w:w="3640" w:type="pct"/>
            <w:shd w:val="clear" w:color="auto" w:fill="auto"/>
            <w:noWrap/>
            <w:tcMar>
              <w:top w:w="0" w:type="dxa"/>
              <w:left w:w="108" w:type="dxa"/>
              <w:bottom w:w="0" w:type="dxa"/>
              <w:right w:w="108" w:type="dxa"/>
            </w:tcMar>
            <w:vAlign w:val="bottom"/>
            <w:hideMark/>
          </w:tcPr>
          <w:p w14:paraId="54FE2DDE" w14:textId="77777777" w:rsidR="000A5970" w:rsidRPr="00BE71B4" w:rsidRDefault="000A5970" w:rsidP="00A403FC">
            <w:pPr>
              <w:pStyle w:val="Tabletext"/>
            </w:pPr>
            <w:r w:rsidRPr="00BE71B4">
              <w:t>12250 only</w:t>
            </w:r>
          </w:p>
        </w:tc>
        <w:tc>
          <w:tcPr>
            <w:tcW w:w="1360" w:type="pct"/>
            <w:shd w:val="clear" w:color="auto" w:fill="auto"/>
            <w:noWrap/>
            <w:tcMar>
              <w:top w:w="0" w:type="dxa"/>
              <w:left w:w="108" w:type="dxa"/>
              <w:bottom w:w="0" w:type="dxa"/>
              <w:right w:w="108" w:type="dxa"/>
            </w:tcMar>
            <w:vAlign w:val="bottom"/>
            <w:hideMark/>
          </w:tcPr>
          <w:p w14:paraId="363275C4" w14:textId="77777777" w:rsidR="000A5970" w:rsidRPr="00BE71B4" w:rsidRDefault="000A5970" w:rsidP="00EA4658">
            <w:pPr>
              <w:pStyle w:val="TableTextDecimalAlign"/>
            </w:pPr>
            <w:r w:rsidRPr="00BE71B4">
              <w:t>180</w:t>
            </w:r>
          </w:p>
        </w:tc>
      </w:tr>
      <w:tr w:rsidR="00BE71B4" w:rsidRPr="00BE71B4" w14:paraId="7B47CD42" w14:textId="77777777" w:rsidTr="0099709F">
        <w:trPr>
          <w:trHeight w:val="240"/>
        </w:trPr>
        <w:tc>
          <w:tcPr>
            <w:tcW w:w="3640" w:type="pct"/>
            <w:shd w:val="clear" w:color="auto" w:fill="auto"/>
            <w:noWrap/>
            <w:tcMar>
              <w:top w:w="0" w:type="dxa"/>
              <w:left w:w="108" w:type="dxa"/>
              <w:bottom w:w="0" w:type="dxa"/>
              <w:right w:w="108" w:type="dxa"/>
            </w:tcMar>
            <w:vAlign w:val="bottom"/>
            <w:hideMark/>
          </w:tcPr>
          <w:p w14:paraId="549B2388" w14:textId="77777777" w:rsidR="000A5970" w:rsidRPr="00BE71B4" w:rsidRDefault="000A5970" w:rsidP="00A403FC">
            <w:pPr>
              <w:pStyle w:val="Tabletext"/>
            </w:pPr>
            <w:r w:rsidRPr="00BE71B4">
              <w:t>Both 12203 and 12250</w:t>
            </w:r>
          </w:p>
        </w:tc>
        <w:tc>
          <w:tcPr>
            <w:tcW w:w="1360" w:type="pct"/>
            <w:shd w:val="clear" w:color="auto" w:fill="auto"/>
            <w:noWrap/>
            <w:tcMar>
              <w:top w:w="0" w:type="dxa"/>
              <w:left w:w="108" w:type="dxa"/>
              <w:bottom w:w="0" w:type="dxa"/>
              <w:right w:w="108" w:type="dxa"/>
            </w:tcMar>
            <w:vAlign w:val="bottom"/>
            <w:hideMark/>
          </w:tcPr>
          <w:p w14:paraId="5EAF0460" w14:textId="77777777" w:rsidR="000A5970" w:rsidRPr="00BE71B4" w:rsidRDefault="000A5970" w:rsidP="00EA4658">
            <w:pPr>
              <w:pStyle w:val="TableTextDecimalAlign"/>
            </w:pPr>
            <w:r w:rsidRPr="00BE71B4">
              <w:t>160</w:t>
            </w:r>
          </w:p>
        </w:tc>
      </w:tr>
    </w:tbl>
    <w:p w14:paraId="0C9A5CE2" w14:textId="77777777" w:rsidR="000A5970" w:rsidRPr="00DA5B19" w:rsidRDefault="000A5970" w:rsidP="00C96C8F">
      <w:pPr>
        <w:pStyle w:val="TableUnderLast"/>
      </w:pPr>
      <w:r>
        <w:t>*</w:t>
      </w:r>
      <w:r w:rsidRPr="00F93B82">
        <w:t>Data based on date of service</w:t>
      </w:r>
      <w:r w:rsidR="00EE3C7E">
        <w:t xml:space="preserve">. </w:t>
      </w:r>
      <w:r w:rsidR="00EE3C7E" w:rsidRPr="00EE3C7E">
        <w:t>Unpublished data (Department of Health).</w:t>
      </w:r>
    </w:p>
    <w:p w14:paraId="18E9FFFA" w14:textId="77777777" w:rsidR="000A5970" w:rsidRPr="00A316D7" w:rsidRDefault="000A5970" w:rsidP="00F56E64">
      <w:r w:rsidRPr="00A316D7">
        <w:t>A large proportion of studies are performed by medical corporates which have varying service models. Most offer testing following GP referral which is typically online, using pro</w:t>
      </w:r>
      <w:r>
        <w:t>-</w:t>
      </w:r>
      <w:r w:rsidRPr="00A316D7">
        <w:t>formas which give information about symptoms and history. This aims to identify patients who have a high pre-test probability for OSA.</w:t>
      </w:r>
      <w:r w:rsidR="00A403FC">
        <w:t xml:space="preserve"> </w:t>
      </w:r>
      <w:r w:rsidRPr="00A316D7">
        <w:t xml:space="preserve">The technician may elaborate history and record information such as patient weight. The sleep physician has oversight of patient selection and reporting (consistent with MBS requirements). Some practices that perform sleep studies also sell CPAP devices to patients following positive testing. As the MBS data might suggest, the level of involvement of sleep physicians in patient selection for testing and the prescription of therapies is variable. </w:t>
      </w:r>
    </w:p>
    <w:p w14:paraId="640DE44C" w14:textId="77777777" w:rsidR="000A5970" w:rsidRPr="00A316D7" w:rsidRDefault="000A5970" w:rsidP="00F56E64">
      <w:r w:rsidRPr="00A316D7">
        <w:t>It should be acknowledged too that large volumes of MBS funded sleep studies are performed in public hospitals. These are usually laboratory based studies (although some public hospitals offer both laboratory and home based studies) and whether patients are admitted or not for the overnight study may depend on whether patients hold private health insurance.</w:t>
      </w:r>
    </w:p>
    <w:p w14:paraId="03FC2695" w14:textId="77777777" w:rsidR="000A5970" w:rsidRPr="00A316D7" w:rsidRDefault="000A5970" w:rsidP="00F56E64">
      <w:r w:rsidRPr="00A316D7">
        <w:t>Home based studies can only be MBS rebated once per year and relatively few patients go on to have a laboratory based study following the index home based study. It appears then that patients who have home studies do not undergo formal titration studies when CPAP is fitted. Conversely, many patients who are prescribed CPAP following a laboratory based study undergo MBS rebated overnight laboratory based titration studies.</w:t>
      </w:r>
    </w:p>
    <w:p w14:paraId="7B60D5FA" w14:textId="77777777" w:rsidR="000A5970" w:rsidRPr="003059FD" w:rsidRDefault="000A5970" w:rsidP="00C96C8F">
      <w:pPr>
        <w:pStyle w:val="Heading3"/>
      </w:pPr>
      <w:r w:rsidRPr="003059FD">
        <w:t>Discussion</w:t>
      </w:r>
      <w:r w:rsidR="00562BD2">
        <w:t xml:space="preserve"> and findings</w:t>
      </w:r>
      <w:r w:rsidRPr="003059FD">
        <w:t xml:space="preserve"> </w:t>
      </w:r>
    </w:p>
    <w:p w14:paraId="4CFDCC55" w14:textId="77777777" w:rsidR="000A5970" w:rsidRPr="00C96C8F" w:rsidRDefault="000A5970" w:rsidP="00F56E64">
      <w:r w:rsidRPr="00A316D7">
        <w:t xml:space="preserve">The </w:t>
      </w:r>
      <w:r w:rsidR="007B78B9">
        <w:t>Committee</w:t>
      </w:r>
      <w:r w:rsidRPr="00A316D7">
        <w:t xml:space="preserve"> noted that OSA is a high prevalence condition and the addition of Level 2 sleep studies has enabled </w:t>
      </w:r>
      <w:r>
        <w:t xml:space="preserve">better access to testing for adult </w:t>
      </w:r>
      <w:r w:rsidRPr="00A316D7">
        <w:t xml:space="preserve">patients </w:t>
      </w:r>
      <w:r>
        <w:t>which</w:t>
      </w:r>
      <w:r w:rsidRPr="00A316D7">
        <w:t xml:space="preserve"> provides a basis for evidence-based therapies and in particular CPAP.</w:t>
      </w:r>
      <w:r>
        <w:t xml:space="preserve"> </w:t>
      </w:r>
    </w:p>
    <w:p w14:paraId="3F94C41A" w14:textId="77777777" w:rsidR="000A5970" w:rsidRPr="00C96C8F" w:rsidRDefault="000A5970" w:rsidP="00F56E64">
      <w:r w:rsidRPr="00A316D7">
        <w:t xml:space="preserve">However, there is concern that better access to testing has been associated with diminished quality for many patients. The </w:t>
      </w:r>
      <w:r w:rsidR="007B78B9">
        <w:t>Committee</w:t>
      </w:r>
      <w:r w:rsidRPr="00A316D7">
        <w:t xml:space="preserve"> noted that a very high proportion of sleep studies are provided by relatively few providers and a very high proportion of patients (67 percent of patients undergoing home studies and 28 percent of patients undergoing laboratory studies</w:t>
      </w:r>
      <w:r>
        <w:t>)</w:t>
      </w:r>
      <w:r w:rsidRPr="00A316D7">
        <w:t xml:space="preserve"> do not have a MBS funded consultation with a specialist physician in the 12 months before or after a sleep study. For these patients, specialist sleep physician input into the assessment and management of patients is limited to remote authorisation of testing and then providing a diagnosis</w:t>
      </w:r>
      <w:r>
        <w:t>, sometimes with</w:t>
      </w:r>
      <w:r w:rsidRPr="00A316D7">
        <w:t xml:space="preserve"> advice about therapy, </w:t>
      </w:r>
      <w:r>
        <w:t xml:space="preserve">but </w:t>
      </w:r>
      <w:r w:rsidRPr="00A316D7">
        <w:t>without direct clinical assessment.</w:t>
      </w:r>
    </w:p>
    <w:p w14:paraId="4933F083" w14:textId="77777777" w:rsidR="000A5970" w:rsidRPr="00BF2DCB" w:rsidRDefault="000A5970" w:rsidP="00F56E64">
      <w:r w:rsidRPr="00BF2DCB">
        <w:t>There is concern that in some sleep study facilities authori</w:t>
      </w:r>
      <w:r>
        <w:t>s</w:t>
      </w:r>
      <w:r w:rsidRPr="00BF2DCB">
        <w:t>ation of testing has occurred in retrospect, often by reporting physicians, and not based on objective clinical assessment or a face to face consultation in clinically uncertain cases.</w:t>
      </w:r>
    </w:p>
    <w:p w14:paraId="689EADF9" w14:textId="77777777" w:rsidR="000A5970" w:rsidRPr="00A316D7" w:rsidRDefault="000A5970" w:rsidP="00F56E64">
      <w:r>
        <w:lastRenderedPageBreak/>
        <w:t>Further there are reports</w:t>
      </w:r>
      <w:r w:rsidRPr="00BF2DCB">
        <w:t xml:space="preserve"> that advice to proceed to CPAP </w:t>
      </w:r>
      <w:r>
        <w:t>is</w:t>
      </w:r>
      <w:r w:rsidRPr="00BF2DCB">
        <w:t xml:space="preserve"> made </w:t>
      </w:r>
      <w:r>
        <w:t>at</w:t>
      </w:r>
      <w:r w:rsidRPr="00BF2DCB">
        <w:t xml:space="preserve"> lower </w:t>
      </w:r>
      <w:r>
        <w:t>apnoea-hypopnea index (</w:t>
      </w:r>
      <w:r w:rsidRPr="00BF2DCB">
        <w:t>AHI</w:t>
      </w:r>
      <w:r>
        <w:t>)</w:t>
      </w:r>
      <w:r w:rsidRPr="00BF2DCB">
        <w:t xml:space="preserve"> thresholds</w:t>
      </w:r>
      <w:r>
        <w:t xml:space="preserve"> than is conventionally recommended as indicative of OSA requiring treatment. Low AHI thresholds are often not supported by evidence of OSA when a clinical assessment is undertaken</w:t>
      </w:r>
      <w:r w:rsidRPr="00BF2DCB">
        <w:t xml:space="preserve"> </w:t>
      </w:r>
      <w:r>
        <w:t>and other more appropriate treatment modalities may not be considered if</w:t>
      </w:r>
      <w:r w:rsidRPr="00BF2DCB">
        <w:t xml:space="preserve"> a clinical assessment</w:t>
      </w:r>
      <w:r>
        <w:t xml:space="preserve"> by a qualified sleep physician</w:t>
      </w:r>
      <w:r w:rsidRPr="00BF2DCB">
        <w:t xml:space="preserve"> is </w:t>
      </w:r>
      <w:r>
        <w:t xml:space="preserve">not </w:t>
      </w:r>
      <w:r w:rsidRPr="00BF2DCB">
        <w:t>undertaken.</w:t>
      </w:r>
    </w:p>
    <w:p w14:paraId="2A85283D" w14:textId="77777777" w:rsidR="000A5970" w:rsidRPr="00A316D7" w:rsidRDefault="000A5970" w:rsidP="00F56E64">
      <w:r w:rsidRPr="00A316D7">
        <w:t>An outcome of the current model of direct GP referral for patients with high pre-test probability of m</w:t>
      </w:r>
      <w:r w:rsidR="00C96C8F">
        <w:t xml:space="preserve">oderate to severe OSA, is that </w:t>
      </w:r>
      <w:r w:rsidRPr="00A316D7">
        <w:t xml:space="preserve">GPs are put at the centre of not only triaging patients to testing but also determining management. The GP members of the </w:t>
      </w:r>
      <w:r w:rsidR="007B78B9">
        <w:t>Committee</w:t>
      </w:r>
      <w:r w:rsidRPr="00A316D7">
        <w:t xml:space="preserve"> suggested that GPs are not confident about managing patients with OSA and, in particular, advising patients on the relative merits of the various therapeutic options including CPAP. </w:t>
      </w:r>
    </w:p>
    <w:p w14:paraId="51656C86" w14:textId="77777777" w:rsidR="000A5970" w:rsidRPr="00A316D7" w:rsidRDefault="000A5970" w:rsidP="00F56E64">
      <w:r w:rsidRPr="00A316D7">
        <w:t xml:space="preserve">Advice from the Australasian Sleep </w:t>
      </w:r>
      <w:r w:rsidR="002A4E25" w:rsidRPr="00A316D7">
        <w:t>Association</w:t>
      </w:r>
      <w:r w:rsidR="002A4E25">
        <w:rPr>
          <w:vertAlign w:val="superscript"/>
        </w:rPr>
        <w:t>6</w:t>
      </w:r>
      <w:r w:rsidR="002A4E25" w:rsidRPr="00A316D7">
        <w:t xml:space="preserve"> </w:t>
      </w:r>
      <w:r w:rsidRPr="00A316D7">
        <w:t>(ASA) suggests that primary care models</w:t>
      </w:r>
      <w:r>
        <w:t>,</w:t>
      </w:r>
      <w:r w:rsidRPr="00A316D7">
        <w:t xml:space="preserve"> whereby </w:t>
      </w:r>
      <w:r w:rsidRPr="00A316D7">
        <w:rPr>
          <w:i/>
        </w:rPr>
        <w:t>uncomplicated</w:t>
      </w:r>
      <w:r w:rsidRPr="00A316D7">
        <w:t xml:space="preserve"> patients with high pre-test probability of OSA can be managed in a primary care setting using home based studies and without necessarily directly involving a sleep physician</w:t>
      </w:r>
      <w:r>
        <w:t>,</w:t>
      </w:r>
      <w:r w:rsidRPr="00A316D7">
        <w:t xml:space="preserve"> can be appropriate. This model of care </w:t>
      </w:r>
      <w:r>
        <w:t xml:space="preserve">requires </w:t>
      </w:r>
      <w:r w:rsidRPr="00A316D7">
        <w:t>a “hub and spoke” model with appropriately trained primary care</w:t>
      </w:r>
      <w:r>
        <w:t xml:space="preserve"> clinicians</w:t>
      </w:r>
      <w:r w:rsidRPr="00A316D7">
        <w:t xml:space="preserve"> liaising with and having back</w:t>
      </w:r>
      <w:r>
        <w:t>-</w:t>
      </w:r>
      <w:r w:rsidRPr="00A316D7">
        <w:t xml:space="preserve">up from sleep medicine specialists. This model is </w:t>
      </w:r>
      <w:r>
        <w:t>currently not available</w:t>
      </w:r>
      <w:r w:rsidRPr="00A316D7">
        <w:t xml:space="preserve"> in Australia</w:t>
      </w:r>
      <w:r>
        <w:t xml:space="preserve"> but the ASA is working with the RACGP towards the development of a training program</w:t>
      </w:r>
      <w:r w:rsidRPr="00A316D7">
        <w:t>.</w:t>
      </w:r>
    </w:p>
    <w:p w14:paraId="3B012BA5" w14:textId="77777777" w:rsidR="000A5970" w:rsidRPr="00A316D7" w:rsidRDefault="000A5970" w:rsidP="00F56E64">
      <w:r w:rsidRPr="00A316D7">
        <w:t xml:space="preserve">The </w:t>
      </w:r>
      <w:r w:rsidR="007B78B9">
        <w:t>Committee</w:t>
      </w:r>
      <w:r w:rsidRPr="00A316D7">
        <w:t xml:space="preserve"> agreed that all patients with OSA should have a personalised treatment plan that is directed to managing risk factors as well as, if indicated,</w:t>
      </w:r>
      <w:r>
        <w:t xml:space="preserve"> appropriate therapies such as CPAP, oral appliances or other measures</w:t>
      </w:r>
      <w:r w:rsidRPr="00A316D7">
        <w:t xml:space="preserve">. </w:t>
      </w:r>
      <w:r>
        <w:t>D</w:t>
      </w:r>
      <w:r w:rsidRPr="00A316D7">
        <w:t xml:space="preserve">irect GP referred patients who have </w:t>
      </w:r>
      <w:r w:rsidRPr="00EE16C4">
        <w:t>moderate-high pre-test probability of</w:t>
      </w:r>
      <w:r>
        <w:t xml:space="preserve"> symptomatic</w:t>
      </w:r>
      <w:r w:rsidRPr="00EE16C4">
        <w:t xml:space="preserve"> OSA and</w:t>
      </w:r>
      <w:r>
        <w:t xml:space="preserve"> </w:t>
      </w:r>
      <w:r w:rsidRPr="00A316D7">
        <w:t xml:space="preserve">a well performed sleep study that </w:t>
      </w:r>
      <w:r>
        <w:t>confirms this</w:t>
      </w:r>
      <w:r w:rsidRPr="00A316D7">
        <w:t xml:space="preserve">, should have a </w:t>
      </w:r>
      <w:r w:rsidRPr="005E3F75">
        <w:t>discussion regarding the test results and a</w:t>
      </w:r>
      <w:r>
        <w:t xml:space="preserve"> </w:t>
      </w:r>
      <w:r w:rsidRPr="00A316D7">
        <w:t>treatment plan that is developed following personal attendance with a suitably qualified</w:t>
      </w:r>
      <w:r w:rsidR="00F2368F">
        <w:t xml:space="preserve"> </w:t>
      </w:r>
      <w:r w:rsidR="00562BD2">
        <w:t>medical practitioner</w:t>
      </w:r>
      <w:r w:rsidRPr="00A316D7">
        <w:t xml:space="preserve">. </w:t>
      </w:r>
    </w:p>
    <w:p w14:paraId="36F4200D" w14:textId="77777777" w:rsidR="000A5970" w:rsidRPr="00A316D7" w:rsidRDefault="000A5970" w:rsidP="00F56E64">
      <w:r w:rsidRPr="00A316D7">
        <w:t>Although many patients with OSA are suitable for direct GP referral to testing, complicated OSA patients, those with overlapping</w:t>
      </w:r>
      <w:r w:rsidRPr="005C4D8C">
        <w:t xml:space="preserve"> or other</w:t>
      </w:r>
      <w:r w:rsidRPr="00A316D7">
        <w:t xml:space="preserve"> sleep disorders and those with low pre-test probability of moderate – severe OSA should be assessed by sleep or respiratory physicians </w:t>
      </w:r>
      <w:r w:rsidRPr="0029209E">
        <w:rPr>
          <w:b/>
        </w:rPr>
        <w:t>before</w:t>
      </w:r>
      <w:r w:rsidRPr="00A316D7">
        <w:t xml:space="preserve"> testing. In this setting, follow up would ordinarily occur with the specialist physician who requested the test.</w:t>
      </w:r>
    </w:p>
    <w:p w14:paraId="4E7E54A9" w14:textId="77777777" w:rsidR="000A5970" w:rsidRPr="00A316D7" w:rsidRDefault="000A5970" w:rsidP="00F56E64">
      <w:r w:rsidRPr="00A316D7">
        <w:t xml:space="preserve">The </w:t>
      </w:r>
      <w:r w:rsidR="007B78B9">
        <w:t>Committee</w:t>
      </w:r>
      <w:r w:rsidRPr="00A316D7">
        <w:t xml:space="preserve"> supports current MBS arrangements that aim to put the sleep or respiratory physician at the centre of determining need for testing (i.e. assessing pre-test probability</w:t>
      </w:r>
      <w:r>
        <w:t>) and</w:t>
      </w:r>
      <w:r w:rsidRPr="00A316D7">
        <w:t xml:space="preserve"> reporting the test</w:t>
      </w:r>
      <w:r>
        <w:t xml:space="preserve">. The </w:t>
      </w:r>
      <w:r w:rsidR="007B78B9">
        <w:t>Committee</w:t>
      </w:r>
      <w:r>
        <w:t xml:space="preserve"> recommends that appropriately trained </w:t>
      </w:r>
      <w:r w:rsidR="00562BD2">
        <w:t>medical practitioner</w:t>
      </w:r>
      <w:r>
        <w:t>s discuss the results with the patient</w:t>
      </w:r>
      <w:r w:rsidRPr="00A316D7">
        <w:t xml:space="preserve"> and advis</w:t>
      </w:r>
      <w:r>
        <w:t>e</w:t>
      </w:r>
      <w:r w:rsidRPr="00A316D7">
        <w:t xml:space="preserve"> on management including CPAP. </w:t>
      </w:r>
    </w:p>
    <w:p w14:paraId="5F82AB3D" w14:textId="77777777" w:rsidR="000A5970" w:rsidRPr="00C96C8F" w:rsidRDefault="000A5970" w:rsidP="00F56E64">
      <w:pPr>
        <w:rPr>
          <w:lang w:val="en"/>
        </w:rPr>
      </w:pPr>
      <w:r w:rsidRPr="00A316D7">
        <w:t xml:space="preserve">The </w:t>
      </w:r>
      <w:r w:rsidR="007B78B9">
        <w:t>Committee</w:t>
      </w:r>
      <w:r w:rsidRPr="00A316D7">
        <w:t xml:space="preserve"> expressed concern about conflicts of interest that arise when sleep study practices that perform tests also sell CPAP devices. This is not limited to medical corporates. The ASA has advocated for the regulated “prescription”’ of CPAP devices by sleep physicians and although the </w:t>
      </w:r>
      <w:r w:rsidR="007B78B9">
        <w:t>Committee</w:t>
      </w:r>
      <w:r w:rsidRPr="00A316D7">
        <w:t xml:space="preserve"> accepts that clinician input is desirable it notes that, unlike medicines, there are no existing</w:t>
      </w:r>
      <w:r w:rsidR="00A403FC">
        <w:t xml:space="preserve"> </w:t>
      </w:r>
      <w:r w:rsidRPr="00A316D7">
        <w:t>regulatory levers</w:t>
      </w:r>
      <w:r w:rsidR="00A403FC">
        <w:t xml:space="preserve"> </w:t>
      </w:r>
      <w:r w:rsidRPr="00A316D7">
        <w:t xml:space="preserve">that could mandate this. However, medical practitioners are bound by </w:t>
      </w:r>
      <w:r w:rsidRPr="006F598E">
        <w:t xml:space="preserve">the </w:t>
      </w:r>
      <w:hyperlink r:id="rId12" w:history="1">
        <w:r w:rsidRPr="0002627F">
          <w:rPr>
            <w:rStyle w:val="Hyperlink"/>
            <w:color w:val="000000" w:themeColor="text1"/>
            <w:u w:val="none"/>
          </w:rPr>
          <w:t>Medical Board of Australia’s code of conduct</w:t>
        </w:r>
      </w:hyperlink>
      <w:r w:rsidRPr="00A316D7">
        <w:t xml:space="preserve"> which makes clear the obligations around managing conflicts of interest and the sale or endorsement of medical devices</w:t>
      </w:r>
      <w:r>
        <w:t>.</w:t>
      </w:r>
      <w:r w:rsidRPr="00A316D7">
        <w:t xml:space="preserve"> Clause</w:t>
      </w:r>
      <w:r w:rsidR="00C96C8F">
        <w:t xml:space="preserve"> </w:t>
      </w:r>
      <w:r w:rsidRPr="00A316D7">
        <w:t>8.12 requires “declaring</w:t>
      </w:r>
      <w:r w:rsidRPr="00A316D7">
        <w:rPr>
          <w:lang w:val="en"/>
        </w:rPr>
        <w:t xml:space="preserve"> </w:t>
      </w:r>
      <w:r w:rsidRPr="00A316D7">
        <w:rPr>
          <w:lang w:val="en"/>
        </w:rPr>
        <w:lastRenderedPageBreak/>
        <w:t>to your patients your professional and financial interest in any product you might endorse or sell from your practice, and not making an unjustifiable profit from the sale or endorsement”</w:t>
      </w:r>
      <w:r w:rsidRPr="004A3394">
        <w:rPr>
          <w:lang w:val="en"/>
        </w:rPr>
        <w:t>.</w:t>
      </w:r>
      <w:r w:rsidR="00A403FC">
        <w:rPr>
          <w:lang w:val="en"/>
        </w:rPr>
        <w:t xml:space="preserve"> </w:t>
      </w:r>
      <w:r w:rsidRPr="004A3394">
        <w:rPr>
          <w:lang w:val="en"/>
        </w:rPr>
        <w:t xml:space="preserve">The </w:t>
      </w:r>
      <w:r w:rsidR="007B78B9">
        <w:rPr>
          <w:lang w:val="en"/>
        </w:rPr>
        <w:t>Committee</w:t>
      </w:r>
      <w:r w:rsidRPr="004A3394">
        <w:rPr>
          <w:lang w:val="en"/>
        </w:rPr>
        <w:t xml:space="preserve"> note</w:t>
      </w:r>
      <w:r>
        <w:rPr>
          <w:lang w:val="en"/>
        </w:rPr>
        <w:t>s</w:t>
      </w:r>
      <w:r w:rsidRPr="004A3394">
        <w:rPr>
          <w:lang w:val="en"/>
        </w:rPr>
        <w:t xml:space="preserve"> that although a reporting sleep physician may be independent from the company providing the test and selling CPAP equipment, if a high volume of sleep reporting is performed for the company then their interests are closely linked with those of the company.</w:t>
      </w:r>
    </w:p>
    <w:p w14:paraId="32F026D1" w14:textId="77777777" w:rsidR="000A5970" w:rsidRPr="00A316D7" w:rsidRDefault="000A5970" w:rsidP="00F56E64">
      <w:r w:rsidRPr="00A316D7">
        <w:t xml:space="preserve">The </w:t>
      </w:r>
      <w:r w:rsidR="007B78B9">
        <w:t>Committee</w:t>
      </w:r>
      <w:r w:rsidRPr="00A316D7">
        <w:t xml:space="preserve"> agreed that given the lack of outcomes data, it is not known whether the current MBS model delivers</w:t>
      </w:r>
      <w:r>
        <w:t xml:space="preserve"> </w:t>
      </w:r>
      <w:r w:rsidRPr="00DD58C7">
        <w:t>both</w:t>
      </w:r>
      <w:r w:rsidRPr="00A316D7">
        <w:t xml:space="preserve"> very good access to patients who are well triaged to testing and then </w:t>
      </w:r>
      <w:r>
        <w:t>the most appropriate</w:t>
      </w:r>
      <w:r w:rsidRPr="00A316D7">
        <w:t xml:space="preserve"> treatment that provides benefit; or alternatively, access to low value testing</w:t>
      </w:r>
      <w:r>
        <w:t xml:space="preserve"> and commencement on CPAP which </w:t>
      </w:r>
      <w:r w:rsidRPr="004A3394">
        <w:t xml:space="preserve">in some cases </w:t>
      </w:r>
      <w:r>
        <w:t>is not clinically indicated and does not address their sleep related problem. In this latter scenario,</w:t>
      </w:r>
      <w:r w:rsidRPr="00A316D7">
        <w:t xml:space="preserve"> patients purchas</w:t>
      </w:r>
      <w:r>
        <w:t>e</w:t>
      </w:r>
      <w:r w:rsidRPr="00A316D7">
        <w:t xml:space="preserve"> CPAP devices that </w:t>
      </w:r>
      <w:r w:rsidRPr="004A3394">
        <w:t xml:space="preserve">may </w:t>
      </w:r>
      <w:r w:rsidRPr="00A316D7">
        <w:t>deliver little benefit, often based on advice from non-health professionals</w:t>
      </w:r>
      <w:r w:rsidRPr="0003648D">
        <w:t>, and with no medical consultation involved.</w:t>
      </w:r>
      <w:r w:rsidRPr="00A316D7">
        <w:t xml:space="preserve"> </w:t>
      </w:r>
      <w:r w:rsidRPr="004A3394">
        <w:t>Patients may also be advised by non-health professionals to purchase a more expensive “APAP” machine, when a simpler and cheaper CPAP device may be sufficient</w:t>
      </w:r>
      <w:r>
        <w:t>.</w:t>
      </w:r>
    </w:p>
    <w:p w14:paraId="420DE9BB" w14:textId="77777777" w:rsidR="000A5970" w:rsidRPr="00A316D7" w:rsidRDefault="000A5970" w:rsidP="00F56E64">
      <w:r w:rsidRPr="00A316D7">
        <w:t xml:space="preserve">The </w:t>
      </w:r>
      <w:r w:rsidR="007B78B9">
        <w:t>Committee</w:t>
      </w:r>
      <w:r w:rsidRPr="00A316D7">
        <w:t xml:space="preserve"> expressed concern about the high volumes of testing in some practices. The ASA has developed guidelines about clinical aspects of testing and also practice standards. The ASA supports practice accreditation noting that currently there is no industry wide assurance that the quality of testing is high.</w:t>
      </w:r>
    </w:p>
    <w:p w14:paraId="2ACC818D" w14:textId="77777777" w:rsidR="00562BD2" w:rsidRPr="0002627F" w:rsidRDefault="00562BD2" w:rsidP="00C96C8F">
      <w:pPr>
        <w:rPr>
          <w:rFonts w:eastAsiaTheme="minorHAnsi" w:cs="Arial"/>
          <w:b/>
          <w:bCs/>
          <w:i/>
          <w:color w:val="B56012"/>
          <w:sz w:val="24"/>
          <w:szCs w:val="26"/>
          <w:lang w:val="en-US" w:eastAsia="en-US"/>
        </w:rPr>
      </w:pPr>
      <w:r w:rsidRPr="0002627F">
        <w:rPr>
          <w:rFonts w:eastAsiaTheme="minorHAnsi" w:cs="Arial"/>
          <w:b/>
          <w:bCs/>
          <w:i/>
          <w:color w:val="B56012"/>
          <w:sz w:val="24"/>
          <w:szCs w:val="26"/>
          <w:lang w:val="en-US" w:eastAsia="en-US"/>
        </w:rPr>
        <w:t>Recommendations</w:t>
      </w:r>
    </w:p>
    <w:p w14:paraId="0292D72B" w14:textId="77777777" w:rsidR="000A5970" w:rsidRPr="00A316D7" w:rsidRDefault="000A5970" w:rsidP="00F56E64">
      <w:r w:rsidRPr="00A316D7">
        <w:t xml:space="preserve">The </w:t>
      </w:r>
      <w:r w:rsidR="007B78B9">
        <w:t>Committee</w:t>
      </w:r>
      <w:r w:rsidRPr="00A316D7">
        <w:t xml:space="preserve"> recommends that there be a number of changes to </w:t>
      </w:r>
      <w:r>
        <w:t xml:space="preserve">adult </w:t>
      </w:r>
      <w:r w:rsidRPr="00A316D7">
        <w:t>MBS funded sleep studies that aim to improve the clinical value of sleep studies. Specifically</w:t>
      </w:r>
      <w:r w:rsidR="008309ED">
        <w:t>,</w:t>
      </w:r>
      <w:r w:rsidRPr="00A316D7">
        <w:t xml:space="preserve"> the proposals aim to: </w:t>
      </w:r>
    </w:p>
    <w:p w14:paraId="56553109" w14:textId="77777777" w:rsidR="00EA4658" w:rsidRPr="00EA4658" w:rsidRDefault="000A5970" w:rsidP="00127B0E">
      <w:pPr>
        <w:pStyle w:val="Numbering"/>
        <w:numPr>
          <w:ilvl w:val="0"/>
          <w:numId w:val="28"/>
        </w:numPr>
        <w:tabs>
          <w:tab w:val="clear" w:pos="357"/>
          <w:tab w:val="left" w:pos="426"/>
        </w:tabs>
        <w:ind w:left="426" w:hanging="426"/>
      </w:pPr>
      <w:r w:rsidRPr="00EA4658">
        <w:t>Improve the triage of patients to testing, supporting direct GP referral through use of validated clinical assessment tools that identify uncomplicated patients with high pre-test probability of symptomatic moderate to severe OSA. Respiratory physicians will be able to authorise testing as well as qualified sleep medicine practitioners.</w:t>
      </w:r>
    </w:p>
    <w:p w14:paraId="1D470AC1" w14:textId="77777777" w:rsidR="000A5970" w:rsidRPr="00A316D7" w:rsidRDefault="000A5970" w:rsidP="00127B0E">
      <w:pPr>
        <w:pStyle w:val="Numbering"/>
        <w:numPr>
          <w:ilvl w:val="0"/>
          <w:numId w:val="28"/>
        </w:numPr>
        <w:tabs>
          <w:tab w:val="clear" w:pos="357"/>
          <w:tab w:val="left" w:pos="426"/>
        </w:tabs>
        <w:ind w:left="426" w:hanging="426"/>
      </w:pPr>
      <w:r w:rsidRPr="00EA4658">
        <w:t>Retain the ability of respiratory and sleep physicians, following personal consultation with a</w:t>
      </w:r>
      <w:r w:rsidRPr="00A316D7">
        <w:t xml:space="preserve"> patient, to determine whether testing is needed and if so what type of test, for patients with </w:t>
      </w:r>
      <w:r>
        <w:t xml:space="preserve">an expanded </w:t>
      </w:r>
      <w:r w:rsidRPr="00A316D7">
        <w:t>range of sleep disorders. Clinical indications for testing are linked to ASA guidelines.</w:t>
      </w:r>
    </w:p>
    <w:p w14:paraId="4974487B" w14:textId="77777777" w:rsidR="000A5970" w:rsidRPr="00A316D7" w:rsidRDefault="008309ED" w:rsidP="00127B0E">
      <w:pPr>
        <w:pStyle w:val="Numbering"/>
        <w:numPr>
          <w:ilvl w:val="0"/>
          <w:numId w:val="28"/>
        </w:numPr>
        <w:tabs>
          <w:tab w:val="clear" w:pos="357"/>
          <w:tab w:val="left" w:pos="426"/>
        </w:tabs>
        <w:ind w:left="426" w:hanging="426"/>
      </w:pPr>
      <w:r>
        <w:t xml:space="preserve">Ensure that patients </w:t>
      </w:r>
      <w:r w:rsidR="000A5970" w:rsidRPr="00A316D7">
        <w:t>are triaged to the most appropriate test recognising that many uncomplicated OSA patients</w:t>
      </w:r>
      <w:r w:rsidR="00A403FC">
        <w:t xml:space="preserve"> </w:t>
      </w:r>
      <w:r w:rsidR="000A5970" w:rsidRPr="00A316D7">
        <w:t xml:space="preserve">should undergo Level 2 unattended diagnostic studies, but that the doctor-patient </w:t>
      </w:r>
      <w:r w:rsidR="000A5970">
        <w:t>assessment and interaction is</w:t>
      </w:r>
      <w:r w:rsidR="000A5970" w:rsidRPr="00A316D7">
        <w:t xml:space="preserve"> critical to determine the appropriate test for</w:t>
      </w:r>
      <w:r w:rsidR="000A5970">
        <w:t xml:space="preserve"> </w:t>
      </w:r>
      <w:r w:rsidR="000A5970" w:rsidRPr="00A316D7">
        <w:t>patients and that service models need to evolve to meet this need.</w:t>
      </w:r>
      <w:r w:rsidR="000A5970">
        <w:t xml:space="preserve"> </w:t>
      </w:r>
      <w:r w:rsidR="000A5970" w:rsidRPr="00A316D7">
        <w:t>Level 1 studies are more resource intensive and with those resources redeployed</w:t>
      </w:r>
      <w:r w:rsidR="000A5970" w:rsidRPr="00221834">
        <w:t xml:space="preserve"> to providing Level 2 studies</w:t>
      </w:r>
      <w:r w:rsidR="000A5970" w:rsidRPr="00A316D7">
        <w:t xml:space="preserve">, </w:t>
      </w:r>
      <w:r w:rsidR="000A5970">
        <w:t xml:space="preserve">overall </w:t>
      </w:r>
      <w:r w:rsidR="000A5970" w:rsidRPr="00A316D7">
        <w:t>more patients who require testing will be able to access testing.</w:t>
      </w:r>
    </w:p>
    <w:p w14:paraId="0D0D83A2" w14:textId="77777777" w:rsidR="000A5970" w:rsidRPr="00A316D7" w:rsidRDefault="000A5970" w:rsidP="00127B0E">
      <w:pPr>
        <w:pStyle w:val="Numbering"/>
        <w:numPr>
          <w:ilvl w:val="0"/>
          <w:numId w:val="28"/>
        </w:numPr>
        <w:tabs>
          <w:tab w:val="clear" w:pos="357"/>
          <w:tab w:val="left" w:pos="426"/>
        </w:tabs>
        <w:ind w:left="426" w:hanging="426"/>
      </w:pPr>
      <w:r w:rsidRPr="00A316D7">
        <w:t xml:space="preserve">Provide a suite of items that distinguish between diagnostic and other studies to provide a stronger link between testing and physician management of patients with proven sleep disorders and to enable better data collection. In particular, identifying laboratory based titration studies will assist in future consideration of CPAP titration in community settings. For instance, technology evolution means that many patients now purchase auto-titration (APAP) devices, or commence CPAP using an APAP device before switching to fixed pressure CPAP. The </w:t>
      </w:r>
      <w:r w:rsidR="007B78B9">
        <w:lastRenderedPageBreak/>
        <w:t>Committee</w:t>
      </w:r>
      <w:r w:rsidRPr="00A316D7">
        <w:t xml:space="preserve"> recommends the development of an item number for APAP titration to be used for uncomplicated patients as a means of determining fixed pressure CPAP requirements without the need for an in laboratory CPAP titration sleep study</w:t>
      </w:r>
      <w:r>
        <w:t xml:space="preserve"> </w:t>
      </w:r>
      <w:r w:rsidRPr="00A316D7">
        <w:t>(see discussion below)</w:t>
      </w:r>
      <w:r w:rsidR="00C61DE9">
        <w:t>.</w:t>
      </w:r>
    </w:p>
    <w:p w14:paraId="5A7F955F" w14:textId="77777777" w:rsidR="00CE55ED" w:rsidRPr="00FF24DD" w:rsidRDefault="00CE55ED" w:rsidP="00127B0E">
      <w:pPr>
        <w:pStyle w:val="Numbering"/>
        <w:numPr>
          <w:ilvl w:val="0"/>
          <w:numId w:val="28"/>
        </w:numPr>
        <w:tabs>
          <w:tab w:val="clear" w:pos="357"/>
          <w:tab w:val="left" w:pos="426"/>
        </w:tabs>
        <w:ind w:left="426" w:hanging="426"/>
      </w:pPr>
      <w:r w:rsidRPr="00FF24DD">
        <w:t xml:space="preserve">Provide reasonable limits on the frequency of testing with each item payable only once annually. The </w:t>
      </w:r>
      <w:r w:rsidR="00090640" w:rsidRPr="00FF24DD">
        <w:t xml:space="preserve">Committee </w:t>
      </w:r>
      <w:r w:rsidRPr="00FF24DD">
        <w:t>considers that diagnostic and treatment initiation testing should not be repeated without good clinical indication and it would be rare for patients to have need for further testing within 3 to 5 years of initial diagnostic testing. It suggests that MBS data should be monitored and if concern arises that there is unnecessary repeat testing, then additional limits on testing intervals should be considered.</w:t>
      </w:r>
    </w:p>
    <w:p w14:paraId="6B924E34" w14:textId="77777777" w:rsidR="000A5970" w:rsidRPr="00A316D7" w:rsidRDefault="00CE55ED" w:rsidP="00127B0E">
      <w:pPr>
        <w:pStyle w:val="Numbering"/>
        <w:numPr>
          <w:ilvl w:val="0"/>
          <w:numId w:val="28"/>
        </w:numPr>
        <w:tabs>
          <w:tab w:val="clear" w:pos="357"/>
          <w:tab w:val="left" w:pos="426"/>
        </w:tabs>
        <w:ind w:left="426" w:hanging="426"/>
      </w:pPr>
      <w:r w:rsidRPr="00A2672F">
        <w:t>Ensure that patients who have a sleep disorder proven on diagnostic testing are personally assessed in a face to face or video enabled consultation and advised on management options by appropriately skilled medical professionals</w:t>
      </w:r>
      <w:r w:rsidRPr="00A316D7">
        <w:t>.</w:t>
      </w:r>
    </w:p>
    <w:p w14:paraId="66CF01EC" w14:textId="77777777" w:rsidR="000A5970" w:rsidRPr="00A316D7" w:rsidRDefault="000A5970" w:rsidP="00127B0E">
      <w:pPr>
        <w:pStyle w:val="Numbering"/>
        <w:numPr>
          <w:ilvl w:val="0"/>
          <w:numId w:val="28"/>
        </w:numPr>
        <w:tabs>
          <w:tab w:val="clear" w:pos="357"/>
          <w:tab w:val="left" w:pos="426"/>
        </w:tabs>
        <w:ind w:left="426" w:hanging="426"/>
      </w:pPr>
      <w:r w:rsidRPr="00A316D7">
        <w:t>Strengthen quality requirements in relation to the performance of testing and the supervision</w:t>
      </w:r>
      <w:r>
        <w:t xml:space="preserve"> of testing</w:t>
      </w:r>
      <w:r w:rsidRPr="00A316D7">
        <w:t xml:space="preserve"> by qualified sleep medicine practitioners (as defined in current regulations that remain unchanged).</w:t>
      </w:r>
      <w:r w:rsidR="00A403FC">
        <w:t xml:space="preserve"> </w:t>
      </w:r>
      <w:r w:rsidRPr="00A316D7">
        <w:t>Practice accreditation as a condition of MBS funding has not been recommended</w:t>
      </w:r>
      <w:r w:rsidR="00C61DE9">
        <w:t>.</w:t>
      </w:r>
    </w:p>
    <w:p w14:paraId="2E899D44" w14:textId="77777777" w:rsidR="000A5970" w:rsidRPr="0029209E" w:rsidRDefault="00562BD2" w:rsidP="008309ED">
      <w:pPr>
        <w:pStyle w:val="Heading3"/>
      </w:pPr>
      <w:bookmarkStart w:id="194" w:name="_Toc452990637"/>
      <w:r>
        <w:t xml:space="preserve">Proposed new </w:t>
      </w:r>
      <w:r w:rsidR="000A5970">
        <w:t>adult s</w:t>
      </w:r>
      <w:r w:rsidR="000A5970" w:rsidRPr="00A316D7">
        <w:t xml:space="preserve">leep </w:t>
      </w:r>
      <w:r w:rsidR="000A5970">
        <w:t>study items</w:t>
      </w:r>
      <w:bookmarkEnd w:id="194"/>
    </w:p>
    <w:p w14:paraId="70630E12" w14:textId="77777777" w:rsidR="000A5970" w:rsidRPr="00A316D7" w:rsidRDefault="000A5970" w:rsidP="00F56E64">
      <w:r w:rsidRPr="00A316D7">
        <w:t xml:space="preserve">As well as recommending changes to the existing adult sleep study items the </w:t>
      </w:r>
      <w:r w:rsidR="007B78B9">
        <w:t>Committee</w:t>
      </w:r>
      <w:r w:rsidRPr="00A316D7">
        <w:t xml:space="preserve"> discussed and recommends the addition of two new MBS services. The </w:t>
      </w:r>
      <w:r w:rsidR="007B78B9">
        <w:t>Committee</w:t>
      </w:r>
      <w:r w:rsidRPr="00A316D7">
        <w:t xml:space="preserve"> recognise that both proposals require additional development (including evidence gathering) and evaluation that is beyond the scope of the </w:t>
      </w:r>
      <w:r w:rsidR="007B78B9">
        <w:t>Committee</w:t>
      </w:r>
      <w:r w:rsidRPr="00A316D7">
        <w:t xml:space="preserve"> process.</w:t>
      </w:r>
    </w:p>
    <w:p w14:paraId="231FB69C" w14:textId="77777777" w:rsidR="000A5970" w:rsidRPr="00891DC1" w:rsidRDefault="000A5970" w:rsidP="008309ED">
      <w:pPr>
        <w:pStyle w:val="Heading4"/>
      </w:pPr>
      <w:r w:rsidRPr="00891DC1">
        <w:t>Unattended APAP titration</w:t>
      </w:r>
    </w:p>
    <w:p w14:paraId="12AD5212" w14:textId="77777777" w:rsidR="000A5970" w:rsidRPr="00A316D7" w:rsidRDefault="000A5970" w:rsidP="00F56E64">
      <w:r w:rsidRPr="00A316D7">
        <w:t>As noted above, many patients who are recommended CPAP can safely undergo home APAP titration as an alternative to laboratory based titration. Home APAP can be used to determine the pressure for fixed pressure CPAP devices or to set up patients who elect to use a more expensive autotitrating device</w:t>
      </w:r>
      <w:r w:rsidRPr="0058154E">
        <w:t xml:space="preserve"> in the long term</w:t>
      </w:r>
      <w:r w:rsidRPr="00A316D7">
        <w:t>. Home based APAP titration has been proven to be cost effective relative to laboratory based titration and in the Australian setting</w:t>
      </w:r>
      <w:r w:rsidR="008B011D">
        <w:t>.</w:t>
      </w:r>
      <w:r w:rsidR="002A4E25">
        <w:rPr>
          <w:vertAlign w:val="superscript"/>
        </w:rPr>
        <w:t>7</w:t>
      </w:r>
      <w:r w:rsidR="002A4E25" w:rsidRPr="00A316D7">
        <w:t xml:space="preserve"> </w:t>
      </w:r>
    </w:p>
    <w:p w14:paraId="1E323663" w14:textId="77777777" w:rsidR="000A5970" w:rsidRPr="00A316D7" w:rsidRDefault="000A5970" w:rsidP="00F56E64">
      <w:r w:rsidRPr="00A316D7">
        <w:t xml:space="preserve">APAP titration is already used in Australia but the number of patients who are titrated using this approach is unknown. Currently, </w:t>
      </w:r>
      <w:r>
        <w:t xml:space="preserve">unattended </w:t>
      </w:r>
      <w:r w:rsidRPr="00A316D7">
        <w:t>d</w:t>
      </w:r>
      <w:r>
        <w:t xml:space="preserve">iagnostic </w:t>
      </w:r>
      <w:r w:rsidRPr="00A316D7">
        <w:t>sleep studies can only be performed annually and very few patients who undergo an unattended study (item 12250) undergo a subsequent attended study (item 12203). It seems that most patients who are prescribed CPAP following an unattended study undergo a titration study as part of the fitting of the CPAP or APAP device and the cost is subsumed into the device cost. In some public sector facilities, home APAP titration is funded through hospital budgets</w:t>
      </w:r>
      <w:r>
        <w:t xml:space="preserve"> and/or by a small patient fee</w:t>
      </w:r>
      <w:r w:rsidRPr="00A316D7">
        <w:t>, noting that most of the input cost is non-medical professional staff time.</w:t>
      </w:r>
    </w:p>
    <w:p w14:paraId="075D3023" w14:textId="77777777" w:rsidR="000A5970" w:rsidRPr="00A316D7" w:rsidRDefault="000A5970" w:rsidP="00F56E64">
      <w:r w:rsidRPr="00A316D7">
        <w:t xml:space="preserve">The introduction of </w:t>
      </w:r>
      <w:r>
        <w:t xml:space="preserve">an </w:t>
      </w:r>
      <w:r w:rsidRPr="00A316D7">
        <w:t xml:space="preserve">unattended APAP titration </w:t>
      </w:r>
      <w:r>
        <w:t xml:space="preserve">MBS item </w:t>
      </w:r>
      <w:r w:rsidRPr="00A316D7">
        <w:t xml:space="preserve">would complement a general move to unattended testing for less complex patients. By directing such patients away from Level 1 laboratory based testing, more resources would be available for necessary laboratory based </w:t>
      </w:r>
      <w:r w:rsidRPr="00A316D7">
        <w:lastRenderedPageBreak/>
        <w:t>diagnostic testing</w:t>
      </w:r>
      <w:r>
        <w:t xml:space="preserve"> and treatment initiation</w:t>
      </w:r>
      <w:r w:rsidRPr="00A316D7">
        <w:t xml:space="preserve"> for more complex patients. </w:t>
      </w:r>
      <w:r>
        <w:t>The availability of unattended APAP would also enable many uncomplicated OSA patients to have both their diagnostic and treatment studies at home, also including clinician assessment for both tests. This is likely to be more time and cost efficient.</w:t>
      </w:r>
    </w:p>
    <w:p w14:paraId="1D0C5CB9" w14:textId="77777777" w:rsidR="000A5970" w:rsidRPr="00A316D7" w:rsidRDefault="000A5970" w:rsidP="00F56E64">
      <w:r w:rsidRPr="00A316D7">
        <w:t xml:space="preserve">The </w:t>
      </w:r>
      <w:r w:rsidR="007B78B9">
        <w:t>Committee</w:t>
      </w:r>
      <w:r w:rsidRPr="00A316D7">
        <w:t xml:space="preserve"> note</w:t>
      </w:r>
      <w:r w:rsidR="00FD72EF">
        <w:t>d</w:t>
      </w:r>
      <w:r w:rsidRPr="00A316D7">
        <w:t xml:space="preserve"> that the recommended changes to existing adult sleep studies (item 12203 and 12250) may impact on current service models. For this reason, it may be preferable to review the impact of those changes before adding unattended APAP titration to the MBS, particularly as the unmet need for this item and hence number of new MBS services is uncertain. </w:t>
      </w:r>
      <w:r>
        <w:t xml:space="preserve">The </w:t>
      </w:r>
      <w:r w:rsidR="007B78B9">
        <w:t>Committee</w:t>
      </w:r>
      <w:r>
        <w:t xml:space="preserve"> recommends that this review takes place 2-3 years after introduction of the revised adult sleep study items.</w:t>
      </w:r>
    </w:p>
    <w:p w14:paraId="7E4DECE9" w14:textId="77777777" w:rsidR="000A5970" w:rsidRPr="00891DC1" w:rsidRDefault="000A5970" w:rsidP="008309ED">
      <w:pPr>
        <w:pStyle w:val="Heading4"/>
      </w:pPr>
      <w:r w:rsidRPr="00891DC1">
        <w:t>Vigilance testing</w:t>
      </w:r>
    </w:p>
    <w:p w14:paraId="0E86A055" w14:textId="77777777" w:rsidR="000A5970" w:rsidRPr="00A316D7" w:rsidRDefault="000A5970" w:rsidP="00F56E64">
      <w:r w:rsidRPr="00A316D7">
        <w:t>Vigilance testing refers to the assessment of excessive daytime sleepiness</w:t>
      </w:r>
      <w:r>
        <w:t xml:space="preserve"> or the ability to maintain alertness</w:t>
      </w:r>
      <w:r w:rsidRPr="00A316D7">
        <w:t xml:space="preserve"> using tests including the Multiple Sleep Latency Test</w:t>
      </w:r>
      <w:r w:rsidR="00153674">
        <w:t xml:space="preserve"> </w:t>
      </w:r>
      <w:r>
        <w:t>(MSLT)</w:t>
      </w:r>
      <w:r w:rsidRPr="00A316D7">
        <w:t xml:space="preserve"> and the Maintenance of Wakefulness Tes</w:t>
      </w:r>
      <w:r>
        <w:t>t (MWT)</w:t>
      </w:r>
      <w:r w:rsidRPr="00A316D7">
        <w:t xml:space="preserve">. The usual indication for these tests is </w:t>
      </w:r>
      <w:r>
        <w:t xml:space="preserve">to establish a diagnosis of central nervous system hypersomnolence, to assess </w:t>
      </w:r>
      <w:r w:rsidRPr="00A316D7">
        <w:t xml:space="preserve">eligibility for PBS listed medicines in the management of narcolepsy and </w:t>
      </w:r>
      <w:r>
        <w:t xml:space="preserve">for </w:t>
      </w:r>
      <w:r w:rsidRPr="00A316D7">
        <w:t xml:space="preserve">the assessment of </w:t>
      </w:r>
      <w:r>
        <w:t xml:space="preserve">either </w:t>
      </w:r>
      <w:r w:rsidRPr="00A316D7">
        <w:t xml:space="preserve">hypersomnolence </w:t>
      </w:r>
      <w:r>
        <w:t xml:space="preserve">or the ability to maintain alertness </w:t>
      </w:r>
      <w:r w:rsidRPr="00A316D7">
        <w:t>where there is a safety concern (for example, commercial drivers with sleep disorders).</w:t>
      </w:r>
    </w:p>
    <w:p w14:paraId="5DC18FC1" w14:textId="77777777" w:rsidR="000A5970" w:rsidRPr="00A316D7" w:rsidRDefault="000A5970" w:rsidP="00F56E64">
      <w:r w:rsidRPr="00A316D7">
        <w:t>There are no MBS items for vigilance testi</w:t>
      </w:r>
      <w:r w:rsidR="008309ED">
        <w:t xml:space="preserve">ng but practitioners are using </w:t>
      </w:r>
      <w:r w:rsidRPr="00A316D7">
        <w:t>combinations of various items to provide MBS rebates for vigilance testing (and sometimes outside</w:t>
      </w:r>
      <w:r w:rsidR="008309ED">
        <w:t xml:space="preserve"> of the requirements for these </w:t>
      </w:r>
      <w:r w:rsidRPr="00A316D7">
        <w:t xml:space="preserve">items). </w:t>
      </w:r>
    </w:p>
    <w:p w14:paraId="65B4C5C3" w14:textId="77777777" w:rsidR="000A5970" w:rsidRPr="00A316D7" w:rsidRDefault="000A5970" w:rsidP="00F56E64">
      <w:r w:rsidRPr="00A316D7">
        <w:t>The ASA has proposed that there be specific MBS items for MSLT and MWT that are to be used in combination with existing sleep items to confirm the diagnosis of excessive daytime sleepiness or a patient’s capacity to maintain wakefulness. The ASA base their proposal on the standards developed by the American Academy of Sleep Medicine</w:t>
      </w:r>
      <w:r w:rsidR="008309ED">
        <w:rPr>
          <w:rFonts w:cs="Arial"/>
        </w:rPr>
        <w:t>.</w:t>
      </w:r>
      <w:r w:rsidR="004913D3">
        <w:rPr>
          <w:rFonts w:cs="Arial"/>
          <w:vertAlign w:val="superscript"/>
        </w:rPr>
        <w:t>8</w:t>
      </w:r>
    </w:p>
    <w:p w14:paraId="6313C432" w14:textId="77777777" w:rsidR="000A5970" w:rsidRPr="00A316D7" w:rsidRDefault="000A5970" w:rsidP="00F56E64">
      <w:r w:rsidRPr="00A316D7">
        <w:t xml:space="preserve">One of the challenges in trying to progress this proposal through the </w:t>
      </w:r>
      <w:r w:rsidR="007B78B9">
        <w:t>Committee</w:t>
      </w:r>
      <w:r w:rsidRPr="00A316D7">
        <w:t xml:space="preserve"> process is that the specific proposal is much broader than the commonly understood (and confined) role of these tests. For instance, it is estimated that excessive sleepiness affects approximately 5 percent of the population. It also involves a new test that is not specifically funded currently. </w:t>
      </w:r>
    </w:p>
    <w:p w14:paraId="085AA3C2" w14:textId="77777777" w:rsidR="000A5970" w:rsidRDefault="000A5970" w:rsidP="00F56E64">
      <w:r w:rsidRPr="00A316D7">
        <w:t xml:space="preserve">The </w:t>
      </w:r>
      <w:r w:rsidR="007B78B9">
        <w:t>Committee</w:t>
      </w:r>
      <w:r w:rsidRPr="00A316D7">
        <w:t xml:space="preserve"> recommend that vigilance testing be evaluated by MSAC with view to it being specifically MBS funded. It notes that MSAC’s evaluation is proportionate to the clinical and financial risk of the proposed new service and if the patient population for the proposed service can be well defined (and confined)</w:t>
      </w:r>
      <w:r>
        <w:t>,</w:t>
      </w:r>
      <w:r w:rsidRPr="00A316D7">
        <w:t xml:space="preserve"> a “light touch” appraisal may be appropriate.</w:t>
      </w:r>
    </w:p>
    <w:p w14:paraId="18490B0B" w14:textId="77777777" w:rsidR="000A5970" w:rsidRPr="00A316D7" w:rsidRDefault="000A5970" w:rsidP="00F56E64">
      <w:r w:rsidRPr="00A316D7">
        <w:t xml:space="preserve">The </w:t>
      </w:r>
      <w:r w:rsidR="007B78B9">
        <w:t>Committee</w:t>
      </w:r>
      <w:r w:rsidRPr="00A316D7">
        <w:t xml:space="preserve"> also noted that the MBS does not fund employment related medical services. Assessment of commercial drivers for licensing purposes may not be an MBS rebateable service.</w:t>
      </w:r>
      <w:r w:rsidR="00A403FC">
        <w:t xml:space="preserve"> </w:t>
      </w:r>
    </w:p>
    <w:p w14:paraId="45395600" w14:textId="77777777" w:rsidR="000A5970" w:rsidRPr="00A316D7" w:rsidRDefault="000A5970" w:rsidP="00FD72EF">
      <w:pPr>
        <w:pStyle w:val="Heading2"/>
      </w:pPr>
      <w:bookmarkStart w:id="195" w:name="_Toc452990638"/>
      <w:bookmarkStart w:id="196" w:name="_Toc458510003"/>
      <w:bookmarkStart w:id="197" w:name="_Toc458768471"/>
      <w:bookmarkStart w:id="198" w:name="_Toc458768651"/>
      <w:bookmarkStart w:id="199" w:name="_Toc478721512"/>
      <w:r>
        <w:lastRenderedPageBreak/>
        <w:t>Paediatric Sleep Studies</w:t>
      </w:r>
      <w:bookmarkEnd w:id="195"/>
      <w:bookmarkEnd w:id="196"/>
      <w:bookmarkEnd w:id="197"/>
      <w:bookmarkEnd w:id="198"/>
      <w:bookmarkEnd w:id="199"/>
    </w:p>
    <w:p w14:paraId="43A50FE6" w14:textId="77777777" w:rsidR="000A5970" w:rsidRPr="000D168E" w:rsidRDefault="000A5970" w:rsidP="00F56E64">
      <w:pPr>
        <w:rPr>
          <w:szCs w:val="36"/>
        </w:rPr>
      </w:pPr>
      <w:r w:rsidRPr="000D168E">
        <w:t>A Paediatric Sleep Studies Working Group was convened to review the MBS paediatric sleep items and relevant data and consider whether any amendments are required or whether on balance, the current items are supporting good access to high value services.</w:t>
      </w:r>
      <w:r w:rsidR="00A403FC">
        <w:t xml:space="preserve"> </w:t>
      </w:r>
    </w:p>
    <w:p w14:paraId="2E5FB27D" w14:textId="77777777" w:rsidR="000A5970" w:rsidRPr="007E2D0F" w:rsidRDefault="000A5970" w:rsidP="00FD72EF">
      <w:pPr>
        <w:pStyle w:val="Heading3"/>
      </w:pPr>
      <w:r w:rsidRPr="007E2D0F">
        <w:t>Background</w:t>
      </w:r>
    </w:p>
    <w:p w14:paraId="284F2746" w14:textId="77777777" w:rsidR="000A5970" w:rsidRPr="000D168E" w:rsidRDefault="000A5970" w:rsidP="00F56E64">
      <w:r w:rsidRPr="000D168E">
        <w:t>The four paediatric attended sleep study items were introduced to the MBS from 1 November 2001.</w:t>
      </w:r>
      <w:r w:rsidR="00A403FC">
        <w:t xml:space="preserve"> </w:t>
      </w:r>
      <w:r w:rsidRPr="000D168E">
        <w:t>These items recognised that paediatric sleep studies require a different and more complex investigation to that of adults, with broader indications than adult studies</w:t>
      </w:r>
      <w:r>
        <w:t>.</w:t>
      </w:r>
      <w:r w:rsidRPr="000D168E">
        <w:t xml:space="preserve"> This complexity manifests in several ways: </w:t>
      </w:r>
    </w:p>
    <w:p w14:paraId="7FA2754D" w14:textId="77777777" w:rsidR="000A5970" w:rsidRPr="000D168E" w:rsidRDefault="000A5970" w:rsidP="008309ED">
      <w:pPr>
        <w:pStyle w:val="NormalBulleted"/>
      </w:pPr>
      <w:r w:rsidRPr="000D168E">
        <w:t>Physicians required additional training and accreditation to conduct paediatric sleep studies</w:t>
      </w:r>
      <w:r>
        <w:t>.</w:t>
      </w:r>
    </w:p>
    <w:p w14:paraId="167B191D" w14:textId="77777777" w:rsidR="000A5970" w:rsidRPr="000D168E" w:rsidRDefault="000A5970" w:rsidP="008309ED">
      <w:pPr>
        <w:pStyle w:val="NormalBulleted"/>
      </w:pPr>
      <w:r w:rsidRPr="000D168E">
        <w:t>Assessment of the studies takes longer</w:t>
      </w:r>
      <w:r>
        <w:t>.</w:t>
      </w:r>
    </w:p>
    <w:p w14:paraId="0B7F370B" w14:textId="77777777" w:rsidR="000A5970" w:rsidRPr="000D168E" w:rsidRDefault="000A5970" w:rsidP="008309ED">
      <w:pPr>
        <w:pStyle w:val="NormalBulleted"/>
      </w:pPr>
      <w:r w:rsidRPr="000D168E">
        <w:t>Additional staff are required for paediatric sleep studies including a paediatric trained nurse for the duration</w:t>
      </w:r>
      <w:r>
        <w:t>.</w:t>
      </w:r>
    </w:p>
    <w:p w14:paraId="2A6F5BBE" w14:textId="77777777" w:rsidR="000A5970" w:rsidRPr="008309ED" w:rsidRDefault="000A5970" w:rsidP="008309ED">
      <w:pPr>
        <w:pStyle w:val="NormalBulleted"/>
      </w:pPr>
      <w:r w:rsidRPr="00891DC1">
        <w:rPr>
          <w:iCs/>
        </w:rPr>
        <w:t>A</w:t>
      </w:r>
      <w:r w:rsidRPr="000D168E">
        <w:t xml:space="preserve">dditional equipment is required. </w:t>
      </w:r>
    </w:p>
    <w:p w14:paraId="0D1F4B16" w14:textId="77777777" w:rsidR="000A5970" w:rsidRPr="000D168E" w:rsidRDefault="000A5970" w:rsidP="00F56E64">
      <w:r w:rsidRPr="000D168E">
        <w:t>The paediatric attended sleep study items have higher MBS fees and rebates than the corresponding adult attended items. Within the paediatric grouping the fees and rebates are higher for studies performed on 0 to 12 year olds compared to 12 to 18 year olds reflecting the different resourcing requirements.</w:t>
      </w:r>
    </w:p>
    <w:p w14:paraId="04905447" w14:textId="77777777" w:rsidR="000A5970" w:rsidRPr="000D168E" w:rsidRDefault="000A5970" w:rsidP="00F56E64">
      <w:r w:rsidRPr="000D168E">
        <w:t>In 2011, although MSAC supported MBS funding for unattended Level 2 sleep studies for adults, it did not support MBS funding for unattended studies for paediatric patients.</w:t>
      </w:r>
    </w:p>
    <w:p w14:paraId="2FFDCDA2" w14:textId="77777777" w:rsidR="000A5970" w:rsidRDefault="000A5970" w:rsidP="00F56E64">
      <w:r w:rsidRPr="000D168E">
        <w:t xml:space="preserve">The MBS item descriptors for the four paediatric sleep study items are </w:t>
      </w:r>
      <w:r w:rsidRPr="00CD6131">
        <w:t xml:space="preserve">at </w:t>
      </w:r>
      <w:r w:rsidRPr="00871C33">
        <w:t>Appendix A</w:t>
      </w:r>
      <w:r w:rsidRPr="000D168E">
        <w:t xml:space="preserve"> and the table below provides relevant MBS data.</w:t>
      </w:r>
    </w:p>
    <w:p w14:paraId="36C68F47" w14:textId="77777777" w:rsidR="000A5970" w:rsidRPr="000D168E" w:rsidRDefault="008309ED" w:rsidP="00FD72EF">
      <w:pPr>
        <w:pStyle w:val="Heading3"/>
      </w:pPr>
      <w:bookmarkStart w:id="200" w:name="_Toc452990639"/>
      <w:r>
        <w:t>MBS data paediatric sleep – items 12210, 12213, 12215 and</w:t>
      </w:r>
      <w:r w:rsidR="000A5970" w:rsidRPr="000D168E">
        <w:t>12217</w:t>
      </w:r>
      <w:bookmarkEnd w:id="200"/>
    </w:p>
    <w:p w14:paraId="7A735EF2" w14:textId="77777777" w:rsidR="000A5970" w:rsidRDefault="008309ED" w:rsidP="00A51519">
      <w:pPr>
        <w:pStyle w:val="Caption"/>
        <w:tabs>
          <w:tab w:val="left" w:pos="1134"/>
        </w:tabs>
      </w:pPr>
      <w:bookmarkStart w:id="201" w:name="_Toc457450667"/>
      <w:bookmarkStart w:id="202" w:name="_Toc478721554"/>
      <w:r w:rsidRPr="00C24933">
        <w:t xml:space="preserve">Table </w:t>
      </w:r>
      <w:r w:rsidR="0067214D">
        <w:t>20</w:t>
      </w:r>
      <w:r w:rsidRPr="00C24933">
        <w:t>:</w:t>
      </w:r>
      <w:r w:rsidRPr="00C24933">
        <w:tab/>
      </w:r>
      <w:r w:rsidRPr="007957F2">
        <w:t>Key statistics</w:t>
      </w:r>
      <w:r>
        <w:t xml:space="preserve"> for items 12210, 12213, 12215 and 12217</w:t>
      </w:r>
      <w:r w:rsidRPr="007957F2">
        <w:t xml:space="preserve"> </w:t>
      </w:r>
      <w:r>
        <w:t>(by date of processing)</w:t>
      </w:r>
      <w:bookmarkEnd w:id="201"/>
      <w:bookmarkEnd w:id="202"/>
    </w:p>
    <w:tbl>
      <w:tblPr>
        <w:tblW w:w="5000" w:type="pct"/>
        <w:tblBorders>
          <w:top w:val="single" w:sz="4" w:space="0" w:color="B56011"/>
          <w:bottom w:val="single" w:sz="4" w:space="0" w:color="B56011"/>
          <w:insideH w:val="single" w:sz="4" w:space="0" w:color="B56011"/>
        </w:tblBorders>
        <w:tblLayout w:type="fixed"/>
        <w:tblLook w:val="04A0" w:firstRow="1" w:lastRow="0" w:firstColumn="1" w:lastColumn="0" w:noHBand="0" w:noVBand="1"/>
        <w:tblDescription w:val="Table 20 provides an overview of MBS data, including services and benefits, for paediatric sleep items 12210, 12213, 12215 and 12217."/>
      </w:tblPr>
      <w:tblGrid>
        <w:gridCol w:w="4534"/>
        <w:gridCol w:w="1289"/>
        <w:gridCol w:w="1134"/>
        <w:gridCol w:w="1036"/>
        <w:gridCol w:w="1033"/>
      </w:tblGrid>
      <w:tr w:rsidR="00882C3A" w:rsidRPr="00882C3A" w14:paraId="1EE7325B" w14:textId="77777777" w:rsidTr="004C3F50">
        <w:trPr>
          <w:trHeight w:val="300"/>
          <w:tblHeader/>
        </w:trPr>
        <w:tc>
          <w:tcPr>
            <w:tcW w:w="2512" w:type="pct"/>
            <w:shd w:val="clear" w:color="auto" w:fill="auto"/>
            <w:vAlign w:val="bottom"/>
            <w:hideMark/>
          </w:tcPr>
          <w:p w14:paraId="370E670C" w14:textId="77777777" w:rsidR="000A5970" w:rsidRPr="004C3F50" w:rsidRDefault="009936F3" w:rsidP="00A403FC">
            <w:pPr>
              <w:pStyle w:val="Tableheading"/>
            </w:pPr>
            <w:r>
              <w:t>Statistic</w:t>
            </w:r>
          </w:p>
        </w:tc>
        <w:tc>
          <w:tcPr>
            <w:tcW w:w="714" w:type="pct"/>
            <w:shd w:val="clear" w:color="auto" w:fill="auto"/>
            <w:vAlign w:val="bottom"/>
            <w:hideMark/>
          </w:tcPr>
          <w:p w14:paraId="3E93F806" w14:textId="77777777" w:rsidR="000A5970" w:rsidRPr="004C3F50" w:rsidRDefault="000A5970" w:rsidP="00A403FC">
            <w:pPr>
              <w:pStyle w:val="Tableheading"/>
            </w:pPr>
            <w:r w:rsidRPr="004C3F50">
              <w:t>12210</w:t>
            </w:r>
          </w:p>
        </w:tc>
        <w:tc>
          <w:tcPr>
            <w:tcW w:w="628" w:type="pct"/>
            <w:shd w:val="clear" w:color="auto" w:fill="auto"/>
            <w:vAlign w:val="bottom"/>
          </w:tcPr>
          <w:p w14:paraId="4D9ECEA7" w14:textId="77777777" w:rsidR="000A5970" w:rsidRPr="004C3F50" w:rsidRDefault="000A5970" w:rsidP="00A403FC">
            <w:pPr>
              <w:pStyle w:val="Tableheading"/>
            </w:pPr>
            <w:r w:rsidRPr="004C3F50">
              <w:t>12213</w:t>
            </w:r>
          </w:p>
        </w:tc>
        <w:tc>
          <w:tcPr>
            <w:tcW w:w="574" w:type="pct"/>
            <w:shd w:val="clear" w:color="auto" w:fill="auto"/>
            <w:vAlign w:val="bottom"/>
          </w:tcPr>
          <w:p w14:paraId="606AB9A7" w14:textId="77777777" w:rsidR="000A5970" w:rsidRPr="004C3F50" w:rsidRDefault="000A5970" w:rsidP="00A403FC">
            <w:pPr>
              <w:pStyle w:val="Tableheading"/>
            </w:pPr>
            <w:r w:rsidRPr="004C3F50">
              <w:t>12215</w:t>
            </w:r>
          </w:p>
        </w:tc>
        <w:tc>
          <w:tcPr>
            <w:tcW w:w="572" w:type="pct"/>
            <w:shd w:val="clear" w:color="auto" w:fill="auto"/>
            <w:vAlign w:val="bottom"/>
          </w:tcPr>
          <w:p w14:paraId="79612577" w14:textId="77777777" w:rsidR="000A5970" w:rsidRPr="004C3F50" w:rsidRDefault="000A5970" w:rsidP="00A403FC">
            <w:pPr>
              <w:pStyle w:val="Tableheading"/>
            </w:pPr>
            <w:r w:rsidRPr="004C3F50">
              <w:t>12217</w:t>
            </w:r>
          </w:p>
        </w:tc>
      </w:tr>
      <w:tr w:rsidR="00882C3A" w:rsidRPr="00882C3A" w14:paraId="13FB329A" w14:textId="77777777" w:rsidTr="00882C3A">
        <w:trPr>
          <w:trHeight w:val="300"/>
        </w:trPr>
        <w:tc>
          <w:tcPr>
            <w:tcW w:w="2512" w:type="pct"/>
            <w:shd w:val="clear" w:color="auto" w:fill="auto"/>
            <w:vAlign w:val="bottom"/>
          </w:tcPr>
          <w:p w14:paraId="268384BB" w14:textId="77777777" w:rsidR="000A5970" w:rsidRPr="004C3F50" w:rsidRDefault="000A5970" w:rsidP="00A403FC">
            <w:pPr>
              <w:pStyle w:val="Tabletext"/>
            </w:pPr>
            <w:r w:rsidRPr="004C3F50">
              <w:t xml:space="preserve">Schedule fee </w:t>
            </w:r>
          </w:p>
        </w:tc>
        <w:tc>
          <w:tcPr>
            <w:tcW w:w="714" w:type="pct"/>
            <w:shd w:val="clear" w:color="auto" w:fill="auto"/>
            <w:vAlign w:val="bottom"/>
          </w:tcPr>
          <w:p w14:paraId="1E87D234" w14:textId="77777777" w:rsidR="000A5970" w:rsidRPr="004C3F50" w:rsidRDefault="000A5970" w:rsidP="00A403FC">
            <w:pPr>
              <w:pStyle w:val="Tabletext"/>
            </w:pPr>
            <w:r w:rsidRPr="004C3F50">
              <w:t>$701.85</w:t>
            </w:r>
          </w:p>
        </w:tc>
        <w:tc>
          <w:tcPr>
            <w:tcW w:w="628" w:type="pct"/>
            <w:shd w:val="clear" w:color="auto" w:fill="auto"/>
            <w:vAlign w:val="bottom"/>
          </w:tcPr>
          <w:p w14:paraId="5B97C751" w14:textId="77777777" w:rsidR="000A5970" w:rsidRPr="004C3F50" w:rsidRDefault="000A5970" w:rsidP="00A403FC">
            <w:pPr>
              <w:pStyle w:val="Tabletext"/>
            </w:pPr>
            <w:r w:rsidRPr="004C3F50">
              <w:t>$632.30</w:t>
            </w:r>
          </w:p>
        </w:tc>
        <w:tc>
          <w:tcPr>
            <w:tcW w:w="574" w:type="pct"/>
            <w:shd w:val="clear" w:color="auto" w:fill="auto"/>
            <w:vAlign w:val="bottom"/>
          </w:tcPr>
          <w:p w14:paraId="68C651A1" w14:textId="77777777" w:rsidR="000A5970" w:rsidRPr="004C3F50" w:rsidRDefault="000A5970" w:rsidP="00A403FC">
            <w:pPr>
              <w:pStyle w:val="Tabletext"/>
            </w:pPr>
            <w:r w:rsidRPr="004C3F50">
              <w:t>$701.85</w:t>
            </w:r>
          </w:p>
        </w:tc>
        <w:tc>
          <w:tcPr>
            <w:tcW w:w="572" w:type="pct"/>
            <w:shd w:val="clear" w:color="auto" w:fill="auto"/>
            <w:vAlign w:val="bottom"/>
          </w:tcPr>
          <w:p w14:paraId="1B367A36" w14:textId="77777777" w:rsidR="000A5970" w:rsidRPr="004C3F50" w:rsidRDefault="000A5970" w:rsidP="00A403FC">
            <w:pPr>
              <w:pStyle w:val="Tabletext"/>
            </w:pPr>
            <w:r w:rsidRPr="004C3F50">
              <w:t>$632.30</w:t>
            </w:r>
          </w:p>
        </w:tc>
      </w:tr>
      <w:tr w:rsidR="00882C3A" w:rsidRPr="00882C3A" w14:paraId="60B7CBEB" w14:textId="77777777" w:rsidTr="00882C3A">
        <w:trPr>
          <w:trHeight w:val="300"/>
        </w:trPr>
        <w:tc>
          <w:tcPr>
            <w:tcW w:w="2512" w:type="pct"/>
            <w:shd w:val="clear" w:color="auto" w:fill="auto"/>
            <w:vAlign w:val="bottom"/>
          </w:tcPr>
          <w:p w14:paraId="26D0EE47" w14:textId="77777777" w:rsidR="000A5970" w:rsidRPr="004C3F50" w:rsidRDefault="000A5970" w:rsidP="00A403FC">
            <w:pPr>
              <w:pStyle w:val="Tabletext"/>
              <w:rPr>
                <w:bCs/>
              </w:rPr>
            </w:pPr>
            <w:r w:rsidRPr="004C3F50">
              <w:rPr>
                <w:bCs/>
              </w:rPr>
              <w:t>Total Benefits paid 2014-15</w:t>
            </w:r>
          </w:p>
        </w:tc>
        <w:tc>
          <w:tcPr>
            <w:tcW w:w="714" w:type="pct"/>
            <w:shd w:val="clear" w:color="auto" w:fill="auto"/>
            <w:vAlign w:val="bottom"/>
          </w:tcPr>
          <w:p w14:paraId="3851D357" w14:textId="77777777" w:rsidR="000A5970" w:rsidRPr="004C3F50" w:rsidRDefault="000A5970" w:rsidP="00A403FC">
            <w:pPr>
              <w:pStyle w:val="Tabletext"/>
            </w:pPr>
            <w:r w:rsidRPr="004C3F50">
              <w:t>$4,155,302</w:t>
            </w:r>
          </w:p>
        </w:tc>
        <w:tc>
          <w:tcPr>
            <w:tcW w:w="628" w:type="pct"/>
            <w:shd w:val="clear" w:color="auto" w:fill="auto"/>
            <w:vAlign w:val="bottom"/>
          </w:tcPr>
          <w:p w14:paraId="36257744" w14:textId="77777777" w:rsidR="000A5970" w:rsidRPr="004C3F50" w:rsidRDefault="000A5970" w:rsidP="00A403FC">
            <w:pPr>
              <w:pStyle w:val="Tabletext"/>
            </w:pPr>
            <w:r w:rsidRPr="004C3F50">
              <w:t>$965,925</w:t>
            </w:r>
          </w:p>
        </w:tc>
        <w:tc>
          <w:tcPr>
            <w:tcW w:w="574" w:type="pct"/>
            <w:shd w:val="clear" w:color="auto" w:fill="auto"/>
            <w:vAlign w:val="bottom"/>
          </w:tcPr>
          <w:p w14:paraId="565D2A31" w14:textId="77777777" w:rsidR="000A5970" w:rsidRPr="004C3F50" w:rsidRDefault="000A5970" w:rsidP="00A403FC">
            <w:pPr>
              <w:pStyle w:val="Tabletext"/>
            </w:pPr>
            <w:r w:rsidRPr="004C3F50">
              <w:t>$4,375</w:t>
            </w:r>
          </w:p>
        </w:tc>
        <w:tc>
          <w:tcPr>
            <w:tcW w:w="572" w:type="pct"/>
            <w:shd w:val="clear" w:color="auto" w:fill="auto"/>
            <w:vAlign w:val="bottom"/>
          </w:tcPr>
          <w:p w14:paraId="4F28865F" w14:textId="77777777" w:rsidR="000A5970" w:rsidRPr="004C3F50" w:rsidRDefault="000A5970" w:rsidP="00A403FC">
            <w:pPr>
              <w:pStyle w:val="Tabletext"/>
            </w:pPr>
            <w:r w:rsidRPr="004C3F50">
              <w:t>$3,246</w:t>
            </w:r>
          </w:p>
        </w:tc>
      </w:tr>
      <w:tr w:rsidR="00882C3A" w:rsidRPr="00882C3A" w14:paraId="374024A3" w14:textId="77777777" w:rsidTr="00882C3A">
        <w:trPr>
          <w:trHeight w:val="300"/>
        </w:trPr>
        <w:tc>
          <w:tcPr>
            <w:tcW w:w="2512" w:type="pct"/>
            <w:shd w:val="clear" w:color="auto" w:fill="auto"/>
            <w:vAlign w:val="bottom"/>
          </w:tcPr>
          <w:p w14:paraId="0616D54F" w14:textId="77777777" w:rsidR="000A5970" w:rsidRPr="004C3F50" w:rsidRDefault="000A5970" w:rsidP="00A403FC">
            <w:pPr>
              <w:pStyle w:val="Tabletext"/>
              <w:rPr>
                <w:bCs/>
              </w:rPr>
            </w:pPr>
            <w:r w:rsidRPr="004C3F50">
              <w:rPr>
                <w:bCs/>
              </w:rPr>
              <w:t>Number of services 2014-15</w:t>
            </w:r>
          </w:p>
        </w:tc>
        <w:tc>
          <w:tcPr>
            <w:tcW w:w="714" w:type="pct"/>
            <w:shd w:val="clear" w:color="auto" w:fill="auto"/>
            <w:vAlign w:val="bottom"/>
          </w:tcPr>
          <w:p w14:paraId="3501F07F" w14:textId="77777777" w:rsidR="000A5970" w:rsidRPr="004C3F50" w:rsidRDefault="000A5970" w:rsidP="00A403FC">
            <w:pPr>
              <w:pStyle w:val="Tabletext"/>
            </w:pPr>
            <w:r w:rsidRPr="004C3F50">
              <w:t>7,179</w:t>
            </w:r>
          </w:p>
        </w:tc>
        <w:tc>
          <w:tcPr>
            <w:tcW w:w="628" w:type="pct"/>
            <w:shd w:val="clear" w:color="auto" w:fill="auto"/>
            <w:vAlign w:val="bottom"/>
          </w:tcPr>
          <w:p w14:paraId="267405D7" w14:textId="77777777" w:rsidR="000A5970" w:rsidRPr="004C3F50" w:rsidRDefault="000A5970" w:rsidP="00A403FC">
            <w:pPr>
              <w:pStyle w:val="Tabletext"/>
            </w:pPr>
            <w:r w:rsidRPr="004C3F50">
              <w:t>1,842</w:t>
            </w:r>
          </w:p>
        </w:tc>
        <w:tc>
          <w:tcPr>
            <w:tcW w:w="574" w:type="pct"/>
            <w:shd w:val="clear" w:color="auto" w:fill="auto"/>
            <w:vAlign w:val="bottom"/>
          </w:tcPr>
          <w:p w14:paraId="4C10CA71" w14:textId="77777777" w:rsidR="000A5970" w:rsidRPr="004C3F50" w:rsidRDefault="000A5970" w:rsidP="00A403FC">
            <w:pPr>
              <w:pStyle w:val="Tabletext"/>
            </w:pPr>
            <w:r w:rsidRPr="004C3F50">
              <w:t>7</w:t>
            </w:r>
          </w:p>
        </w:tc>
        <w:tc>
          <w:tcPr>
            <w:tcW w:w="572" w:type="pct"/>
            <w:shd w:val="clear" w:color="auto" w:fill="auto"/>
            <w:vAlign w:val="bottom"/>
          </w:tcPr>
          <w:p w14:paraId="3B3339E0" w14:textId="77777777" w:rsidR="000A5970" w:rsidRPr="004C3F50" w:rsidRDefault="000A5970" w:rsidP="00A403FC">
            <w:pPr>
              <w:pStyle w:val="Tabletext"/>
            </w:pPr>
            <w:r w:rsidRPr="004C3F50">
              <w:t>6</w:t>
            </w:r>
          </w:p>
        </w:tc>
      </w:tr>
      <w:tr w:rsidR="00882C3A" w:rsidRPr="00882C3A" w14:paraId="199E26BB" w14:textId="77777777" w:rsidTr="00882C3A">
        <w:trPr>
          <w:trHeight w:val="300"/>
        </w:trPr>
        <w:tc>
          <w:tcPr>
            <w:tcW w:w="2512" w:type="pct"/>
            <w:shd w:val="clear" w:color="auto" w:fill="auto"/>
            <w:vAlign w:val="bottom"/>
          </w:tcPr>
          <w:p w14:paraId="32CA4806" w14:textId="77777777" w:rsidR="000A5970" w:rsidRPr="004C3F50" w:rsidRDefault="000A5970" w:rsidP="00A403FC">
            <w:pPr>
              <w:pStyle w:val="Tabletext"/>
            </w:pPr>
            <w:r w:rsidRPr="004C3F50">
              <w:rPr>
                <w:bCs/>
              </w:rPr>
              <w:t>% services provided out-of-hospital 2014-15</w:t>
            </w:r>
          </w:p>
        </w:tc>
        <w:tc>
          <w:tcPr>
            <w:tcW w:w="714" w:type="pct"/>
            <w:shd w:val="clear" w:color="auto" w:fill="auto"/>
            <w:vAlign w:val="bottom"/>
          </w:tcPr>
          <w:p w14:paraId="1539DA9C" w14:textId="77777777" w:rsidR="000A5970" w:rsidRPr="004C3F50" w:rsidRDefault="000A5970" w:rsidP="00A403FC">
            <w:pPr>
              <w:pStyle w:val="Tabletext"/>
            </w:pPr>
            <w:r w:rsidRPr="004C3F50">
              <w:t>51.90%</w:t>
            </w:r>
          </w:p>
        </w:tc>
        <w:tc>
          <w:tcPr>
            <w:tcW w:w="628" w:type="pct"/>
            <w:shd w:val="clear" w:color="auto" w:fill="auto"/>
            <w:vAlign w:val="bottom"/>
          </w:tcPr>
          <w:p w14:paraId="678450A3" w14:textId="77777777" w:rsidR="000A5970" w:rsidRPr="004C3F50" w:rsidRDefault="000A5970" w:rsidP="00A403FC">
            <w:pPr>
              <w:pStyle w:val="Tabletext"/>
            </w:pPr>
            <w:r w:rsidRPr="004C3F50">
              <w:t>61.50%</w:t>
            </w:r>
          </w:p>
        </w:tc>
        <w:tc>
          <w:tcPr>
            <w:tcW w:w="574" w:type="pct"/>
            <w:shd w:val="clear" w:color="auto" w:fill="auto"/>
            <w:vAlign w:val="bottom"/>
          </w:tcPr>
          <w:p w14:paraId="5A165F5F" w14:textId="77777777" w:rsidR="000A5970" w:rsidRPr="004C3F50" w:rsidRDefault="000A5970" w:rsidP="00A403FC">
            <w:pPr>
              <w:pStyle w:val="Tabletext"/>
            </w:pPr>
            <w:r w:rsidRPr="004C3F50">
              <w:t>100.00%</w:t>
            </w:r>
          </w:p>
        </w:tc>
        <w:tc>
          <w:tcPr>
            <w:tcW w:w="572" w:type="pct"/>
            <w:shd w:val="clear" w:color="auto" w:fill="auto"/>
            <w:vAlign w:val="bottom"/>
          </w:tcPr>
          <w:p w14:paraId="27559768" w14:textId="77777777" w:rsidR="000A5970" w:rsidRPr="004C3F50" w:rsidRDefault="000A5970" w:rsidP="00A403FC">
            <w:pPr>
              <w:pStyle w:val="Tabletext"/>
            </w:pPr>
            <w:r w:rsidRPr="004C3F50">
              <w:t>83.30%</w:t>
            </w:r>
          </w:p>
        </w:tc>
      </w:tr>
      <w:tr w:rsidR="00882C3A" w:rsidRPr="00882C3A" w14:paraId="75B0F7C9" w14:textId="77777777" w:rsidTr="00882C3A">
        <w:trPr>
          <w:trHeight w:val="300"/>
        </w:trPr>
        <w:tc>
          <w:tcPr>
            <w:tcW w:w="2512" w:type="pct"/>
            <w:shd w:val="clear" w:color="auto" w:fill="auto"/>
            <w:vAlign w:val="bottom"/>
          </w:tcPr>
          <w:p w14:paraId="6340A561" w14:textId="77777777" w:rsidR="000A5970" w:rsidRPr="004C3F50" w:rsidRDefault="000A5970" w:rsidP="00A403FC">
            <w:pPr>
              <w:pStyle w:val="Tabletext"/>
            </w:pPr>
            <w:r w:rsidRPr="004C3F50">
              <w:rPr>
                <w:bCs/>
              </w:rPr>
              <w:t>Bulk-billing rate for out-of-hospital services 2014-15</w:t>
            </w:r>
          </w:p>
        </w:tc>
        <w:tc>
          <w:tcPr>
            <w:tcW w:w="714" w:type="pct"/>
            <w:shd w:val="clear" w:color="auto" w:fill="auto"/>
            <w:vAlign w:val="bottom"/>
          </w:tcPr>
          <w:p w14:paraId="42156516" w14:textId="77777777" w:rsidR="000A5970" w:rsidRPr="004C3F50" w:rsidRDefault="000A5970" w:rsidP="00A403FC">
            <w:pPr>
              <w:pStyle w:val="Tabletext"/>
            </w:pPr>
            <w:r w:rsidRPr="004C3F50">
              <w:t>89.80%</w:t>
            </w:r>
          </w:p>
        </w:tc>
        <w:tc>
          <w:tcPr>
            <w:tcW w:w="628" w:type="pct"/>
            <w:shd w:val="clear" w:color="auto" w:fill="auto"/>
            <w:vAlign w:val="bottom"/>
          </w:tcPr>
          <w:p w14:paraId="49D3D795" w14:textId="77777777" w:rsidR="000A5970" w:rsidRPr="004C3F50" w:rsidRDefault="000A5970" w:rsidP="00A403FC">
            <w:pPr>
              <w:pStyle w:val="Tabletext"/>
            </w:pPr>
            <w:r w:rsidRPr="004C3F50">
              <w:t>91.20%</w:t>
            </w:r>
          </w:p>
        </w:tc>
        <w:tc>
          <w:tcPr>
            <w:tcW w:w="574" w:type="pct"/>
            <w:shd w:val="clear" w:color="auto" w:fill="auto"/>
            <w:vAlign w:val="bottom"/>
          </w:tcPr>
          <w:p w14:paraId="5F0239C2" w14:textId="77777777" w:rsidR="000A5970" w:rsidRPr="004C3F50" w:rsidRDefault="000A5970" w:rsidP="00A403FC">
            <w:pPr>
              <w:pStyle w:val="Tabletext"/>
            </w:pPr>
            <w:r w:rsidRPr="004C3F50">
              <w:t>100.00%</w:t>
            </w:r>
          </w:p>
        </w:tc>
        <w:tc>
          <w:tcPr>
            <w:tcW w:w="572" w:type="pct"/>
            <w:shd w:val="clear" w:color="auto" w:fill="auto"/>
            <w:vAlign w:val="bottom"/>
          </w:tcPr>
          <w:p w14:paraId="736E9E04" w14:textId="77777777" w:rsidR="000A5970" w:rsidRPr="004C3F50" w:rsidRDefault="000A5970" w:rsidP="00A403FC">
            <w:pPr>
              <w:pStyle w:val="Tabletext"/>
            </w:pPr>
            <w:r w:rsidRPr="004C3F50">
              <w:t>100.00%</w:t>
            </w:r>
          </w:p>
        </w:tc>
      </w:tr>
      <w:tr w:rsidR="00882C3A" w:rsidRPr="00882C3A" w14:paraId="48070C9E" w14:textId="77777777" w:rsidTr="00882C3A">
        <w:trPr>
          <w:trHeight w:val="300"/>
        </w:trPr>
        <w:tc>
          <w:tcPr>
            <w:tcW w:w="2512" w:type="pct"/>
            <w:shd w:val="clear" w:color="auto" w:fill="auto"/>
            <w:vAlign w:val="bottom"/>
          </w:tcPr>
          <w:p w14:paraId="211ECF6F" w14:textId="77777777" w:rsidR="000A5970" w:rsidRPr="004C3F50" w:rsidRDefault="000A5970" w:rsidP="00A403FC">
            <w:pPr>
              <w:pStyle w:val="Tabletext"/>
            </w:pPr>
            <w:r w:rsidRPr="004C3F50">
              <w:rPr>
                <w:bCs/>
              </w:rPr>
              <w:t>Total Patient count 2014-15</w:t>
            </w:r>
          </w:p>
        </w:tc>
        <w:tc>
          <w:tcPr>
            <w:tcW w:w="714" w:type="pct"/>
            <w:shd w:val="clear" w:color="auto" w:fill="auto"/>
            <w:vAlign w:val="bottom"/>
          </w:tcPr>
          <w:p w14:paraId="3608A114" w14:textId="77777777" w:rsidR="000A5970" w:rsidRPr="004C3F50" w:rsidRDefault="000A5970" w:rsidP="00A403FC">
            <w:pPr>
              <w:pStyle w:val="Tabletext"/>
            </w:pPr>
            <w:r w:rsidRPr="004C3F50">
              <w:t>6,800</w:t>
            </w:r>
          </w:p>
        </w:tc>
        <w:tc>
          <w:tcPr>
            <w:tcW w:w="628" w:type="pct"/>
            <w:shd w:val="clear" w:color="auto" w:fill="auto"/>
            <w:vAlign w:val="bottom"/>
          </w:tcPr>
          <w:p w14:paraId="0418483F" w14:textId="77777777" w:rsidR="000A5970" w:rsidRPr="004C3F50" w:rsidRDefault="000A5970" w:rsidP="00A403FC">
            <w:pPr>
              <w:pStyle w:val="Tabletext"/>
            </w:pPr>
            <w:r w:rsidRPr="004C3F50">
              <w:t>1,728</w:t>
            </w:r>
          </w:p>
        </w:tc>
        <w:tc>
          <w:tcPr>
            <w:tcW w:w="574" w:type="pct"/>
            <w:shd w:val="clear" w:color="auto" w:fill="auto"/>
            <w:vAlign w:val="bottom"/>
          </w:tcPr>
          <w:p w14:paraId="32985368" w14:textId="77777777" w:rsidR="000A5970" w:rsidRPr="004C3F50" w:rsidRDefault="000A5970" w:rsidP="00A403FC">
            <w:pPr>
              <w:pStyle w:val="Tabletext"/>
            </w:pPr>
            <w:r w:rsidRPr="004C3F50">
              <w:t>5</w:t>
            </w:r>
          </w:p>
        </w:tc>
        <w:tc>
          <w:tcPr>
            <w:tcW w:w="572" w:type="pct"/>
            <w:shd w:val="clear" w:color="auto" w:fill="auto"/>
            <w:vAlign w:val="bottom"/>
          </w:tcPr>
          <w:p w14:paraId="18C4914E" w14:textId="77777777" w:rsidR="000A5970" w:rsidRPr="004C3F50" w:rsidRDefault="000A5970" w:rsidP="00A403FC">
            <w:pPr>
              <w:pStyle w:val="Tabletext"/>
            </w:pPr>
            <w:r w:rsidRPr="004C3F50">
              <w:t>6</w:t>
            </w:r>
          </w:p>
        </w:tc>
      </w:tr>
      <w:tr w:rsidR="00882C3A" w:rsidRPr="00882C3A" w14:paraId="01B2A3EA" w14:textId="77777777" w:rsidTr="00882C3A">
        <w:trPr>
          <w:trHeight w:val="300"/>
        </w:trPr>
        <w:tc>
          <w:tcPr>
            <w:tcW w:w="2512" w:type="pct"/>
            <w:shd w:val="clear" w:color="auto" w:fill="auto"/>
            <w:vAlign w:val="bottom"/>
          </w:tcPr>
          <w:p w14:paraId="517BD47A" w14:textId="77777777" w:rsidR="000A5970" w:rsidRPr="004C3F50" w:rsidRDefault="000A5970" w:rsidP="00A403FC">
            <w:pPr>
              <w:pStyle w:val="Tabletext"/>
            </w:pPr>
            <w:r w:rsidRPr="004C3F50">
              <w:rPr>
                <w:bCs/>
              </w:rPr>
              <w:t>Total provider count 2014-15</w:t>
            </w:r>
          </w:p>
        </w:tc>
        <w:tc>
          <w:tcPr>
            <w:tcW w:w="714" w:type="pct"/>
            <w:shd w:val="clear" w:color="auto" w:fill="auto"/>
            <w:vAlign w:val="bottom"/>
          </w:tcPr>
          <w:p w14:paraId="16932650" w14:textId="77777777" w:rsidR="000A5970" w:rsidRPr="004C3F50" w:rsidRDefault="000A5970" w:rsidP="00A403FC">
            <w:pPr>
              <w:pStyle w:val="Tabletext"/>
            </w:pPr>
            <w:r w:rsidRPr="004C3F50">
              <w:t>48</w:t>
            </w:r>
          </w:p>
        </w:tc>
        <w:tc>
          <w:tcPr>
            <w:tcW w:w="628" w:type="pct"/>
            <w:shd w:val="clear" w:color="auto" w:fill="auto"/>
            <w:vAlign w:val="bottom"/>
          </w:tcPr>
          <w:p w14:paraId="2631844F" w14:textId="77777777" w:rsidR="000A5970" w:rsidRPr="004C3F50" w:rsidRDefault="000A5970" w:rsidP="00A403FC">
            <w:pPr>
              <w:pStyle w:val="Tabletext"/>
            </w:pPr>
            <w:r w:rsidRPr="004C3F50">
              <w:t>171</w:t>
            </w:r>
          </w:p>
        </w:tc>
        <w:tc>
          <w:tcPr>
            <w:tcW w:w="574" w:type="pct"/>
            <w:shd w:val="clear" w:color="auto" w:fill="auto"/>
            <w:vAlign w:val="bottom"/>
          </w:tcPr>
          <w:p w14:paraId="54AD9BD8" w14:textId="77777777" w:rsidR="000A5970" w:rsidRPr="004C3F50" w:rsidRDefault="000A5970" w:rsidP="00A403FC">
            <w:pPr>
              <w:pStyle w:val="Tabletext"/>
            </w:pPr>
            <w:r w:rsidRPr="004C3F50">
              <w:t>4</w:t>
            </w:r>
          </w:p>
        </w:tc>
        <w:tc>
          <w:tcPr>
            <w:tcW w:w="572" w:type="pct"/>
            <w:shd w:val="clear" w:color="auto" w:fill="auto"/>
            <w:vAlign w:val="bottom"/>
          </w:tcPr>
          <w:p w14:paraId="2340A2CF" w14:textId="77777777" w:rsidR="000A5970" w:rsidRPr="004C3F50" w:rsidRDefault="000A5970" w:rsidP="00A403FC">
            <w:pPr>
              <w:pStyle w:val="Tabletext"/>
            </w:pPr>
            <w:r w:rsidRPr="004C3F50">
              <w:t>4</w:t>
            </w:r>
          </w:p>
        </w:tc>
      </w:tr>
      <w:tr w:rsidR="00882C3A" w:rsidRPr="00882C3A" w14:paraId="0679BCEB" w14:textId="77777777" w:rsidTr="00882C3A">
        <w:trPr>
          <w:trHeight w:val="300"/>
        </w:trPr>
        <w:tc>
          <w:tcPr>
            <w:tcW w:w="2512" w:type="pct"/>
            <w:shd w:val="clear" w:color="auto" w:fill="auto"/>
            <w:vAlign w:val="bottom"/>
          </w:tcPr>
          <w:p w14:paraId="3D46EAC6" w14:textId="77777777" w:rsidR="000A5970" w:rsidRPr="004C3F50" w:rsidRDefault="000A5970" w:rsidP="00A403FC">
            <w:pPr>
              <w:pStyle w:val="Tabletext"/>
            </w:pPr>
            <w:r w:rsidRPr="007D1351">
              <w:rPr>
                <w:bCs/>
              </w:rPr>
              <w:t>Benefits Change (%) from 2009-10 to 2014-15</w:t>
            </w:r>
          </w:p>
        </w:tc>
        <w:tc>
          <w:tcPr>
            <w:tcW w:w="714" w:type="pct"/>
            <w:shd w:val="clear" w:color="auto" w:fill="auto"/>
            <w:vAlign w:val="bottom"/>
          </w:tcPr>
          <w:p w14:paraId="64A9928F" w14:textId="77777777" w:rsidR="000A5970" w:rsidRPr="004C3F50" w:rsidRDefault="000A5970" w:rsidP="00A403FC">
            <w:pPr>
              <w:pStyle w:val="Tabletext"/>
            </w:pPr>
            <w:r w:rsidRPr="004C3F50">
              <w:t>33.00%</w:t>
            </w:r>
          </w:p>
        </w:tc>
        <w:tc>
          <w:tcPr>
            <w:tcW w:w="628" w:type="pct"/>
            <w:shd w:val="clear" w:color="auto" w:fill="auto"/>
            <w:vAlign w:val="bottom"/>
          </w:tcPr>
          <w:p w14:paraId="5868669E" w14:textId="77777777" w:rsidR="000A5970" w:rsidRPr="004C3F50" w:rsidRDefault="000A5970" w:rsidP="00A403FC">
            <w:pPr>
              <w:pStyle w:val="Tabletext"/>
            </w:pPr>
            <w:r w:rsidRPr="004C3F50">
              <w:t>56.00%</w:t>
            </w:r>
          </w:p>
        </w:tc>
        <w:tc>
          <w:tcPr>
            <w:tcW w:w="574" w:type="pct"/>
            <w:shd w:val="clear" w:color="auto" w:fill="auto"/>
            <w:vAlign w:val="bottom"/>
          </w:tcPr>
          <w:p w14:paraId="3835A01A" w14:textId="77777777" w:rsidR="000A5970" w:rsidRPr="004C3F50" w:rsidRDefault="000A5970" w:rsidP="00A403FC">
            <w:pPr>
              <w:pStyle w:val="Tabletext"/>
            </w:pPr>
            <w:r w:rsidRPr="004C3F50">
              <w:t>-74.00%</w:t>
            </w:r>
          </w:p>
        </w:tc>
        <w:tc>
          <w:tcPr>
            <w:tcW w:w="572" w:type="pct"/>
            <w:shd w:val="clear" w:color="auto" w:fill="auto"/>
            <w:vAlign w:val="bottom"/>
          </w:tcPr>
          <w:p w14:paraId="7C4BE414" w14:textId="77777777" w:rsidR="000A5970" w:rsidRPr="004C3F50" w:rsidRDefault="000A5970" w:rsidP="00A403FC">
            <w:pPr>
              <w:pStyle w:val="Tabletext"/>
            </w:pPr>
            <w:r w:rsidRPr="004C3F50">
              <w:t>108.00%</w:t>
            </w:r>
          </w:p>
        </w:tc>
      </w:tr>
      <w:tr w:rsidR="00882C3A" w:rsidRPr="00882C3A" w14:paraId="2048C64A" w14:textId="77777777" w:rsidTr="00882C3A">
        <w:trPr>
          <w:trHeight w:val="300"/>
        </w:trPr>
        <w:tc>
          <w:tcPr>
            <w:tcW w:w="2512" w:type="pct"/>
            <w:shd w:val="clear" w:color="auto" w:fill="auto"/>
            <w:vAlign w:val="bottom"/>
          </w:tcPr>
          <w:p w14:paraId="07513B59" w14:textId="77777777" w:rsidR="000A5970" w:rsidRPr="004C3F50" w:rsidRDefault="000A5970" w:rsidP="00A403FC">
            <w:pPr>
              <w:pStyle w:val="Tabletext"/>
            </w:pPr>
            <w:r w:rsidRPr="004C3F50">
              <w:rPr>
                <w:bCs/>
              </w:rPr>
              <w:t>Service Change (%) from 2009-10 to 2014-15</w:t>
            </w:r>
          </w:p>
        </w:tc>
        <w:tc>
          <w:tcPr>
            <w:tcW w:w="714" w:type="pct"/>
            <w:shd w:val="clear" w:color="auto" w:fill="auto"/>
            <w:vAlign w:val="bottom"/>
          </w:tcPr>
          <w:p w14:paraId="525E6CBE" w14:textId="77777777" w:rsidR="000A5970" w:rsidRPr="004C3F50" w:rsidRDefault="000A5970" w:rsidP="00A403FC">
            <w:pPr>
              <w:pStyle w:val="Tabletext"/>
            </w:pPr>
            <w:r w:rsidRPr="004C3F50">
              <w:t>27.00%</w:t>
            </w:r>
          </w:p>
        </w:tc>
        <w:tc>
          <w:tcPr>
            <w:tcW w:w="628" w:type="pct"/>
            <w:shd w:val="clear" w:color="auto" w:fill="auto"/>
            <w:vAlign w:val="bottom"/>
          </w:tcPr>
          <w:p w14:paraId="0B7EA3B2" w14:textId="77777777" w:rsidR="000A5970" w:rsidRPr="004C3F50" w:rsidRDefault="000A5970" w:rsidP="00A403FC">
            <w:pPr>
              <w:pStyle w:val="Tabletext"/>
            </w:pPr>
            <w:r w:rsidRPr="004C3F50">
              <w:t>48.00%</w:t>
            </w:r>
          </w:p>
        </w:tc>
        <w:tc>
          <w:tcPr>
            <w:tcW w:w="574" w:type="pct"/>
            <w:shd w:val="clear" w:color="auto" w:fill="auto"/>
            <w:vAlign w:val="bottom"/>
          </w:tcPr>
          <w:p w14:paraId="145AA202" w14:textId="77777777" w:rsidR="000A5970" w:rsidRPr="004C3F50" w:rsidRDefault="000A5970" w:rsidP="00A403FC">
            <w:pPr>
              <w:pStyle w:val="Tabletext"/>
            </w:pPr>
            <w:r w:rsidRPr="004C3F50">
              <w:t>-76.00%</w:t>
            </w:r>
          </w:p>
        </w:tc>
        <w:tc>
          <w:tcPr>
            <w:tcW w:w="572" w:type="pct"/>
            <w:shd w:val="clear" w:color="auto" w:fill="auto"/>
            <w:vAlign w:val="bottom"/>
          </w:tcPr>
          <w:p w14:paraId="7405DEFF" w14:textId="77777777" w:rsidR="000A5970" w:rsidRPr="004C3F50" w:rsidRDefault="000A5970" w:rsidP="00A403FC">
            <w:pPr>
              <w:pStyle w:val="Tabletext"/>
            </w:pPr>
            <w:r w:rsidRPr="004C3F50">
              <w:t>100.00%</w:t>
            </w:r>
          </w:p>
        </w:tc>
      </w:tr>
    </w:tbl>
    <w:p w14:paraId="22EBBCDB" w14:textId="77777777" w:rsidR="005F3DE4" w:rsidRPr="00DA5B19" w:rsidRDefault="005F3DE4" w:rsidP="00DA5B19">
      <w:pPr>
        <w:pStyle w:val="TableUnderLast"/>
      </w:pPr>
      <w:bookmarkStart w:id="203" w:name="_Toc452990640"/>
      <w:r w:rsidRPr="00DA5B19">
        <w:t>Unpublished data (Department of Health)</w:t>
      </w:r>
    </w:p>
    <w:p w14:paraId="48B8EB55" w14:textId="77777777" w:rsidR="000A5970" w:rsidRPr="0029209E" w:rsidRDefault="000A5970" w:rsidP="00FD72EF">
      <w:pPr>
        <w:pStyle w:val="Heading3"/>
      </w:pPr>
      <w:r>
        <w:lastRenderedPageBreak/>
        <w:t>Discussion and Recommendations</w:t>
      </w:r>
      <w:bookmarkEnd w:id="203"/>
    </w:p>
    <w:p w14:paraId="79290A8B" w14:textId="77777777" w:rsidR="000A5970" w:rsidRPr="000D168E" w:rsidRDefault="000A5970" w:rsidP="00F56E64">
      <w:r w:rsidRPr="000D168E">
        <w:t xml:space="preserve">Members agreed that the existing MBS paediatric sleep study item descriptors reflect current clinical practice. In particular, members suggested that it remains appropriate to confine MBS funded testing to attended level one studies. Members agreed that the proposed changes to the principal adult items (12203 and 12250) </w:t>
      </w:r>
      <w:r>
        <w:t>are not relevant to</w:t>
      </w:r>
      <w:r w:rsidRPr="000D168E">
        <w:t xml:space="preserve"> paediatric practice.</w:t>
      </w:r>
    </w:p>
    <w:p w14:paraId="36868190" w14:textId="77777777" w:rsidR="000A5970" w:rsidRPr="000D168E" w:rsidRDefault="000A5970" w:rsidP="00F56E64">
      <w:r w:rsidRPr="000D168E">
        <w:t>A key concern for providers of paediatric sleep studies is the capacity of current laboratories to meet growing clinical need.</w:t>
      </w:r>
      <w:r w:rsidR="00A403FC">
        <w:t xml:space="preserve"> </w:t>
      </w:r>
      <w:r w:rsidRPr="000D168E">
        <w:t>Most paediatric sleep studies are performed within public sector childrens’ hospitals and capacity constraints mean that the volume of testing has not increased significantly over time. Members noted that paediatric sleep studies are more labour intensive than adult studies and that staffing requirements limit the number of paediatric studies which can be undertaken. It was acknowledged that the additional staffing requirements relate to salaried staff, and in particular nursing staff, rather than a shortfall in paediatric respiratory physicians.</w:t>
      </w:r>
    </w:p>
    <w:p w14:paraId="61254FF2" w14:textId="77777777" w:rsidR="000A5970" w:rsidRPr="000D168E" w:rsidRDefault="000A5970" w:rsidP="00F56E64">
      <w:r w:rsidRPr="000D168E">
        <w:t>Members discussed whether the current age ranges specified in item descriptors remain clinically appropriate.</w:t>
      </w:r>
      <w:r w:rsidR="00A403FC">
        <w:t xml:space="preserve"> </w:t>
      </w:r>
      <w:r w:rsidRPr="000D168E">
        <w:t>Age is an important factor in planning and prioritising paediatric patients for sleep studies. Younger children particularly under four year olds,</w:t>
      </w:r>
      <w:r>
        <w:t xml:space="preserve"> </w:t>
      </w:r>
      <w:r w:rsidRPr="000D168E">
        <w:t>may require higher staffing ratios compared to older (although older children with complex medical conditions also frequently require higher staffing ratios). It has been proposed by some paediatric sleep physicians that the current two tier system of MBS fees and rebates be replaced with a three tier system (age 0 to 6, 6 to 12 and 12 to 18). Members noted that changes to accommodate a revision to the paediatric items to reflect the complexity of services by age of patient could be considered within a cost neutral envelope.</w:t>
      </w:r>
      <w:r w:rsidR="00A403FC">
        <w:t xml:space="preserve"> </w:t>
      </w:r>
      <w:r w:rsidRPr="000D168E">
        <w:t xml:space="preserve">For example, the MBS fee for the more straightforward paediatric sleep study items could be reduced, with a commensurate increase to the MBS fee for the more labour intensive items. Overall, the Working Group does not recommend a move away from the current two tiered structure. </w:t>
      </w:r>
    </w:p>
    <w:p w14:paraId="6F78E08F" w14:textId="77777777" w:rsidR="000A5970" w:rsidRPr="000D168E" w:rsidRDefault="000A5970" w:rsidP="00F56E64">
      <w:r w:rsidRPr="000D168E">
        <w:t xml:space="preserve">The role of </w:t>
      </w:r>
      <w:r>
        <w:t>overnight</w:t>
      </w:r>
      <w:r w:rsidRPr="000D168E">
        <w:t xml:space="preserve"> pulse oximetry testin</w:t>
      </w:r>
      <w:r w:rsidR="00FD72EF">
        <w:t>g for children was discussed (l</w:t>
      </w:r>
      <w:r w:rsidRPr="000D168E">
        <w:t xml:space="preserve">evel 4 sleep studies). It was noted that pulse oximetry is commonly used as a tool for triaging long waiting lists for polysomnography. Whilst it is straightforward and usually performed at home after training of a parent, it is prolonged and requires specialist interpretation. It is a useful study when positive as it enables direct referral for surgical intervention (for instance adeno-tonsillectomy) when indicated without the need for attended polysomnography. </w:t>
      </w:r>
      <w:r w:rsidRPr="005B7C0E">
        <w:t>It is also useful in determining safety of oxygen titration in children with oxygen-dependent complex lung disease.</w:t>
      </w:r>
      <w:r>
        <w:t xml:space="preserve"> </w:t>
      </w:r>
      <w:r w:rsidRPr="000D168E">
        <w:t>Members noted that a change to support oximetry would support good access to high value services by shortening waiting lists. The paediatric sleep physician members asked if a change in wording to the criteria for 11503 (complex respiratory function testing) would enabl</w:t>
      </w:r>
      <w:r w:rsidR="00FD72EF">
        <w:t>e such testing to be supported</w:t>
      </w:r>
      <w:r w:rsidRPr="000D168E">
        <w:t>.</w:t>
      </w:r>
      <w:r w:rsidR="00FD72EF">
        <w:t xml:space="preserve"> </w:t>
      </w:r>
      <w:r w:rsidRPr="000D168E">
        <w:t>Other members questioned whether this proposal was relevant to 11503 given that it is not proposed that the pulse oximetry be performed in a respiratory laboratory.</w:t>
      </w:r>
      <w:r>
        <w:t xml:space="preserve"> </w:t>
      </w:r>
      <w:r w:rsidRPr="000D168E">
        <w:t xml:space="preserve">The Paediatric Sleep Studies Working Group and the </w:t>
      </w:r>
      <w:r w:rsidR="007B78B9">
        <w:t>Committee</w:t>
      </w:r>
      <w:r w:rsidRPr="000D168E">
        <w:t xml:space="preserve"> recommend that merits of </w:t>
      </w:r>
      <w:r>
        <w:t>overnight</w:t>
      </w:r>
      <w:r w:rsidRPr="000D168E">
        <w:t xml:space="preserve"> pulse oximetry (Level 4 sleep studies) in paediatrics should evaluated by MSAC. The </w:t>
      </w:r>
      <w:r w:rsidR="007B78B9">
        <w:t>Committee</w:t>
      </w:r>
      <w:r w:rsidRPr="000D168E">
        <w:t xml:space="preserve"> do not recommend that pulse oximetry in children be covered under item 11503.</w:t>
      </w:r>
    </w:p>
    <w:p w14:paraId="0B4BD280" w14:textId="77777777" w:rsidR="000A5970" w:rsidRPr="000D168E" w:rsidRDefault="000A5970" w:rsidP="00F56E64">
      <w:r w:rsidRPr="000D168E">
        <w:lastRenderedPageBreak/>
        <w:t>Members considered whether home based sleep studies for patients in the 12-18 age group were appropriate.</w:t>
      </w:r>
      <w:r w:rsidR="00A403FC">
        <w:t xml:space="preserve"> </w:t>
      </w:r>
      <w:r w:rsidRPr="000D168E">
        <w:t>However, they agreed that the complexities of the clinical conditions being diagnosed and treated rendered home based studies for this group unsuitable for the majority of cases. The Working Group recommends that at the current time, the current age threshold</w:t>
      </w:r>
      <w:r w:rsidR="00FD72EF">
        <w:t>s for home based sleep studies c</w:t>
      </w:r>
      <w:r w:rsidRPr="000D168E">
        <w:t>ontinue.</w:t>
      </w:r>
    </w:p>
    <w:p w14:paraId="76D73869" w14:textId="77777777" w:rsidR="00E52598" w:rsidRDefault="000A5970" w:rsidP="00F56E64">
      <w:r w:rsidRPr="000D168E">
        <w:t xml:space="preserve">The Paediatric Sleep Studies Working Group supports the proposal that vigilance testing should be MBS funded, noting that it has a role in the assessment of </w:t>
      </w:r>
      <w:r w:rsidRPr="00154AFF">
        <w:t>children as well as adults. The role of APAP titration in children/adolescents should also be assessed as part of the proposal for support of that testing</w:t>
      </w:r>
      <w:r w:rsidRPr="000D168E">
        <w:t>.</w:t>
      </w:r>
    </w:p>
    <w:p w14:paraId="399C1206" w14:textId="77777777" w:rsidR="000A5970" w:rsidRDefault="00132F3A" w:rsidP="00127B0E">
      <w:pPr>
        <w:pStyle w:val="Rec"/>
        <w:numPr>
          <w:ilvl w:val="0"/>
          <w:numId w:val="20"/>
        </w:numPr>
      </w:pPr>
      <w:bookmarkStart w:id="204" w:name="_Toc452990641"/>
      <w:bookmarkStart w:id="205" w:name="_Toc458510004"/>
      <w:bookmarkStart w:id="206" w:name="_Toc458768472"/>
      <w:bookmarkStart w:id="207" w:name="_Toc458768652"/>
      <w:bookmarkStart w:id="208" w:name="_Toc478721513"/>
      <w:r>
        <w:t xml:space="preserve">Adult sleep </w:t>
      </w:r>
      <w:r w:rsidR="000A5970">
        <w:t>study</w:t>
      </w:r>
      <w:r w:rsidR="000A5970" w:rsidRPr="000D168E">
        <w:t xml:space="preserve"> </w:t>
      </w:r>
      <w:r w:rsidR="000A5970" w:rsidRPr="0075170C">
        <w:t>item</w:t>
      </w:r>
      <w:r w:rsidR="000A5970" w:rsidRPr="000D168E">
        <w:t xml:space="preserve"> descriptors and explanatory notes</w:t>
      </w:r>
      <w:bookmarkEnd w:id="204"/>
      <w:bookmarkEnd w:id="205"/>
      <w:bookmarkEnd w:id="206"/>
      <w:bookmarkEnd w:id="207"/>
      <w:bookmarkEnd w:id="208"/>
      <w:r w:rsidR="000A5970" w:rsidRPr="000D168E">
        <w:t xml:space="preserve"> </w:t>
      </w:r>
    </w:p>
    <w:p w14:paraId="336C5004" w14:textId="77777777" w:rsidR="00E52598" w:rsidRDefault="00E52598" w:rsidP="0099709F">
      <w:r>
        <w:t>The Committee has p</w:t>
      </w:r>
      <w:r w:rsidRPr="00E52598">
        <w:t xml:space="preserve">roposed </w:t>
      </w:r>
      <w:r>
        <w:t xml:space="preserve">the following </w:t>
      </w:r>
      <w:r w:rsidRPr="00E52598">
        <w:t>changes to the descriptor for attended sleep study – diagnostic – Item 12203</w:t>
      </w:r>
      <w:r w:rsidR="00300985">
        <w:t>:</w:t>
      </w:r>
    </w:p>
    <w:p w14:paraId="5D466924" w14:textId="77777777" w:rsidR="009936F3" w:rsidRDefault="009936F3" w:rsidP="00E52598">
      <w:pPr>
        <w:pBdr>
          <w:top w:val="single" w:sz="4" w:space="1" w:color="984806"/>
        </w:pBdr>
        <w:rPr>
          <w:b/>
          <w:bCs/>
          <w:szCs w:val="22"/>
          <w:lang w:val="en-US"/>
        </w:rPr>
      </w:pPr>
      <w:bookmarkStart w:id="209" w:name="_Toc457450668"/>
      <w:r w:rsidRPr="004C3F50">
        <w:rPr>
          <w:b/>
          <w:bCs/>
          <w:szCs w:val="22"/>
          <w:lang w:val="en-US"/>
        </w:rPr>
        <w:t>Current Item Descriptor – Item 12203</w:t>
      </w:r>
    </w:p>
    <w:p w14:paraId="713C730D" w14:textId="77777777" w:rsidR="00E52598" w:rsidRPr="00882C3A" w:rsidRDefault="00E52598" w:rsidP="00E52598">
      <w:r w:rsidRPr="00882C3A">
        <w:t>Overnight investigation for sleep apnoea for a period of at least 8 hours duration, for an adult aged 18 years and over where:</w:t>
      </w:r>
    </w:p>
    <w:p w14:paraId="3716A5EC" w14:textId="77777777" w:rsidR="00E52598" w:rsidRPr="00882C3A" w:rsidRDefault="00E52598" w:rsidP="00127B0E">
      <w:pPr>
        <w:pStyle w:val="NormalBulleteda"/>
        <w:numPr>
          <w:ilvl w:val="0"/>
          <w:numId w:val="29"/>
        </w:numPr>
        <w:ind w:left="426" w:hanging="426"/>
      </w:pPr>
      <w:r w:rsidRPr="00882C3A">
        <w:t>continuous monitoring of oxygen saturation and breathing using a multi-channel polygraph, and recording of EEG, EOG, submental EMG, anterior tibial EMG, respiratory movement, airflow, oxygen saturation and ECG are performed;</w:t>
      </w:r>
    </w:p>
    <w:p w14:paraId="7AE80D4C" w14:textId="77777777" w:rsidR="00E52598" w:rsidRPr="00882C3A" w:rsidRDefault="00E52598" w:rsidP="00127B0E">
      <w:pPr>
        <w:pStyle w:val="NormalBulleteda"/>
        <w:numPr>
          <w:ilvl w:val="0"/>
          <w:numId w:val="29"/>
        </w:numPr>
        <w:ind w:left="426" w:hanging="426"/>
      </w:pPr>
      <w:r w:rsidRPr="00882C3A">
        <w:t>a technician is in continuous attendance under the supervision of a qualified sleep medicine practitioner;</w:t>
      </w:r>
    </w:p>
    <w:p w14:paraId="33531026" w14:textId="77777777" w:rsidR="00E52598" w:rsidRPr="00882C3A" w:rsidRDefault="00E52598" w:rsidP="00127B0E">
      <w:pPr>
        <w:pStyle w:val="NormalBulleteda"/>
        <w:numPr>
          <w:ilvl w:val="0"/>
          <w:numId w:val="29"/>
        </w:numPr>
        <w:ind w:left="426" w:hanging="426"/>
      </w:pPr>
      <w:r w:rsidRPr="00882C3A">
        <w:t>the patient is referred by a medical practitioner;</w:t>
      </w:r>
    </w:p>
    <w:p w14:paraId="149F5F3E" w14:textId="77777777" w:rsidR="00E52598" w:rsidRPr="00882C3A" w:rsidRDefault="00E52598" w:rsidP="00127B0E">
      <w:pPr>
        <w:pStyle w:val="NormalBulleteda"/>
        <w:numPr>
          <w:ilvl w:val="0"/>
          <w:numId w:val="29"/>
        </w:numPr>
        <w:ind w:left="426" w:hanging="426"/>
      </w:pPr>
      <w:r w:rsidRPr="00882C3A">
        <w:t>the necessity for the investigation is determined by a qualified adult sleep medicine practitioner prior to the investigation;</w:t>
      </w:r>
    </w:p>
    <w:p w14:paraId="41159468" w14:textId="77777777" w:rsidR="00E52598" w:rsidRPr="00882C3A" w:rsidRDefault="00E52598" w:rsidP="00127B0E">
      <w:pPr>
        <w:pStyle w:val="NormalBulleteda"/>
        <w:numPr>
          <w:ilvl w:val="0"/>
          <w:numId w:val="29"/>
        </w:numPr>
        <w:ind w:left="426" w:hanging="426"/>
      </w:pPr>
      <w:r w:rsidRPr="00882C3A">
        <w:t xml:space="preserve">polygraphic records are analysed (for assessment of sleep stage, arousals, respiratory events and assessment of clinically significant alterations in heart rate and limb movement) with manual scoring, or manual correction of computerised scoring in </w:t>
      </w:r>
      <w:r>
        <w:t>e</w:t>
      </w:r>
      <w:r w:rsidRPr="00882C3A">
        <w:t>pochs of not more than 1 minute, and stored for interpretation and preparation of report ; and</w:t>
      </w:r>
    </w:p>
    <w:p w14:paraId="73EB2D2C" w14:textId="77777777" w:rsidR="00E52598" w:rsidRPr="00882C3A" w:rsidRDefault="00E52598" w:rsidP="00127B0E">
      <w:pPr>
        <w:pStyle w:val="NormalBulleteda"/>
        <w:numPr>
          <w:ilvl w:val="0"/>
          <w:numId w:val="29"/>
        </w:numPr>
        <w:ind w:left="426" w:hanging="426"/>
      </w:pPr>
      <w:r w:rsidRPr="00882C3A">
        <w:t>interpretation and report are provided by a qualified adult sleep medicine practitioner based on reviewing the direct original recording of polygraphic data from the patient</w:t>
      </w:r>
    </w:p>
    <w:p w14:paraId="2030F78F" w14:textId="77777777" w:rsidR="00E52598" w:rsidRPr="00882C3A" w:rsidRDefault="00E52598" w:rsidP="00E52598">
      <w:pPr>
        <w:pStyle w:val="Bullet2"/>
      </w:pPr>
      <w:r w:rsidRPr="00882C3A">
        <w:t>payable only in relation to each of the first 3 occasions the investigation is performed in any 12 month period.</w:t>
      </w:r>
    </w:p>
    <w:p w14:paraId="1195E51F" w14:textId="77777777" w:rsidR="00E52598" w:rsidRPr="00882C3A" w:rsidRDefault="00E52598" w:rsidP="00E52598">
      <w:pPr>
        <w:widowControl w:val="0"/>
        <w:autoSpaceDE w:val="0"/>
        <w:autoSpaceDN w:val="0"/>
        <w:adjustRightInd w:val="0"/>
        <w:spacing w:before="40" w:after="40" w:line="288" w:lineRule="auto"/>
        <w:rPr>
          <w:bCs/>
          <w:szCs w:val="22"/>
        </w:rPr>
      </w:pPr>
      <w:r w:rsidRPr="00882C3A">
        <w:rPr>
          <w:bCs/>
          <w:i/>
          <w:szCs w:val="22"/>
        </w:rPr>
        <w:t>(See para D1.18 of explanatory notes to this Category)</w:t>
      </w:r>
    </w:p>
    <w:p w14:paraId="3E838445" w14:textId="77777777" w:rsidR="00E52598" w:rsidRDefault="00E52598" w:rsidP="00E52598">
      <w:r w:rsidRPr="00882C3A">
        <w:rPr>
          <w:b/>
        </w:rPr>
        <w:t xml:space="preserve">Fee: </w:t>
      </w:r>
      <w:r w:rsidRPr="00882C3A">
        <w:t>$588.00</w:t>
      </w:r>
    </w:p>
    <w:p w14:paraId="567612C6" w14:textId="77777777" w:rsidR="00E52598" w:rsidRDefault="00E52598" w:rsidP="00E52598">
      <w:r w:rsidRPr="00882C3A">
        <w:rPr>
          <w:b/>
        </w:rPr>
        <w:t xml:space="preserve">Benefit: </w:t>
      </w:r>
      <w:r w:rsidRPr="00882C3A">
        <w:t>75% = $441.00</w:t>
      </w:r>
      <w:r>
        <w:t xml:space="preserve">; </w:t>
      </w:r>
      <w:r w:rsidRPr="00882C3A">
        <w:t>85% = $509.60</w:t>
      </w:r>
    </w:p>
    <w:p w14:paraId="0ABB0941" w14:textId="77777777" w:rsidR="00E52598" w:rsidRDefault="00E52598" w:rsidP="00E52598">
      <w:pPr>
        <w:rPr>
          <w:b/>
          <w:lang w:val="en-US"/>
        </w:rPr>
      </w:pPr>
      <w:r w:rsidRPr="00882C3A">
        <w:rPr>
          <w:b/>
          <w:lang w:val="en-US"/>
        </w:rPr>
        <w:t xml:space="preserve">Proposed new Item Descriptor </w:t>
      </w:r>
      <w:r>
        <w:rPr>
          <w:b/>
          <w:lang w:val="en-US"/>
        </w:rPr>
        <w:t>–</w:t>
      </w:r>
      <w:r w:rsidRPr="00882C3A">
        <w:rPr>
          <w:b/>
          <w:lang w:val="en-US"/>
        </w:rPr>
        <w:t xml:space="preserve"> 12203</w:t>
      </w:r>
    </w:p>
    <w:p w14:paraId="445EB57D" w14:textId="77777777" w:rsidR="00E52598" w:rsidRPr="004C3F50" w:rsidRDefault="00E52598" w:rsidP="006618D2">
      <w:r w:rsidRPr="004C3F50">
        <w:lastRenderedPageBreak/>
        <w:t>Overnight diagnostic assessment of sleep for a period of at least 8 hours duration in an adult aged 18 years and over to confirm diagnosis of a sleep disorder where:</w:t>
      </w:r>
    </w:p>
    <w:p w14:paraId="00656311" w14:textId="77777777" w:rsidR="00E52598" w:rsidRPr="004C3F50" w:rsidRDefault="00E52598" w:rsidP="00127B0E">
      <w:pPr>
        <w:pStyle w:val="NormalBulleteda"/>
        <w:numPr>
          <w:ilvl w:val="0"/>
          <w:numId w:val="31"/>
        </w:numPr>
        <w:ind w:left="426" w:hanging="426"/>
      </w:pPr>
      <w:r w:rsidRPr="00287716">
        <w:t>the patient has been referred by a medical practitioner to a qualified adult sleep medicine practitioner</w:t>
      </w:r>
      <w:r w:rsidRPr="004C3F50">
        <w:t xml:space="preserve"> or a consultant respiratory physician who has determined that the patient has a high probability for symptomatic, moderate to severe obstructive sleep apnoea using the following screening tools:</w:t>
      </w:r>
    </w:p>
    <w:p w14:paraId="4C9630CF" w14:textId="77777777" w:rsidR="00E52598" w:rsidRPr="00287716" w:rsidRDefault="00287716" w:rsidP="00287716">
      <w:pPr>
        <w:pStyle w:val="NormalBulletedrom"/>
      </w:pPr>
      <w:r>
        <w:t>(i)</w:t>
      </w:r>
      <w:r>
        <w:tab/>
      </w:r>
      <w:r w:rsidR="00E52598" w:rsidRPr="00E30324">
        <w:t xml:space="preserve">an </w:t>
      </w:r>
      <w:r w:rsidR="00E52598" w:rsidRPr="00287716">
        <w:t>Epworth Sleepines</w:t>
      </w:r>
      <w:r w:rsidR="005C4637">
        <w:t>s Scale score of 8 or more; AND</w:t>
      </w:r>
    </w:p>
    <w:p w14:paraId="38DB406E" w14:textId="77777777" w:rsidR="00E52598" w:rsidRPr="005C4637" w:rsidRDefault="00EA4658" w:rsidP="00287716">
      <w:pPr>
        <w:pStyle w:val="NormalBulletedrom"/>
      </w:pPr>
      <w:r w:rsidRPr="00287716">
        <w:t>(ii)</w:t>
      </w:r>
      <w:r w:rsidRPr="00287716">
        <w:tab/>
      </w:r>
      <w:r w:rsidR="00E52598" w:rsidRPr="00287716">
        <w:t>one of the following</w:t>
      </w:r>
    </w:p>
    <w:p w14:paraId="4E438BE9" w14:textId="77777777" w:rsidR="00E52598" w:rsidRPr="003105FB" w:rsidRDefault="00E52598" w:rsidP="00127B0E">
      <w:pPr>
        <w:pStyle w:val="ListParagraph"/>
        <w:numPr>
          <w:ilvl w:val="0"/>
          <w:numId w:val="12"/>
        </w:numPr>
        <w:spacing w:before="40" w:after="40"/>
        <w:rPr>
          <w:rFonts w:cs="Arial"/>
          <w:color w:val="000000" w:themeColor="text1"/>
          <w:szCs w:val="22"/>
        </w:rPr>
      </w:pPr>
      <w:r w:rsidRPr="004C3F50">
        <w:rPr>
          <w:rFonts w:cs="Arial"/>
          <w:color w:val="000000" w:themeColor="text1"/>
          <w:szCs w:val="22"/>
        </w:rPr>
        <w:t>a STOP</w:t>
      </w:r>
      <w:r w:rsidRPr="00642519">
        <w:rPr>
          <w:rFonts w:cs="Arial"/>
          <w:color w:val="000000" w:themeColor="text1"/>
          <w:szCs w:val="22"/>
        </w:rPr>
        <w:t>-</w:t>
      </w:r>
      <w:r w:rsidRPr="003105FB">
        <w:rPr>
          <w:rFonts w:cs="Arial"/>
          <w:color w:val="000000" w:themeColor="text1"/>
          <w:szCs w:val="22"/>
        </w:rPr>
        <w:t xml:space="preserve">BANG score of 5 or more; or </w:t>
      </w:r>
    </w:p>
    <w:p w14:paraId="105B3C38" w14:textId="77777777" w:rsidR="00E52598" w:rsidRPr="004C3F50" w:rsidRDefault="00E52598" w:rsidP="00127B0E">
      <w:pPr>
        <w:pStyle w:val="ListParagraph"/>
        <w:numPr>
          <w:ilvl w:val="0"/>
          <w:numId w:val="12"/>
        </w:numPr>
        <w:spacing w:before="40" w:after="40"/>
        <w:rPr>
          <w:rFonts w:cs="Arial"/>
          <w:color w:val="000000" w:themeColor="text1"/>
          <w:szCs w:val="22"/>
        </w:rPr>
      </w:pPr>
      <w:r w:rsidRPr="003105FB">
        <w:rPr>
          <w:rFonts w:cs="Arial"/>
          <w:color w:val="000000" w:themeColor="text1"/>
          <w:szCs w:val="22"/>
        </w:rPr>
        <w:t>an OSA-50 s</w:t>
      </w:r>
      <w:r w:rsidRPr="00642519">
        <w:rPr>
          <w:rFonts w:cs="Arial"/>
          <w:color w:val="000000" w:themeColor="text1"/>
          <w:szCs w:val="22"/>
        </w:rPr>
        <w:t>core</w:t>
      </w:r>
      <w:r w:rsidRPr="004C3F50">
        <w:rPr>
          <w:rFonts w:cs="Arial"/>
          <w:color w:val="000000" w:themeColor="text1"/>
          <w:szCs w:val="22"/>
        </w:rPr>
        <w:t xml:space="preserve"> of 5 or more; or </w:t>
      </w:r>
    </w:p>
    <w:p w14:paraId="1721EA44" w14:textId="77777777" w:rsidR="00E52598" w:rsidRPr="004C3F50" w:rsidRDefault="00E52598" w:rsidP="00127B0E">
      <w:pPr>
        <w:pStyle w:val="ListParagraph"/>
        <w:numPr>
          <w:ilvl w:val="0"/>
          <w:numId w:val="12"/>
        </w:numPr>
        <w:spacing w:before="40" w:after="40"/>
        <w:rPr>
          <w:rFonts w:cs="Arial"/>
          <w:color w:val="000000" w:themeColor="text1"/>
          <w:szCs w:val="22"/>
        </w:rPr>
      </w:pPr>
      <w:r w:rsidRPr="004C3F50">
        <w:rPr>
          <w:rFonts w:cs="Arial"/>
          <w:color w:val="000000" w:themeColor="text1"/>
          <w:szCs w:val="22"/>
        </w:rPr>
        <w:t>a high risk score on the Berlin Questionnaire.</w:t>
      </w:r>
    </w:p>
    <w:p w14:paraId="0B24F5D8" w14:textId="77777777" w:rsidR="00E52598" w:rsidRPr="004C3F50" w:rsidRDefault="00E52598" w:rsidP="00E52598">
      <w:pPr>
        <w:spacing w:before="40" w:after="40"/>
        <w:rPr>
          <w:rFonts w:cs="Arial"/>
          <w:szCs w:val="22"/>
        </w:rPr>
      </w:pPr>
      <w:r w:rsidRPr="004C3F50">
        <w:rPr>
          <w:rFonts w:cs="Arial"/>
          <w:szCs w:val="22"/>
        </w:rPr>
        <w:t xml:space="preserve">OR </w:t>
      </w:r>
    </w:p>
    <w:p w14:paraId="23F8095B" w14:textId="77777777" w:rsidR="00E52598" w:rsidRPr="004C3F50" w:rsidRDefault="00287716" w:rsidP="00287716">
      <w:pPr>
        <w:pStyle w:val="NormalBulleteda"/>
      </w:pPr>
      <w:r>
        <w:t>(b)</w:t>
      </w:r>
      <w:r>
        <w:tab/>
      </w:r>
      <w:r w:rsidR="00E52598" w:rsidRPr="004C3F50">
        <w:t>Following personal attendance,</w:t>
      </w:r>
      <w:r w:rsidR="00E52598" w:rsidRPr="004C3F50">
        <w:rPr>
          <w:color w:val="FF0000"/>
        </w:rPr>
        <w:t xml:space="preserve"> </w:t>
      </w:r>
      <w:r w:rsidR="00E52598" w:rsidRPr="004C3F50">
        <w:t xml:space="preserve">a qualified adult sleep medicine practitioner or a consultant respiratory physician determines that testing to confirm the diagnosis of a sleep disorder is necessary, </w:t>
      </w:r>
    </w:p>
    <w:p w14:paraId="7D8BB023" w14:textId="77777777" w:rsidR="00E52598" w:rsidRPr="004C3F50" w:rsidRDefault="00E52598" w:rsidP="00E52598">
      <w:pPr>
        <w:spacing w:before="40" w:after="40"/>
        <w:rPr>
          <w:rFonts w:cs="Arial"/>
          <w:szCs w:val="22"/>
        </w:rPr>
      </w:pPr>
      <w:r w:rsidRPr="004C3F50">
        <w:rPr>
          <w:rFonts w:cs="Arial"/>
          <w:szCs w:val="22"/>
        </w:rPr>
        <w:t xml:space="preserve">AND </w:t>
      </w:r>
    </w:p>
    <w:p w14:paraId="72F124E0" w14:textId="77777777" w:rsidR="00E52598" w:rsidRPr="004C3F50" w:rsidRDefault="00287716" w:rsidP="00287716">
      <w:pPr>
        <w:pStyle w:val="NormalBulleteda"/>
      </w:pPr>
      <w:r>
        <w:t>(c)</w:t>
      </w:r>
      <w:r>
        <w:tab/>
      </w:r>
      <w:r w:rsidR="00E52598" w:rsidRPr="004C3F50">
        <w:t>the overnight investigation is performed for:</w:t>
      </w:r>
    </w:p>
    <w:p w14:paraId="28209073" w14:textId="77777777" w:rsidR="00E52598" w:rsidRPr="004C3F50" w:rsidRDefault="00287716" w:rsidP="00287716">
      <w:pPr>
        <w:pStyle w:val="NormalBulletedrom"/>
      </w:pPr>
      <w:r>
        <w:t>(iii)</w:t>
      </w:r>
      <w:r>
        <w:tab/>
      </w:r>
      <w:r w:rsidR="00E52598" w:rsidRPr="004C3F50">
        <w:t>suspected obstructive sleep apnoea syndrome where the patient is assessed as not suitable for an unattended sleep study or</w:t>
      </w:r>
    </w:p>
    <w:p w14:paraId="045254FC" w14:textId="77777777" w:rsidR="00E52598" w:rsidRPr="004C3F50" w:rsidRDefault="00287716" w:rsidP="00287716">
      <w:pPr>
        <w:pStyle w:val="NormalBulletedrom"/>
      </w:pPr>
      <w:r>
        <w:t>(iv)</w:t>
      </w:r>
      <w:r>
        <w:tab/>
      </w:r>
      <w:r w:rsidR="00E52598" w:rsidRPr="004C3F50">
        <w:t>suspected central sleep apnoea syndrome; or</w:t>
      </w:r>
    </w:p>
    <w:p w14:paraId="65930CC7" w14:textId="77777777" w:rsidR="00E52598" w:rsidRPr="004C3F50" w:rsidRDefault="00287716" w:rsidP="00287716">
      <w:pPr>
        <w:pStyle w:val="NormalBulletedrom"/>
      </w:pPr>
      <w:r>
        <w:t>(v)</w:t>
      </w:r>
      <w:r>
        <w:tab/>
      </w:r>
      <w:r w:rsidR="00E52598" w:rsidRPr="004C3F50">
        <w:t>suspected sleep hypoventilation syndrome; or</w:t>
      </w:r>
    </w:p>
    <w:p w14:paraId="555E2833" w14:textId="77777777" w:rsidR="00E52598" w:rsidRPr="004C3F50" w:rsidRDefault="00287716" w:rsidP="00287716">
      <w:pPr>
        <w:pStyle w:val="NormalBulletedrom"/>
      </w:pPr>
      <w:r>
        <w:t>(vi)</w:t>
      </w:r>
      <w:r>
        <w:tab/>
      </w:r>
      <w:r w:rsidR="00E52598" w:rsidRPr="004C3F50">
        <w:t>suspected sleep-related breathing disorders in association with non-respiratory co-morbid conditions including heart failure, significant cardiac arrhythmias, neurological disease, acromegaly or hypothyroidism; or</w:t>
      </w:r>
    </w:p>
    <w:p w14:paraId="18391AAD" w14:textId="77777777" w:rsidR="00E52598" w:rsidRPr="004C3F50" w:rsidRDefault="00287716" w:rsidP="00287716">
      <w:pPr>
        <w:pStyle w:val="NormalBulletedrom"/>
      </w:pPr>
      <w:r>
        <w:t>(vii)</w:t>
      </w:r>
      <w:r>
        <w:tab/>
      </w:r>
      <w:r w:rsidR="00E52598" w:rsidRPr="004C3F50">
        <w:t>unexplained hypersomnolence which is not attributed to inadequate sleep hygiene or environmental factors; or</w:t>
      </w:r>
    </w:p>
    <w:p w14:paraId="61C112C5" w14:textId="77777777" w:rsidR="00E52598" w:rsidRPr="004C3F50" w:rsidRDefault="00287716" w:rsidP="00287716">
      <w:pPr>
        <w:pStyle w:val="NormalBulletedrom"/>
      </w:pPr>
      <w:r>
        <w:t>(viii)</w:t>
      </w:r>
      <w:r>
        <w:tab/>
      </w:r>
      <w:r w:rsidR="00E52598" w:rsidRPr="004C3F50">
        <w:t>suspected parasomnia or seizure disorder where clinical diagnosis cannot be established on clinical features alone (including associated atypical features, vigilance behaviours or failure to respond to conventional therapy); or</w:t>
      </w:r>
    </w:p>
    <w:p w14:paraId="46FA0B0C" w14:textId="77777777" w:rsidR="00E52598" w:rsidRPr="004C3F50" w:rsidRDefault="00287716" w:rsidP="00287716">
      <w:pPr>
        <w:pStyle w:val="NormalBulletedrom"/>
      </w:pPr>
      <w:r>
        <w:t>(ix)</w:t>
      </w:r>
      <w:r>
        <w:tab/>
      </w:r>
      <w:r w:rsidR="00E52598" w:rsidRPr="004C3F50">
        <w:t xml:space="preserve">suspected sleep related movement disorder, where the diagnosis of restless legs syndrome is not evident on clinical assessment; </w:t>
      </w:r>
    </w:p>
    <w:p w14:paraId="0186B264" w14:textId="77777777" w:rsidR="00E52598" w:rsidRPr="004C3F50" w:rsidRDefault="00E52598" w:rsidP="00E52598">
      <w:pPr>
        <w:spacing w:before="40" w:after="40"/>
        <w:rPr>
          <w:rFonts w:cs="Arial"/>
          <w:szCs w:val="22"/>
        </w:rPr>
      </w:pPr>
      <w:r w:rsidRPr="004C3F50">
        <w:rPr>
          <w:rFonts w:cs="Arial"/>
          <w:szCs w:val="22"/>
        </w:rPr>
        <w:t xml:space="preserve">AND </w:t>
      </w:r>
    </w:p>
    <w:p w14:paraId="27765071" w14:textId="77777777" w:rsidR="008F3EBB" w:rsidRDefault="008F3EBB" w:rsidP="008F3EBB">
      <w:pPr>
        <w:pStyle w:val="NormalBulleteda"/>
      </w:pPr>
      <w:r w:rsidRPr="008F3EBB">
        <w:t>(d</w:t>
      </w:r>
      <w:r>
        <w:t>)</w:t>
      </w:r>
      <w:r>
        <w:tab/>
      </w:r>
      <w:r w:rsidR="00E52598" w:rsidRPr="004C3F50">
        <w:t xml:space="preserve">a sleep technician is in continuous attendance under the supervision of a qualified sleep medicine practitioner; </w:t>
      </w:r>
    </w:p>
    <w:p w14:paraId="00F8B5AE" w14:textId="77777777" w:rsidR="00E52598" w:rsidRPr="004C3F50" w:rsidRDefault="00E52598" w:rsidP="008F3EBB">
      <w:pPr>
        <w:pStyle w:val="NormalBulleteda"/>
      </w:pPr>
      <w:r w:rsidRPr="004C3F50">
        <w:t>AND</w:t>
      </w:r>
    </w:p>
    <w:p w14:paraId="605E7CC8" w14:textId="77777777" w:rsidR="00E52598" w:rsidRPr="004C3F50" w:rsidRDefault="00287716" w:rsidP="00287716">
      <w:pPr>
        <w:pStyle w:val="NormalBulleteda"/>
      </w:pPr>
      <w:r>
        <w:t>(e)</w:t>
      </w:r>
      <w:r>
        <w:tab/>
      </w:r>
      <w:r w:rsidR="00E52598" w:rsidRPr="004C3F50">
        <w:t>continuous monitoring and recording of the following studies which are to be performed in accordance with current Australasian Sleep Association guidelines for the performance of Type I sleep studies:</w:t>
      </w:r>
    </w:p>
    <w:p w14:paraId="23E5FF6E" w14:textId="77777777" w:rsidR="00E52598" w:rsidRPr="004C3F50" w:rsidRDefault="00E93869" w:rsidP="00E93869">
      <w:pPr>
        <w:pStyle w:val="NormalBulletedrom"/>
      </w:pPr>
      <w:r>
        <w:t>(i)</w:t>
      </w:r>
      <w:r>
        <w:tab/>
      </w:r>
      <w:r w:rsidR="00E52598" w:rsidRPr="004C3F50">
        <w:t>airflow;</w:t>
      </w:r>
    </w:p>
    <w:p w14:paraId="4984E279" w14:textId="77777777" w:rsidR="00E52598" w:rsidRPr="004C3F50" w:rsidRDefault="00E93869" w:rsidP="00E93869">
      <w:pPr>
        <w:pStyle w:val="NormalBulletedrom"/>
      </w:pPr>
      <w:r>
        <w:t>(ii)</w:t>
      </w:r>
      <w:r>
        <w:tab/>
      </w:r>
      <w:r w:rsidR="00E52598" w:rsidRPr="004C3F50">
        <w:t>submental electro-myogram (EMG);</w:t>
      </w:r>
    </w:p>
    <w:p w14:paraId="09F108B0" w14:textId="77777777" w:rsidR="00E52598" w:rsidRPr="004C3F50" w:rsidRDefault="00E93869" w:rsidP="00E93869">
      <w:pPr>
        <w:pStyle w:val="NormalBulletedrom"/>
      </w:pPr>
      <w:r>
        <w:t>(iii)</w:t>
      </w:r>
      <w:r>
        <w:tab/>
      </w:r>
      <w:r w:rsidR="00E52598" w:rsidRPr="004C3F50">
        <w:t>anterior tibial electro-myogram (EMG);</w:t>
      </w:r>
    </w:p>
    <w:p w14:paraId="7EE6FB69" w14:textId="77777777" w:rsidR="00E52598" w:rsidRPr="004C3F50" w:rsidRDefault="00E93869" w:rsidP="00E93869">
      <w:pPr>
        <w:pStyle w:val="NormalBulletedrom"/>
      </w:pPr>
      <w:r>
        <w:t>(iv)</w:t>
      </w:r>
      <w:r>
        <w:tab/>
      </w:r>
      <w:r w:rsidR="00E52598" w:rsidRPr="004C3F50">
        <w:t>continuous electro-cardiogram (ECG);</w:t>
      </w:r>
    </w:p>
    <w:p w14:paraId="7E47E32D" w14:textId="77777777" w:rsidR="00E52598" w:rsidRPr="004C3F50" w:rsidRDefault="00E93869" w:rsidP="00E93869">
      <w:pPr>
        <w:pStyle w:val="NormalBulletedrom"/>
      </w:pPr>
      <w:r>
        <w:lastRenderedPageBreak/>
        <w:t>(v)</w:t>
      </w:r>
      <w:r>
        <w:tab/>
      </w:r>
      <w:r w:rsidR="00E52598" w:rsidRPr="004C3F50">
        <w:t>continuous electro-encephalogram (EEG);</w:t>
      </w:r>
    </w:p>
    <w:p w14:paraId="26E33541" w14:textId="77777777" w:rsidR="00E52598" w:rsidRPr="004C3F50" w:rsidRDefault="00E93869" w:rsidP="00E93869">
      <w:pPr>
        <w:pStyle w:val="NormalBulletedrom"/>
      </w:pPr>
      <w:r>
        <w:t>(vi)</w:t>
      </w:r>
      <w:r>
        <w:tab/>
      </w:r>
      <w:r w:rsidR="00E52598" w:rsidRPr="004C3F50">
        <w:t>electro-oculogram (EOG);</w:t>
      </w:r>
    </w:p>
    <w:p w14:paraId="757EB47C" w14:textId="77777777" w:rsidR="00E52598" w:rsidRPr="004C3F50" w:rsidRDefault="00E93869" w:rsidP="00E93869">
      <w:pPr>
        <w:pStyle w:val="NormalBulletedrom"/>
      </w:pPr>
      <w:r>
        <w:t>(vii)</w:t>
      </w:r>
      <w:r>
        <w:tab/>
      </w:r>
      <w:r w:rsidR="00E52598" w:rsidRPr="004C3F50">
        <w:t>oxygen saturation;</w:t>
      </w:r>
    </w:p>
    <w:p w14:paraId="18DEE9E4" w14:textId="77777777" w:rsidR="00E52598" w:rsidRPr="004C3F50" w:rsidRDefault="00E93869" w:rsidP="00E93869">
      <w:pPr>
        <w:pStyle w:val="NormalBulletedrom"/>
      </w:pPr>
      <w:r>
        <w:t>(viii)</w:t>
      </w:r>
      <w:r>
        <w:tab/>
      </w:r>
      <w:r w:rsidR="00E52598" w:rsidRPr="004C3F50">
        <w:t>respiratory movement (chest and abdomen);</w:t>
      </w:r>
    </w:p>
    <w:p w14:paraId="3ABF9896" w14:textId="77777777" w:rsidR="00E52598" w:rsidRPr="004C3F50" w:rsidRDefault="00E93869" w:rsidP="00E93869">
      <w:pPr>
        <w:pStyle w:val="NormalBulletedrom"/>
      </w:pPr>
      <w:r>
        <w:t>(ix)</w:t>
      </w:r>
      <w:r>
        <w:tab/>
      </w:r>
      <w:r w:rsidR="00E52598" w:rsidRPr="004C3F50">
        <w:t xml:space="preserve">position; </w:t>
      </w:r>
    </w:p>
    <w:p w14:paraId="634D7447" w14:textId="77777777" w:rsidR="00E52598" w:rsidRPr="004C3F50" w:rsidRDefault="00E52598" w:rsidP="00E52598">
      <w:pPr>
        <w:spacing w:before="40" w:after="40"/>
        <w:rPr>
          <w:rFonts w:cs="Arial"/>
          <w:szCs w:val="22"/>
        </w:rPr>
      </w:pPr>
      <w:r w:rsidRPr="004C3F50">
        <w:rPr>
          <w:rFonts w:cs="Arial"/>
          <w:szCs w:val="22"/>
        </w:rPr>
        <w:t xml:space="preserve">AND </w:t>
      </w:r>
    </w:p>
    <w:p w14:paraId="2D72B411" w14:textId="77777777" w:rsidR="008F3EBB" w:rsidRDefault="008F3EBB" w:rsidP="008F3EBB">
      <w:pPr>
        <w:pStyle w:val="NormalBulleteda"/>
      </w:pPr>
      <w:r w:rsidRPr="008F3EBB">
        <w:t>(f</w:t>
      </w:r>
      <w:r>
        <w:t>)</w:t>
      </w:r>
      <w:r>
        <w:tab/>
      </w:r>
      <w:r w:rsidR="00E52598" w:rsidRPr="004C3F50">
        <w:t xml:space="preserve">polygraphic records are analysed (for assessment of sleep stage, arousals, respiratory events, cardiac abnormalities and limb movements) with manual scoring, or manual correction of computerised scoring in epochs of not more than 1 minute, and stored for interpretation and preparation of report; </w:t>
      </w:r>
    </w:p>
    <w:p w14:paraId="2472B5B6" w14:textId="77777777" w:rsidR="00E52598" w:rsidRPr="004C3F50" w:rsidRDefault="00E52598" w:rsidP="00843ED6">
      <w:pPr>
        <w:pStyle w:val="NormalBulleteda"/>
      </w:pPr>
      <w:r w:rsidRPr="004C3F50">
        <w:t>AND</w:t>
      </w:r>
    </w:p>
    <w:p w14:paraId="5FB1D02C" w14:textId="77777777" w:rsidR="00E52598" w:rsidRPr="004C3F50" w:rsidRDefault="00E93869" w:rsidP="00E93869">
      <w:pPr>
        <w:pStyle w:val="NormalBulleteda"/>
      </w:pPr>
      <w:r>
        <w:t>(g)</w:t>
      </w:r>
      <w:r>
        <w:tab/>
      </w:r>
      <w:r w:rsidR="00E52598" w:rsidRPr="004C3F50">
        <w:t>interpretation and preparation of a permanent report is provided by a qualified adult sleep medicine practitioner with direct review of raw data from the original recording of polygraphic data from the patient.</w:t>
      </w:r>
    </w:p>
    <w:p w14:paraId="438C05A5" w14:textId="77777777" w:rsidR="00E52598" w:rsidRPr="004C3F50" w:rsidRDefault="00E52598" w:rsidP="00E52598">
      <w:r w:rsidRPr="004C3F50">
        <w:t xml:space="preserve">Not payable on same occasion of service with items x, y z etc </w:t>
      </w:r>
    </w:p>
    <w:p w14:paraId="6DC166BA" w14:textId="77777777" w:rsidR="00E52598" w:rsidRDefault="00E52598" w:rsidP="00E52598">
      <w:pPr>
        <w:pBdr>
          <w:bottom w:val="single" w:sz="4" w:space="1" w:color="984806"/>
        </w:pBdr>
      </w:pPr>
      <w:r w:rsidRPr="004C3F50">
        <w:t>Payable only once in a 12 month period</w:t>
      </w:r>
      <w:r>
        <w:t>.</w:t>
      </w:r>
      <w:r w:rsidRPr="004C3F50">
        <w:t xml:space="preserve"> </w:t>
      </w:r>
      <w:r>
        <w:t>A second attended sleep study is permitted, when required immediately</w:t>
      </w:r>
      <w:r w:rsidRPr="004C3F50">
        <w:t xml:space="preserve"> prior to vigilance testing.</w:t>
      </w:r>
    </w:p>
    <w:p w14:paraId="2F8EDAF8" w14:textId="77777777" w:rsidR="00E52598" w:rsidRDefault="00E52598" w:rsidP="00E52598">
      <w:r w:rsidRPr="00E52598">
        <w:t xml:space="preserve">The Committee has proposed the following changes to </w:t>
      </w:r>
      <w:r>
        <w:t xml:space="preserve">the </w:t>
      </w:r>
      <w:r w:rsidRPr="00E52598">
        <w:t>item</w:t>
      </w:r>
      <w:r>
        <w:t xml:space="preserve"> </w:t>
      </w:r>
      <w:r w:rsidRPr="00E52598">
        <w:t>descriptor for unattended sleep study – diagnostic – Item 12250</w:t>
      </w:r>
      <w:r>
        <w:t>.</w:t>
      </w:r>
    </w:p>
    <w:p w14:paraId="16731711" w14:textId="77777777" w:rsidR="00E52598" w:rsidRPr="00E52598" w:rsidRDefault="00E52598" w:rsidP="00E52598">
      <w:pPr>
        <w:pBdr>
          <w:top w:val="single" w:sz="4" w:space="1" w:color="984806"/>
        </w:pBdr>
        <w:rPr>
          <w:b/>
        </w:rPr>
      </w:pPr>
      <w:r w:rsidRPr="00E52598">
        <w:rPr>
          <w:b/>
        </w:rPr>
        <w:t>Current Item Descriptor – Item 12250</w:t>
      </w:r>
    </w:p>
    <w:p w14:paraId="584898C7" w14:textId="77777777" w:rsidR="00E52598" w:rsidRPr="00882C3A" w:rsidRDefault="00E52598" w:rsidP="00E52598">
      <w:r w:rsidRPr="00882C3A">
        <w:t>Overnight investigation for sleep apnoea for a period of at least 8 hours duration for a patient aged 18 years or more, if all of the following requirements are met:</w:t>
      </w:r>
    </w:p>
    <w:p w14:paraId="7419ED92" w14:textId="77777777" w:rsidR="00E52598" w:rsidRPr="00882C3A" w:rsidRDefault="00F66AFB" w:rsidP="00F66AFB">
      <w:pPr>
        <w:pStyle w:val="NormalBulleteda"/>
      </w:pPr>
      <w:r>
        <w:t>(a)</w:t>
      </w:r>
      <w:r>
        <w:tab/>
      </w:r>
      <w:r w:rsidR="00E52598" w:rsidRPr="00882C3A">
        <w:t xml:space="preserve">the </w:t>
      </w:r>
      <w:r w:rsidR="00E52598" w:rsidRPr="00F66AFB">
        <w:t>patient has, before the overnight investigation, been referred to a qualified adult sleep medicine</w:t>
      </w:r>
      <w:r w:rsidR="00E52598" w:rsidRPr="00882C3A">
        <w:t xml:space="preserve"> practitioner by a medical practitioner whose clinical opinion is that there is a high probability that the patient has obstructive sleep apnoea; and</w:t>
      </w:r>
    </w:p>
    <w:p w14:paraId="21BBEDBB" w14:textId="77777777" w:rsidR="00E52598" w:rsidRPr="00882C3A" w:rsidRDefault="00F66AFB" w:rsidP="00F66AFB">
      <w:pPr>
        <w:pStyle w:val="NormalBulleteda"/>
      </w:pPr>
      <w:r>
        <w:t>(b)</w:t>
      </w:r>
      <w:r>
        <w:tab/>
      </w:r>
      <w:r w:rsidR="00E52598" w:rsidRPr="00882C3A">
        <w:t>the investigation takes place after the qualified adult sleep medicine practitioner has:</w:t>
      </w:r>
    </w:p>
    <w:p w14:paraId="419BE3CB" w14:textId="77777777" w:rsidR="00E52598" w:rsidRPr="00882C3A" w:rsidRDefault="00F66AFB" w:rsidP="00F66AFB">
      <w:pPr>
        <w:pStyle w:val="NormalBulletedrom"/>
      </w:pPr>
      <w:r>
        <w:t>(i)</w:t>
      </w:r>
      <w:r>
        <w:tab/>
      </w:r>
      <w:r w:rsidR="00E52598" w:rsidRPr="00882C3A">
        <w:t>confirmed the necessity for the investigation; and</w:t>
      </w:r>
    </w:p>
    <w:p w14:paraId="147EB9D1" w14:textId="77777777" w:rsidR="00E52598" w:rsidRPr="00882C3A" w:rsidRDefault="00F66AFB" w:rsidP="00F66AFB">
      <w:pPr>
        <w:pStyle w:val="NormalBulletedrom"/>
      </w:pPr>
      <w:r>
        <w:t>(ii)</w:t>
      </w:r>
      <w:r>
        <w:tab/>
      </w:r>
      <w:r w:rsidR="00E52598" w:rsidRPr="00882C3A">
        <w:t>communicated this confirmation to the referring medical practitioner; and</w:t>
      </w:r>
    </w:p>
    <w:p w14:paraId="5CAB3CF3" w14:textId="77777777" w:rsidR="00E52598" w:rsidRPr="00882C3A" w:rsidRDefault="00F66AFB" w:rsidP="00F66AFB">
      <w:pPr>
        <w:pStyle w:val="NormalBulleteda"/>
      </w:pPr>
      <w:r>
        <w:t>(c)</w:t>
      </w:r>
      <w:r>
        <w:tab/>
      </w:r>
      <w:r w:rsidR="00E52598" w:rsidRPr="00882C3A">
        <w:t xml:space="preserve">during a period of sleep, the investigation involves recording a minimum of seven physiological parameters which </w:t>
      </w:r>
      <w:r w:rsidR="00E52598" w:rsidRPr="00882C3A">
        <w:tab/>
        <w:t>must include:</w:t>
      </w:r>
    </w:p>
    <w:p w14:paraId="304E0EB2" w14:textId="77777777" w:rsidR="00E52598" w:rsidRPr="00882C3A" w:rsidRDefault="00F66AFB" w:rsidP="00F66AFB">
      <w:pPr>
        <w:pStyle w:val="NormalBulletedrom"/>
      </w:pPr>
      <w:r>
        <w:t>(i)</w:t>
      </w:r>
      <w:r>
        <w:tab/>
      </w:r>
      <w:r w:rsidR="00E52598" w:rsidRPr="00882C3A">
        <w:t>continuous electro-encephalogram (EEG); and</w:t>
      </w:r>
    </w:p>
    <w:p w14:paraId="3D968307" w14:textId="77777777" w:rsidR="00E52598" w:rsidRPr="00882C3A" w:rsidRDefault="00F66AFB" w:rsidP="00F66AFB">
      <w:pPr>
        <w:pStyle w:val="NormalBulletedrom"/>
      </w:pPr>
      <w:r>
        <w:t>(ii)</w:t>
      </w:r>
      <w:r>
        <w:tab/>
      </w:r>
      <w:r w:rsidR="00E52598" w:rsidRPr="00882C3A">
        <w:t>continuous electro-cardiogram (ECG; and</w:t>
      </w:r>
    </w:p>
    <w:p w14:paraId="522D7E81" w14:textId="77777777" w:rsidR="00E52598" w:rsidRPr="00882C3A" w:rsidRDefault="00F66AFB" w:rsidP="00F66AFB">
      <w:pPr>
        <w:pStyle w:val="NormalBulletedrom"/>
      </w:pPr>
      <w:r>
        <w:t>(iii)</w:t>
      </w:r>
      <w:r>
        <w:tab/>
      </w:r>
      <w:r w:rsidR="00E52598" w:rsidRPr="00882C3A">
        <w:t>airflow; and</w:t>
      </w:r>
    </w:p>
    <w:p w14:paraId="365B0856" w14:textId="77777777" w:rsidR="00E52598" w:rsidRPr="00882C3A" w:rsidRDefault="00F66AFB" w:rsidP="00F66AFB">
      <w:pPr>
        <w:pStyle w:val="NormalBulletedrom"/>
      </w:pPr>
      <w:r>
        <w:t>(iv)</w:t>
      </w:r>
      <w:r>
        <w:tab/>
      </w:r>
      <w:r w:rsidR="00E52598" w:rsidRPr="00882C3A">
        <w:t>thoraco-abdominal movement; and</w:t>
      </w:r>
    </w:p>
    <w:p w14:paraId="5D5B8D2D" w14:textId="77777777" w:rsidR="00E52598" w:rsidRPr="00882C3A" w:rsidRDefault="00F66AFB" w:rsidP="00F66AFB">
      <w:pPr>
        <w:pStyle w:val="NormalBulletedrom"/>
      </w:pPr>
      <w:r>
        <w:t>(v)</w:t>
      </w:r>
      <w:r>
        <w:tab/>
      </w:r>
      <w:r w:rsidR="00E52598" w:rsidRPr="00882C3A">
        <w:t>oxygen saturation; and</w:t>
      </w:r>
    </w:p>
    <w:p w14:paraId="1C43F18F" w14:textId="77777777" w:rsidR="00E52598" w:rsidRPr="00882C3A" w:rsidRDefault="00F66AFB" w:rsidP="00F66AFB">
      <w:pPr>
        <w:pStyle w:val="NormalBulletedrom"/>
      </w:pPr>
      <w:r>
        <w:t>(vi)</w:t>
      </w:r>
      <w:r>
        <w:tab/>
      </w:r>
      <w:r w:rsidR="00E52598" w:rsidRPr="00882C3A">
        <w:t>2 or more of the following:</w:t>
      </w:r>
    </w:p>
    <w:p w14:paraId="7596B83D" w14:textId="77777777" w:rsidR="00E52598" w:rsidRPr="00843ED6" w:rsidRDefault="00E52598" w:rsidP="00BE67C1">
      <w:pPr>
        <w:widowControl w:val="0"/>
        <w:numPr>
          <w:ilvl w:val="2"/>
          <w:numId w:val="13"/>
        </w:numPr>
        <w:autoSpaceDE w:val="0"/>
        <w:autoSpaceDN w:val="0"/>
        <w:adjustRightInd w:val="0"/>
        <w:spacing w:before="40" w:after="40" w:line="288" w:lineRule="auto"/>
        <w:rPr>
          <w:bCs/>
          <w:szCs w:val="22"/>
        </w:rPr>
      </w:pPr>
      <w:r w:rsidRPr="00843ED6">
        <w:rPr>
          <w:bCs/>
          <w:szCs w:val="22"/>
        </w:rPr>
        <w:t>electro-oculogram (EOG);</w:t>
      </w:r>
    </w:p>
    <w:p w14:paraId="3226EC54" w14:textId="77777777" w:rsidR="00E52598" w:rsidRPr="00843ED6" w:rsidRDefault="00E52598" w:rsidP="00BE67C1">
      <w:pPr>
        <w:widowControl w:val="0"/>
        <w:numPr>
          <w:ilvl w:val="2"/>
          <w:numId w:val="13"/>
        </w:numPr>
        <w:autoSpaceDE w:val="0"/>
        <w:autoSpaceDN w:val="0"/>
        <w:adjustRightInd w:val="0"/>
        <w:spacing w:before="40" w:after="40" w:line="288" w:lineRule="auto"/>
        <w:rPr>
          <w:bCs/>
          <w:szCs w:val="22"/>
        </w:rPr>
      </w:pPr>
      <w:r w:rsidRPr="00843ED6">
        <w:rPr>
          <w:bCs/>
          <w:szCs w:val="22"/>
        </w:rPr>
        <w:t>chin electro-myogram (EMG);</w:t>
      </w:r>
    </w:p>
    <w:p w14:paraId="1A452936" w14:textId="77777777" w:rsidR="00E52598" w:rsidRPr="00642519" w:rsidRDefault="00E52598" w:rsidP="00BE67C1">
      <w:pPr>
        <w:widowControl w:val="0"/>
        <w:numPr>
          <w:ilvl w:val="2"/>
          <w:numId w:val="13"/>
        </w:numPr>
        <w:autoSpaceDE w:val="0"/>
        <w:autoSpaceDN w:val="0"/>
        <w:adjustRightInd w:val="0"/>
        <w:spacing w:before="40" w:after="40" w:line="288" w:lineRule="auto"/>
        <w:rPr>
          <w:bCs/>
          <w:szCs w:val="22"/>
        </w:rPr>
      </w:pPr>
      <w:r w:rsidRPr="00843ED6">
        <w:rPr>
          <w:bCs/>
          <w:szCs w:val="22"/>
        </w:rPr>
        <w:t>body position</w:t>
      </w:r>
      <w:r w:rsidRPr="00642519">
        <w:rPr>
          <w:bCs/>
          <w:szCs w:val="22"/>
        </w:rPr>
        <w:t>; and</w:t>
      </w:r>
    </w:p>
    <w:p w14:paraId="6A4AB629" w14:textId="77777777" w:rsidR="00E52598" w:rsidRPr="00882C3A" w:rsidRDefault="0092261C" w:rsidP="0092261C">
      <w:pPr>
        <w:pStyle w:val="NormalBulleteda"/>
      </w:pPr>
      <w:r>
        <w:lastRenderedPageBreak/>
        <w:t>(d)</w:t>
      </w:r>
      <w:r>
        <w:tab/>
      </w:r>
      <w:r w:rsidR="00E52598" w:rsidRPr="00882C3A">
        <w:t>in the report on of the investigation, the qualified adult sleep medicine practitioner uses the data specified in paragraph (c) to:</w:t>
      </w:r>
    </w:p>
    <w:p w14:paraId="4F3B2FEA" w14:textId="77777777" w:rsidR="00E52598" w:rsidRPr="00882C3A" w:rsidRDefault="0092261C" w:rsidP="0092261C">
      <w:pPr>
        <w:pStyle w:val="NormalBulletedrom"/>
      </w:pPr>
      <w:r>
        <w:t>(i)</w:t>
      </w:r>
      <w:r>
        <w:tab/>
      </w:r>
      <w:r w:rsidR="00E52598" w:rsidRPr="00882C3A">
        <w:t>analyse sleep stage, arousals and respiratory events; and</w:t>
      </w:r>
    </w:p>
    <w:p w14:paraId="2CAA08DD" w14:textId="77777777" w:rsidR="00E52598" w:rsidRPr="00882C3A" w:rsidRDefault="0092261C" w:rsidP="0092261C">
      <w:pPr>
        <w:pStyle w:val="NormalBulletedrom"/>
      </w:pPr>
      <w:r>
        <w:t>(ii)</w:t>
      </w:r>
      <w:r>
        <w:tab/>
      </w:r>
      <w:r w:rsidR="00E52598" w:rsidRPr="00882C3A">
        <w:t>assess clinically significant alteration in heart rate; and</w:t>
      </w:r>
    </w:p>
    <w:p w14:paraId="1222CC7F" w14:textId="77777777" w:rsidR="00E52598" w:rsidRPr="00882C3A" w:rsidRDefault="0092261C" w:rsidP="0092261C">
      <w:pPr>
        <w:pStyle w:val="NormalBulleteda"/>
      </w:pPr>
      <w:r>
        <w:t>(e)</w:t>
      </w:r>
      <w:r>
        <w:tab/>
      </w:r>
      <w:r w:rsidR="00E52598" w:rsidRPr="00882C3A">
        <w:t>the qualified adult sleep medicine practitioner:</w:t>
      </w:r>
    </w:p>
    <w:p w14:paraId="5C0BDF2E" w14:textId="77777777" w:rsidR="00E52598" w:rsidRPr="00882C3A" w:rsidRDefault="0092261C" w:rsidP="0092261C">
      <w:pPr>
        <w:pStyle w:val="NormalBulletedrom"/>
      </w:pPr>
      <w:r>
        <w:t>(i)</w:t>
      </w:r>
      <w:r>
        <w:tab/>
      </w:r>
      <w:r w:rsidR="00E52598" w:rsidRPr="00882C3A">
        <w:t>before the investigation takes place, establishes quality assurance procedures for data acquisition; and</w:t>
      </w:r>
    </w:p>
    <w:p w14:paraId="4E7DC6A5" w14:textId="77777777" w:rsidR="00E52598" w:rsidRPr="00882C3A" w:rsidRDefault="0092261C" w:rsidP="0092261C">
      <w:pPr>
        <w:pStyle w:val="NormalBulletedrom"/>
      </w:pPr>
      <w:r>
        <w:t>(ii)</w:t>
      </w:r>
      <w:r>
        <w:tab/>
      </w:r>
      <w:r w:rsidR="00E52598" w:rsidRPr="00882C3A">
        <w:t>personally analyses the data and writes the report on the results of the investigation;</w:t>
      </w:r>
    </w:p>
    <w:p w14:paraId="4A3A871A" w14:textId="77777777" w:rsidR="00E52598" w:rsidRPr="00882C3A" w:rsidRDefault="0092261C" w:rsidP="0092261C">
      <w:pPr>
        <w:pStyle w:val="NormalBulleteda"/>
      </w:pPr>
      <w:r>
        <w:t>(f)</w:t>
      </w:r>
      <w:r>
        <w:tab/>
      </w:r>
      <w:r w:rsidR="00E52598" w:rsidRPr="00882C3A">
        <w:t>the investigation is not provided to the patient on the same occasion as a service mentioned in any of items 11000 to 11005, 11503, 11700 to 11709, 11713 and 12203 is provided to the patient</w:t>
      </w:r>
    </w:p>
    <w:p w14:paraId="425DBE25" w14:textId="77777777" w:rsidR="00E52598" w:rsidRPr="00882C3A" w:rsidRDefault="00E52598" w:rsidP="00E52598">
      <w:r w:rsidRPr="00882C3A">
        <w:t>Payable only once in a 12 month period</w:t>
      </w:r>
    </w:p>
    <w:p w14:paraId="21547925" w14:textId="77777777" w:rsidR="00E52598" w:rsidRPr="00E52598" w:rsidRDefault="00E52598" w:rsidP="00E52598">
      <w:pPr>
        <w:rPr>
          <w:i/>
        </w:rPr>
      </w:pPr>
      <w:r w:rsidRPr="00E52598">
        <w:rPr>
          <w:i/>
        </w:rPr>
        <w:t>(See para D1.18 of explanatory notes to this Category)</w:t>
      </w:r>
    </w:p>
    <w:p w14:paraId="40B842E7" w14:textId="77777777" w:rsidR="00E52598" w:rsidRDefault="00E52598" w:rsidP="00E52598">
      <w:pPr>
        <w:rPr>
          <w:bCs/>
          <w:szCs w:val="22"/>
        </w:rPr>
      </w:pPr>
      <w:r w:rsidRPr="00882C3A">
        <w:rPr>
          <w:b/>
          <w:bCs/>
          <w:szCs w:val="22"/>
        </w:rPr>
        <w:t xml:space="preserve">Fee: </w:t>
      </w:r>
      <w:r w:rsidRPr="00882C3A">
        <w:rPr>
          <w:bCs/>
          <w:szCs w:val="22"/>
        </w:rPr>
        <w:t>$335.30</w:t>
      </w:r>
    </w:p>
    <w:p w14:paraId="77EB762D" w14:textId="77777777" w:rsidR="00E52598" w:rsidRDefault="00E52598" w:rsidP="00E52598">
      <w:pPr>
        <w:rPr>
          <w:bCs/>
          <w:szCs w:val="22"/>
        </w:rPr>
      </w:pPr>
      <w:r w:rsidRPr="00882C3A">
        <w:rPr>
          <w:b/>
          <w:bCs/>
          <w:szCs w:val="22"/>
        </w:rPr>
        <w:t xml:space="preserve">Benefit: </w:t>
      </w:r>
      <w:r w:rsidRPr="00882C3A">
        <w:rPr>
          <w:bCs/>
          <w:szCs w:val="22"/>
        </w:rPr>
        <w:t>75% = $251.50</w:t>
      </w:r>
      <w:r w:rsidRPr="00882C3A">
        <w:rPr>
          <w:bCs/>
          <w:szCs w:val="22"/>
        </w:rPr>
        <w:tab/>
        <w:t>85% = $285.05</w:t>
      </w:r>
    </w:p>
    <w:p w14:paraId="1F218985" w14:textId="77777777" w:rsidR="00E52598" w:rsidRDefault="00E52598" w:rsidP="00E52598">
      <w:pPr>
        <w:rPr>
          <w:b/>
        </w:rPr>
      </w:pPr>
      <w:r w:rsidRPr="00E52598">
        <w:rPr>
          <w:b/>
        </w:rPr>
        <w:t>Proposed new Item Descriptor – 12250</w:t>
      </w:r>
    </w:p>
    <w:p w14:paraId="64A57FD1" w14:textId="77777777" w:rsidR="00E52598" w:rsidRPr="004C3F50" w:rsidRDefault="00E52598" w:rsidP="00E52598">
      <w:r w:rsidRPr="004C3F50">
        <w:t>Overnight investigation of sleep for a period of at least 8 hours in a patient aged 18 years or over to confirm diagnosis of obstructive sleep apnoea, where:</w:t>
      </w:r>
    </w:p>
    <w:p w14:paraId="3C256039" w14:textId="77777777" w:rsidR="00E52598" w:rsidRPr="0092261C" w:rsidRDefault="0092261C" w:rsidP="0092261C">
      <w:pPr>
        <w:pStyle w:val="NormalBulleteda"/>
      </w:pPr>
      <w:r>
        <w:t>(a)</w:t>
      </w:r>
      <w:r>
        <w:tab/>
      </w:r>
      <w:r w:rsidR="00E52598" w:rsidRPr="0092261C">
        <w:t>the patient has been referred by a medical practitioner to a qualified adult sleep medicine practitioner or a consultant respiratory physician who has determined that the patient has a high probability for symptomatic, moderate to severe obstructive sleep apnoea using the following screening tools:</w:t>
      </w:r>
    </w:p>
    <w:p w14:paraId="00E948BF" w14:textId="77777777" w:rsidR="00E52598" w:rsidRPr="0092261C" w:rsidRDefault="0092261C" w:rsidP="0092261C">
      <w:pPr>
        <w:pStyle w:val="NormalBulletedrom"/>
      </w:pPr>
      <w:r>
        <w:t>(i)</w:t>
      </w:r>
      <w:r>
        <w:tab/>
      </w:r>
      <w:r w:rsidR="00E52598" w:rsidRPr="0092261C">
        <w:t xml:space="preserve">an Epworth Sleepiness Scale score of 8 or more; AND </w:t>
      </w:r>
    </w:p>
    <w:p w14:paraId="1098794B" w14:textId="77777777" w:rsidR="00E52598" w:rsidRPr="004C3F50" w:rsidRDefault="0092261C" w:rsidP="0092261C">
      <w:pPr>
        <w:pStyle w:val="NormalBulletedrom"/>
      </w:pPr>
      <w:r>
        <w:t>(ii)</w:t>
      </w:r>
      <w:r>
        <w:tab/>
      </w:r>
      <w:r w:rsidR="00E52598" w:rsidRPr="004C3F50">
        <w:t>one of the following:</w:t>
      </w:r>
    </w:p>
    <w:p w14:paraId="4471E4AD" w14:textId="77777777" w:rsidR="00E52598" w:rsidRPr="003105FB" w:rsidRDefault="00E52598" w:rsidP="00824D6D">
      <w:pPr>
        <w:pStyle w:val="ListParagraph"/>
        <w:numPr>
          <w:ilvl w:val="0"/>
          <w:numId w:val="14"/>
        </w:numPr>
        <w:spacing w:before="40" w:after="40"/>
        <w:rPr>
          <w:rFonts w:cs="Arial"/>
          <w:szCs w:val="22"/>
        </w:rPr>
      </w:pPr>
      <w:r w:rsidRPr="004C3F50">
        <w:rPr>
          <w:rFonts w:cs="Arial"/>
          <w:szCs w:val="22"/>
        </w:rPr>
        <w:t xml:space="preserve">a </w:t>
      </w:r>
      <w:r w:rsidRPr="003105FB">
        <w:rPr>
          <w:rFonts w:cs="Arial"/>
          <w:szCs w:val="22"/>
        </w:rPr>
        <w:t xml:space="preserve">STOP-BANG score of 5 or more; or </w:t>
      </w:r>
    </w:p>
    <w:p w14:paraId="605E8930" w14:textId="77777777" w:rsidR="00E52598" w:rsidRPr="00642519" w:rsidRDefault="00E52598" w:rsidP="00824D6D">
      <w:pPr>
        <w:pStyle w:val="ListParagraph"/>
        <w:numPr>
          <w:ilvl w:val="0"/>
          <w:numId w:val="14"/>
        </w:numPr>
        <w:spacing w:before="40" w:after="40"/>
        <w:rPr>
          <w:rFonts w:cs="Arial"/>
          <w:szCs w:val="22"/>
        </w:rPr>
      </w:pPr>
      <w:r w:rsidRPr="003105FB">
        <w:rPr>
          <w:rFonts w:cs="Arial"/>
          <w:szCs w:val="22"/>
        </w:rPr>
        <w:t>an OSA</w:t>
      </w:r>
      <w:r w:rsidRPr="00642519">
        <w:rPr>
          <w:rFonts w:cs="Arial"/>
          <w:szCs w:val="22"/>
        </w:rPr>
        <w:t xml:space="preserve">-50 score of 5 or more; or </w:t>
      </w:r>
    </w:p>
    <w:p w14:paraId="25C1F1C5" w14:textId="77777777" w:rsidR="00E52598" w:rsidRPr="004C3F50" w:rsidRDefault="00E52598" w:rsidP="00824D6D">
      <w:pPr>
        <w:pStyle w:val="ListParagraph"/>
        <w:numPr>
          <w:ilvl w:val="0"/>
          <w:numId w:val="14"/>
        </w:numPr>
        <w:spacing w:before="40" w:after="40"/>
        <w:rPr>
          <w:rFonts w:cs="Arial"/>
          <w:szCs w:val="22"/>
        </w:rPr>
      </w:pPr>
      <w:r w:rsidRPr="00642519">
        <w:rPr>
          <w:rFonts w:cs="Arial"/>
          <w:szCs w:val="22"/>
        </w:rPr>
        <w:t>a high risk</w:t>
      </w:r>
      <w:r w:rsidRPr="004C3F50">
        <w:rPr>
          <w:rFonts w:cs="Arial"/>
          <w:szCs w:val="22"/>
        </w:rPr>
        <w:t xml:space="preserve"> score on the Berlin Questionnaire. </w:t>
      </w:r>
    </w:p>
    <w:p w14:paraId="1C64EBA9" w14:textId="77777777" w:rsidR="00E52598" w:rsidRPr="004C3F50" w:rsidRDefault="00E52598" w:rsidP="00E52598">
      <w:r w:rsidRPr="004C3F50">
        <w:t>OR</w:t>
      </w:r>
    </w:p>
    <w:p w14:paraId="66B164BF" w14:textId="77777777" w:rsidR="00E52598" w:rsidRPr="004C3F50" w:rsidRDefault="0092261C" w:rsidP="0092261C">
      <w:pPr>
        <w:pStyle w:val="NormalBulleteda"/>
      </w:pPr>
      <w:r>
        <w:t>(b)</w:t>
      </w:r>
      <w:r>
        <w:tab/>
      </w:r>
      <w:r w:rsidR="00E52598" w:rsidRPr="004C3F50">
        <w:t>Following personal attendance,</w:t>
      </w:r>
      <w:r w:rsidR="00E52598">
        <w:t xml:space="preserve"> </w:t>
      </w:r>
      <w:r w:rsidR="00E52598" w:rsidRPr="004C3F50">
        <w:t>a qualified adult sleep medicine practitioner or a consultant respiratory physician determines that testing to confirm the diagnosis of obstructive sleep apnoea</w:t>
      </w:r>
      <w:r w:rsidR="00E52598">
        <w:t xml:space="preserve"> </w:t>
      </w:r>
      <w:r w:rsidR="00E52598" w:rsidRPr="004C3F50">
        <w:t>is necessary</w:t>
      </w:r>
      <w:r w:rsidR="00E61181">
        <w:t>;</w:t>
      </w:r>
      <w:r w:rsidR="00E52598" w:rsidRPr="004C3F50">
        <w:t xml:space="preserve"> </w:t>
      </w:r>
    </w:p>
    <w:p w14:paraId="3E72CFA0" w14:textId="77777777" w:rsidR="00E52598" w:rsidRPr="00E52598" w:rsidRDefault="00E52598" w:rsidP="00E52598">
      <w:r w:rsidRPr="00E52598">
        <w:t>AND</w:t>
      </w:r>
    </w:p>
    <w:p w14:paraId="5593F79A" w14:textId="77777777" w:rsidR="00E52598" w:rsidRPr="004C3F50" w:rsidRDefault="0092261C" w:rsidP="0092261C">
      <w:pPr>
        <w:pStyle w:val="NormalBulleteda"/>
      </w:pPr>
      <w:r>
        <w:t>(c)</w:t>
      </w:r>
      <w:r>
        <w:tab/>
      </w:r>
      <w:r w:rsidR="00E52598" w:rsidRPr="004C3F50">
        <w:t>during a period of sleep, the investigation involves the monitoring of at least seven physiological parameters which must include:</w:t>
      </w:r>
    </w:p>
    <w:p w14:paraId="288EBDEA" w14:textId="77777777" w:rsidR="00E52598" w:rsidRPr="004C3F50" w:rsidRDefault="0092261C" w:rsidP="0092261C">
      <w:pPr>
        <w:pStyle w:val="NormalBulletedrom"/>
      </w:pPr>
      <w:r>
        <w:t>(i)</w:t>
      </w:r>
      <w:r>
        <w:tab/>
      </w:r>
      <w:r w:rsidR="00E52598" w:rsidRPr="004C3F50">
        <w:t>airflow; and</w:t>
      </w:r>
    </w:p>
    <w:p w14:paraId="0718943A" w14:textId="77777777" w:rsidR="00E52598" w:rsidRPr="004C3F50" w:rsidRDefault="0092261C" w:rsidP="0092261C">
      <w:pPr>
        <w:pStyle w:val="NormalBulletedrom"/>
      </w:pPr>
      <w:r>
        <w:t>(ii)</w:t>
      </w:r>
      <w:r>
        <w:tab/>
      </w:r>
      <w:r w:rsidR="00E52598" w:rsidRPr="004C3F50">
        <w:t>chin electro-myogram (EMG); and</w:t>
      </w:r>
    </w:p>
    <w:p w14:paraId="54FB1CDB" w14:textId="77777777" w:rsidR="00E52598" w:rsidRPr="004C3F50" w:rsidRDefault="0092261C" w:rsidP="0092261C">
      <w:pPr>
        <w:pStyle w:val="NormalBulletedrom"/>
      </w:pPr>
      <w:r>
        <w:t>(iii)</w:t>
      </w:r>
      <w:r>
        <w:tab/>
      </w:r>
      <w:r w:rsidR="00E52598" w:rsidRPr="004C3F50">
        <w:t>continuous electro-cardiogram (ECG); and</w:t>
      </w:r>
    </w:p>
    <w:p w14:paraId="408EE8B5" w14:textId="77777777" w:rsidR="00E52598" w:rsidRPr="004C3F50" w:rsidRDefault="0092261C" w:rsidP="0092261C">
      <w:pPr>
        <w:pStyle w:val="NormalBulletedrom"/>
      </w:pPr>
      <w:r>
        <w:lastRenderedPageBreak/>
        <w:t>(iv)</w:t>
      </w:r>
      <w:r>
        <w:tab/>
      </w:r>
      <w:r w:rsidR="00E52598" w:rsidRPr="004C3F50">
        <w:t>continuous electro-encephalogram (EEG); and</w:t>
      </w:r>
    </w:p>
    <w:p w14:paraId="458237DA" w14:textId="77777777" w:rsidR="00E52598" w:rsidRPr="004C3F50" w:rsidRDefault="0092261C" w:rsidP="0092261C">
      <w:pPr>
        <w:pStyle w:val="NormalBulletedrom"/>
      </w:pPr>
      <w:r>
        <w:t>(v)</w:t>
      </w:r>
      <w:r>
        <w:tab/>
      </w:r>
      <w:r w:rsidR="00E52598" w:rsidRPr="004C3F50">
        <w:t>electro-oculogram (EOG); and</w:t>
      </w:r>
    </w:p>
    <w:p w14:paraId="2FA586B4" w14:textId="77777777" w:rsidR="00E52598" w:rsidRPr="004C3F50" w:rsidRDefault="0092261C" w:rsidP="0092261C">
      <w:pPr>
        <w:pStyle w:val="NormalBulletedrom"/>
      </w:pPr>
      <w:r>
        <w:t>(vi)</w:t>
      </w:r>
      <w:r>
        <w:tab/>
      </w:r>
      <w:r w:rsidR="00E52598" w:rsidRPr="004C3F50">
        <w:t>oxygen saturation; and</w:t>
      </w:r>
    </w:p>
    <w:p w14:paraId="7C2D7F6E" w14:textId="77777777" w:rsidR="00E52598" w:rsidRPr="004C3F50" w:rsidRDefault="0092261C" w:rsidP="0092261C">
      <w:pPr>
        <w:pStyle w:val="NormalBulletedrom"/>
      </w:pPr>
      <w:r>
        <w:t>(vii)</w:t>
      </w:r>
      <w:r>
        <w:tab/>
      </w:r>
      <w:r w:rsidR="00E52598" w:rsidRPr="004C3F50">
        <w:t>respiratory effort.</w:t>
      </w:r>
    </w:p>
    <w:p w14:paraId="787E8935" w14:textId="77777777" w:rsidR="00E52598" w:rsidRPr="004C3F50" w:rsidRDefault="00E52598" w:rsidP="00E52598">
      <w:r w:rsidRPr="004C3F50">
        <w:t>AND</w:t>
      </w:r>
    </w:p>
    <w:p w14:paraId="2962A5F9" w14:textId="77777777" w:rsidR="00E52598" w:rsidRPr="004C3F50" w:rsidRDefault="0092261C" w:rsidP="0092261C">
      <w:pPr>
        <w:pStyle w:val="NormalBulleteda"/>
      </w:pPr>
      <w:r>
        <w:t>(d)</w:t>
      </w:r>
      <w:r>
        <w:tab/>
      </w:r>
      <w:r w:rsidR="00E52598" w:rsidRPr="004C3F50">
        <w:t xml:space="preserve">The investigation is performed under the supervision of an accredited sleep medicine practitioner; AND </w:t>
      </w:r>
    </w:p>
    <w:p w14:paraId="488614B4" w14:textId="77777777" w:rsidR="00E52598" w:rsidRPr="004C3F50" w:rsidRDefault="0092261C" w:rsidP="0092261C">
      <w:pPr>
        <w:pStyle w:val="NormalBulleteda"/>
      </w:pPr>
      <w:r>
        <w:t>(e)</w:t>
      </w:r>
      <w:r>
        <w:tab/>
      </w:r>
      <w:r w:rsidR="00E52598" w:rsidRPr="004C3F50">
        <w:t>The equipment is applied to the patient by trained technicians; AND</w:t>
      </w:r>
    </w:p>
    <w:p w14:paraId="5AD50FA9" w14:textId="77777777" w:rsidR="00E52598" w:rsidRPr="004C3F50" w:rsidRDefault="0092261C" w:rsidP="0092261C">
      <w:pPr>
        <w:pStyle w:val="NormalBulleteda"/>
      </w:pPr>
      <w:r>
        <w:t>(f)</w:t>
      </w:r>
      <w:r>
        <w:tab/>
      </w:r>
      <w:r w:rsidR="00B00D2F">
        <w:t>P</w:t>
      </w:r>
      <w:r w:rsidR="00E52598" w:rsidRPr="004C3F50">
        <w:t>olygraphic records are analysed (for assessment of sleep stage, arousals, respiratory events and cardiac abnormalities) with manual scoring, or manual correction of computerised scoring in epochs of not more than 1 minute, and stored for interpretation and preparation of report; AND</w:t>
      </w:r>
    </w:p>
    <w:p w14:paraId="3AC6B12B" w14:textId="77777777" w:rsidR="00E52598" w:rsidRPr="004C3F50" w:rsidRDefault="0092261C" w:rsidP="0092261C">
      <w:pPr>
        <w:pStyle w:val="NormalBulleteda"/>
      </w:pPr>
      <w:r>
        <w:t>(g)</w:t>
      </w:r>
      <w:r>
        <w:tab/>
      </w:r>
      <w:r w:rsidR="00B00D2F">
        <w:t>I</w:t>
      </w:r>
      <w:r w:rsidR="00E52598" w:rsidRPr="004C3F50">
        <w:t>nterpretation and preparation of a permanent report is provided by a qualified adult sleep medicine practitioner with direct review of raw data from the original recording of polygraphic data from the patient.</w:t>
      </w:r>
    </w:p>
    <w:p w14:paraId="7387923D" w14:textId="77777777" w:rsidR="00E52598" w:rsidRPr="004C3F50" w:rsidRDefault="00E52598" w:rsidP="00E52598">
      <w:r w:rsidRPr="004C3F50">
        <w:t>Not to be provided on the same occasion as a service mentioned in any of items 11000 to 11005, 11503, 11700 to 11709, 11713 and 12203 is provided to the patient.</w:t>
      </w:r>
    </w:p>
    <w:p w14:paraId="33022346" w14:textId="77777777" w:rsidR="00FD72EF" w:rsidRPr="00E52598" w:rsidRDefault="00E52598" w:rsidP="00E52598">
      <w:pPr>
        <w:pBdr>
          <w:bottom w:val="single" w:sz="4" w:space="1" w:color="984806"/>
        </w:pBdr>
        <w:rPr>
          <w:b/>
        </w:rPr>
      </w:pPr>
      <w:r w:rsidRPr="004C3F50">
        <w:t>Payable once in a 12 month period.</w:t>
      </w:r>
      <w:bookmarkEnd w:id="209"/>
    </w:p>
    <w:p w14:paraId="74100AAB" w14:textId="77777777" w:rsidR="00E52598" w:rsidRDefault="00E52598" w:rsidP="00E52598">
      <w:bookmarkStart w:id="210" w:name="_Toc457450669"/>
      <w:r w:rsidRPr="002378DB">
        <w:rPr>
          <w:b/>
          <w:bCs/>
          <w:lang w:val="en-US"/>
        </w:rPr>
        <w:t xml:space="preserve">Proposed </w:t>
      </w:r>
      <w:r>
        <w:rPr>
          <w:b/>
          <w:bCs/>
          <w:lang w:val="en-US"/>
        </w:rPr>
        <w:t xml:space="preserve">explanatory </w:t>
      </w:r>
      <w:r w:rsidRPr="00E52598">
        <w:rPr>
          <w:b/>
          <w:bCs/>
          <w:lang w:val="en-US"/>
        </w:rPr>
        <w:t>notes</w:t>
      </w:r>
      <w:r w:rsidRPr="00E52598">
        <w:rPr>
          <w:b/>
        </w:rPr>
        <w:t xml:space="preserve"> for items 12250 and 12203</w:t>
      </w:r>
      <w:r w:rsidRPr="00E52598">
        <w:t xml:space="preserve"> </w:t>
      </w:r>
    </w:p>
    <w:p w14:paraId="267644F3" w14:textId="77777777" w:rsidR="00E52598" w:rsidRPr="004C3F50" w:rsidRDefault="00E52598" w:rsidP="00E52598">
      <w:r w:rsidRPr="004C3F50">
        <w:t>Items 12250 and 12203 are applicable for patients who have not been previously diagnosed with a sleep disorder. They enable direct GP referral to testing without personal assessment by a sleep or respiratory physician, when validated screening tools suggest a high pre-test probability for diagnosis of symptomatic, moderate to severe OSA. The screening questionnaires must be administered by the referring practitioner. Alternatively, the need for testing can be determined by a sleep or respiratory physician following direct clinical assessment.</w:t>
      </w:r>
    </w:p>
    <w:p w14:paraId="223FD773" w14:textId="77777777" w:rsidR="00E52598" w:rsidRPr="004C3F50" w:rsidRDefault="00E52598" w:rsidP="00E52598">
      <w:r w:rsidRPr="004C3F50">
        <w:t xml:space="preserve">Determination of the need for testing should conform with Australasian Sleep Association guidelines. </w:t>
      </w:r>
    </w:p>
    <w:p w14:paraId="063920F6" w14:textId="77777777" w:rsidR="00E52598" w:rsidRPr="004C3F50" w:rsidRDefault="00E52598" w:rsidP="00E52598">
      <w:r w:rsidRPr="004C3F50">
        <w:t>Unattended sleep studies are suitable for many patients with suspected OSA but patients with other sleep disorders should undergo an attended study.</w:t>
      </w:r>
    </w:p>
    <w:p w14:paraId="58B22A19" w14:textId="77777777" w:rsidR="00E52598" w:rsidRPr="004C3F50" w:rsidRDefault="00E52598" w:rsidP="00E52598">
      <w:r w:rsidRPr="004C3F50">
        <w:t>Assessment for potential contraindications to an unattended sleep study can be undertaken by either the referring practitioner, qualified adult sleep medicine practitioner or consultant respiratory physician.</w:t>
      </w:r>
      <w:r>
        <w:t xml:space="preserve"> </w:t>
      </w:r>
      <w:r w:rsidRPr="004C3F50">
        <w:t>Standardised referrals should request sufficient information to enable such assessment.</w:t>
      </w:r>
    </w:p>
    <w:p w14:paraId="4605EBC8" w14:textId="77777777" w:rsidR="00E52598" w:rsidRPr="004C3F50" w:rsidRDefault="00E52598" w:rsidP="00E52598">
      <w:r w:rsidRPr="004C3F50">
        <w:t xml:space="preserve"> In accordance with the Australasian Sleep Association’s Guidelines for Sleep Studies in Adults, relative contraindications for an unattended sleep study to investigate suspected OSA include but are not limited to:</w:t>
      </w:r>
    </w:p>
    <w:p w14:paraId="6C33244E" w14:textId="77777777" w:rsidR="00E52598" w:rsidRPr="00C546C4" w:rsidRDefault="00C546C4" w:rsidP="00C546C4">
      <w:pPr>
        <w:pStyle w:val="NormalBulleteda"/>
      </w:pPr>
      <w:r>
        <w:t>(a)</w:t>
      </w:r>
      <w:r>
        <w:tab/>
      </w:r>
      <w:r w:rsidR="00E52598" w:rsidRPr="00C546C4">
        <w:t>intellectual disability or cognitive impairment;</w:t>
      </w:r>
    </w:p>
    <w:p w14:paraId="0104BD93" w14:textId="77777777" w:rsidR="00E52598" w:rsidRPr="00C546C4" w:rsidRDefault="00C546C4" w:rsidP="00C546C4">
      <w:pPr>
        <w:pStyle w:val="NormalBulleteda"/>
      </w:pPr>
      <w:r>
        <w:lastRenderedPageBreak/>
        <w:t>(b)</w:t>
      </w:r>
      <w:r>
        <w:tab/>
      </w:r>
      <w:r w:rsidR="00E52598" w:rsidRPr="00C546C4">
        <w:t>physical disability with inadequate carer attendance;</w:t>
      </w:r>
    </w:p>
    <w:p w14:paraId="2DE95FFC" w14:textId="77777777" w:rsidR="00E52598" w:rsidRPr="00C546C4" w:rsidRDefault="00C546C4" w:rsidP="00C546C4">
      <w:pPr>
        <w:pStyle w:val="NormalBulleteda"/>
      </w:pPr>
      <w:r>
        <w:t>(c)</w:t>
      </w:r>
      <w:r>
        <w:tab/>
      </w:r>
      <w:r w:rsidR="00E52598" w:rsidRPr="00C546C4">
        <w:t>significant co-morbid conditions including neuromuscular disease, heart failure or advanced respiratory disease where more complex disorders are likely;</w:t>
      </w:r>
    </w:p>
    <w:p w14:paraId="6D140722" w14:textId="77777777" w:rsidR="00E52598" w:rsidRPr="00C546C4" w:rsidRDefault="00C546C4" w:rsidP="00C546C4">
      <w:pPr>
        <w:pStyle w:val="NormalBulleteda"/>
      </w:pPr>
      <w:r>
        <w:t>(d)</w:t>
      </w:r>
      <w:r>
        <w:tab/>
      </w:r>
      <w:r w:rsidR="00E52598" w:rsidRPr="00C546C4">
        <w:t>suspected respiratory failure where attended measurements are required, including measurement of carbon dioxide partial pressures;</w:t>
      </w:r>
    </w:p>
    <w:p w14:paraId="34629EB9" w14:textId="77777777" w:rsidR="00E52598" w:rsidRPr="00C546C4" w:rsidRDefault="00C546C4" w:rsidP="00C546C4">
      <w:pPr>
        <w:pStyle w:val="NormalBulleteda"/>
      </w:pPr>
      <w:r>
        <w:t>(e)</w:t>
      </w:r>
      <w:r>
        <w:tab/>
      </w:r>
      <w:r w:rsidR="00E52598" w:rsidRPr="00C546C4">
        <w:t>suspected parasomnia or seizure disorder;</w:t>
      </w:r>
    </w:p>
    <w:p w14:paraId="466FE8B6" w14:textId="77777777" w:rsidR="00E52598" w:rsidRPr="00C546C4" w:rsidRDefault="00C546C4" w:rsidP="00C546C4">
      <w:pPr>
        <w:pStyle w:val="NormalBulleteda"/>
      </w:pPr>
      <w:r>
        <w:t>(f)</w:t>
      </w:r>
      <w:r>
        <w:tab/>
      </w:r>
      <w:r w:rsidR="00E52598" w:rsidRPr="00C546C4">
        <w:t>suspected condition where recording of body position is considered to be essential and would not be recorded as part of an unattended sleep study;</w:t>
      </w:r>
    </w:p>
    <w:p w14:paraId="4E3F6F39" w14:textId="77777777" w:rsidR="00E52598" w:rsidRPr="00C546C4" w:rsidRDefault="00C546C4" w:rsidP="00C546C4">
      <w:pPr>
        <w:pStyle w:val="NormalBulleteda"/>
      </w:pPr>
      <w:r>
        <w:t>(g)</w:t>
      </w:r>
      <w:r>
        <w:tab/>
      </w:r>
      <w:r w:rsidR="00E52598" w:rsidRPr="00C546C4">
        <w:t xml:space="preserve">previously failed or inconclusive unattended sleep study; </w:t>
      </w:r>
    </w:p>
    <w:p w14:paraId="729AC721" w14:textId="77777777" w:rsidR="00E52598" w:rsidRPr="004C3F50" w:rsidRDefault="00C546C4" w:rsidP="00C546C4">
      <w:pPr>
        <w:pStyle w:val="NormalBulleteda"/>
      </w:pPr>
      <w:r>
        <w:t>(h)</w:t>
      </w:r>
      <w:r>
        <w:tab/>
      </w:r>
      <w:r w:rsidR="00E52598" w:rsidRPr="00C546C4">
        <w:t>unsuitable</w:t>
      </w:r>
      <w:r w:rsidR="00E52598" w:rsidRPr="004C3F50">
        <w:t xml:space="preserve"> home environment including unsafe environments or where patients are homeless</w:t>
      </w:r>
      <w:r w:rsidR="00897B1F">
        <w:t xml:space="preserve">; </w:t>
      </w:r>
      <w:r w:rsidR="00897B1F" w:rsidRPr="00C546C4">
        <w:t>and</w:t>
      </w:r>
    </w:p>
    <w:p w14:paraId="36D62CA2" w14:textId="77777777" w:rsidR="00E52598" w:rsidRPr="004C3F50" w:rsidRDefault="00C546C4" w:rsidP="00C546C4">
      <w:pPr>
        <w:pStyle w:val="NormalBulleteda"/>
      </w:pPr>
      <w:r>
        <w:t>(i)</w:t>
      </w:r>
      <w:r>
        <w:tab/>
      </w:r>
      <w:r w:rsidR="00E52598" w:rsidRPr="004C3F50">
        <w:t>consumer preference based on a high level of anxiety about location of study or where there is unreasonable cost or disruption based on distance to be travelled, or home circumstances</w:t>
      </w:r>
      <w:r w:rsidR="00897B1F">
        <w:t>;</w:t>
      </w:r>
    </w:p>
    <w:p w14:paraId="517B0F34" w14:textId="77777777" w:rsidR="00E52598" w:rsidRPr="004C3F50" w:rsidRDefault="00E52598" w:rsidP="00E52598">
      <w:pPr>
        <w:rPr>
          <w:b/>
          <w:bCs/>
          <w:i/>
          <w:iCs/>
          <w:color w:val="1F497D"/>
        </w:rPr>
      </w:pPr>
      <w:r w:rsidRPr="004C3F50">
        <w:t>Patients who have these features may be suitable for either attended (Level 1) or unattended (Level 2) studies.</w:t>
      </w:r>
      <w:r w:rsidRPr="004C3F50">
        <w:rPr>
          <w:b/>
          <w:bCs/>
          <w:i/>
          <w:iCs/>
          <w:color w:val="1F497D"/>
        </w:rPr>
        <w:t xml:space="preserve"> </w:t>
      </w:r>
    </w:p>
    <w:p w14:paraId="79031B40" w14:textId="77777777" w:rsidR="00E52598" w:rsidRPr="004C3F50" w:rsidRDefault="00E52598" w:rsidP="00E52598">
      <w:pPr>
        <w:rPr>
          <w:b/>
          <w:bCs/>
          <w:iCs/>
          <w:color w:val="1F497D"/>
          <w:lang w:eastAsia="en-US"/>
        </w:rPr>
      </w:pPr>
      <w:r w:rsidRPr="004C3F50">
        <w:rPr>
          <w:bCs/>
          <w:iCs/>
        </w:rPr>
        <w:t>The results and treatment options following any diagnostic sleep study should be discussed during a professional attendance with a medical practitioner before the initiation of any therapy. If there is uncertainty about the significance of test results or the appropriate management for that individual then referral to a sleep or respiratory medicine specialist is recommended</w:t>
      </w:r>
      <w:r w:rsidRPr="004C3F50">
        <w:rPr>
          <w:b/>
          <w:bCs/>
          <w:iCs/>
          <w:color w:val="1F497D"/>
        </w:rPr>
        <w:t>.</w:t>
      </w:r>
    </w:p>
    <w:p w14:paraId="07394C88" w14:textId="77777777" w:rsidR="00E52598" w:rsidRDefault="00E52598" w:rsidP="00E52598">
      <w:pPr>
        <w:pBdr>
          <w:bottom w:val="single" w:sz="4" w:space="1" w:color="984806"/>
        </w:pBdr>
      </w:pPr>
      <w:r w:rsidRPr="004C3F50">
        <w:t xml:space="preserve">Any personal attendance by a qualified adult sleep medicine practitioner or consultant respiratory physician associated with this service may be undertaken face-to-face or by video conference. </w:t>
      </w:r>
    </w:p>
    <w:p w14:paraId="3C39AEA2" w14:textId="77777777" w:rsidR="00E52598" w:rsidRPr="00897B1F" w:rsidRDefault="00E52598" w:rsidP="00E52598">
      <w:pPr>
        <w:rPr>
          <w:b/>
        </w:rPr>
      </w:pPr>
      <w:r w:rsidRPr="00897B1F">
        <w:rPr>
          <w:b/>
        </w:rPr>
        <w:t>The Committee has proposed the following new item descriptor for new attended adult treatment initiation study item</w:t>
      </w:r>
      <w:r w:rsidRPr="00897B1F" w:rsidDel="00E52598">
        <w:rPr>
          <w:b/>
        </w:rPr>
        <w:t xml:space="preserve"> </w:t>
      </w:r>
      <w:r w:rsidRPr="00897B1F">
        <w:rPr>
          <w:b/>
        </w:rPr>
        <w:t>122XX.</w:t>
      </w:r>
    </w:p>
    <w:p w14:paraId="0BED63A8" w14:textId="77777777" w:rsidR="00E52598" w:rsidRPr="004C3F50" w:rsidRDefault="00E52598" w:rsidP="00E52598">
      <w:pPr>
        <w:rPr>
          <w:rFonts w:cs="Arial"/>
          <w:szCs w:val="22"/>
        </w:rPr>
      </w:pPr>
      <w:r w:rsidRPr="004C3F50">
        <w:rPr>
          <w:rFonts w:cs="Arial"/>
          <w:szCs w:val="22"/>
        </w:rPr>
        <w:t>Overnight assessment of positive airway pressure for a period of at least 8 hours duration in an adult aged over 18 where:</w:t>
      </w:r>
    </w:p>
    <w:p w14:paraId="2D14DF9A" w14:textId="77777777" w:rsidR="00E52598" w:rsidRPr="00C546C4" w:rsidRDefault="00C546C4" w:rsidP="00C546C4">
      <w:pPr>
        <w:pStyle w:val="NormalBulleteda"/>
      </w:pPr>
      <w:r>
        <w:t>(a)</w:t>
      </w:r>
      <w:r>
        <w:tab/>
      </w:r>
      <w:r w:rsidR="00E52598" w:rsidRPr="00C546C4">
        <w:t xml:space="preserve">the necessity for an intervention sleep study is determined by a qualified adult sleep medicine practitioner or consultant respiratory physician where a diagnosis of a sleep-related breathing disorder has been made; and the patient has not undergone positive airways pressure therapy in the previous 6 months; and </w:t>
      </w:r>
    </w:p>
    <w:p w14:paraId="14D2D9EF" w14:textId="77777777" w:rsidR="00E52598" w:rsidRPr="00C546C4" w:rsidRDefault="00C546C4" w:rsidP="00C546C4">
      <w:pPr>
        <w:pStyle w:val="NormalBulleteda"/>
      </w:pPr>
      <w:r>
        <w:t>(b)</w:t>
      </w:r>
      <w:r>
        <w:tab/>
      </w:r>
      <w:r w:rsidR="00E52598" w:rsidRPr="00C546C4">
        <w:t>the patient has had a professional attendance</w:t>
      </w:r>
      <w:r w:rsidR="00E52598" w:rsidRPr="00C546C4">
        <w:rPr>
          <w:b/>
          <w:color w:val="FF0000"/>
          <w:vertAlign w:val="superscript"/>
        </w:rPr>
        <w:t xml:space="preserve"> </w:t>
      </w:r>
      <w:r w:rsidR="00E52598" w:rsidRPr="00C546C4">
        <w:t>(either face-to-face or by video conference) and it is established that the sleep-related breathing disorder is responsible for symptoms; and</w:t>
      </w:r>
    </w:p>
    <w:p w14:paraId="77FF6822" w14:textId="77777777" w:rsidR="00E52598" w:rsidRPr="00C546C4" w:rsidRDefault="00C546C4" w:rsidP="00C546C4">
      <w:pPr>
        <w:pStyle w:val="NormalBulleteda"/>
      </w:pPr>
      <w:r>
        <w:t>(c)</w:t>
      </w:r>
      <w:r>
        <w:tab/>
      </w:r>
      <w:r w:rsidR="00E52598" w:rsidRPr="00C546C4">
        <w:t>a sleep technician is in continuous attendance under the supervision of a qualified sleep medicine practitioner; and</w:t>
      </w:r>
    </w:p>
    <w:p w14:paraId="1C4AD70A" w14:textId="77777777" w:rsidR="00E52598" w:rsidRPr="00C546C4" w:rsidRDefault="00C546C4" w:rsidP="00C546C4">
      <w:pPr>
        <w:pStyle w:val="NormalBulleteda"/>
      </w:pPr>
      <w:r>
        <w:t>(d)</w:t>
      </w:r>
      <w:r>
        <w:tab/>
      </w:r>
      <w:r w:rsidR="00E52598" w:rsidRPr="00C546C4">
        <w:t>continuous monitoring and recording of the following studies which are to be performed in accordance with current Australasian Sleep Association guidelines for the performance of Type I sleep studies:</w:t>
      </w:r>
    </w:p>
    <w:p w14:paraId="7E2869AE" w14:textId="77777777" w:rsidR="00E52598" w:rsidRPr="00C546C4" w:rsidRDefault="00C546C4" w:rsidP="00C546C4">
      <w:pPr>
        <w:pStyle w:val="NormalBulletedrom"/>
      </w:pPr>
      <w:r>
        <w:t>(i)</w:t>
      </w:r>
      <w:r>
        <w:tab/>
      </w:r>
      <w:r w:rsidR="00E52598" w:rsidRPr="00C546C4">
        <w:t>continuous electro-encephalogram (EEG);</w:t>
      </w:r>
    </w:p>
    <w:p w14:paraId="6F6B2A40" w14:textId="77777777" w:rsidR="00E52598" w:rsidRPr="00C546C4" w:rsidRDefault="00C546C4" w:rsidP="00C546C4">
      <w:pPr>
        <w:pStyle w:val="NormalBulletedrom"/>
      </w:pPr>
      <w:r>
        <w:lastRenderedPageBreak/>
        <w:t>(ii)</w:t>
      </w:r>
      <w:r>
        <w:tab/>
      </w:r>
      <w:r w:rsidR="00E52598" w:rsidRPr="00C546C4">
        <w:t>electro-oculogram (EOG);</w:t>
      </w:r>
    </w:p>
    <w:p w14:paraId="7D40C4C5" w14:textId="77777777" w:rsidR="00E52598" w:rsidRPr="00C546C4" w:rsidRDefault="00C546C4" w:rsidP="00C546C4">
      <w:pPr>
        <w:pStyle w:val="NormalBulletedrom"/>
      </w:pPr>
      <w:r>
        <w:t>(iii)</w:t>
      </w:r>
      <w:r>
        <w:tab/>
      </w:r>
      <w:r w:rsidR="00E52598" w:rsidRPr="00C546C4">
        <w:t>submental electro-myogram (EMG);</w:t>
      </w:r>
    </w:p>
    <w:p w14:paraId="38C9AC95" w14:textId="77777777" w:rsidR="00E52598" w:rsidRPr="00C546C4" w:rsidRDefault="00C546C4" w:rsidP="00C546C4">
      <w:pPr>
        <w:pStyle w:val="NormalBulletedrom"/>
      </w:pPr>
      <w:r>
        <w:t>(iv)</w:t>
      </w:r>
      <w:r>
        <w:tab/>
      </w:r>
      <w:r w:rsidR="00E52598" w:rsidRPr="00C546C4">
        <w:t>anterior tibial (EMG);</w:t>
      </w:r>
    </w:p>
    <w:p w14:paraId="2BEEA313" w14:textId="77777777" w:rsidR="00E52598" w:rsidRPr="00C546C4" w:rsidRDefault="00C546C4" w:rsidP="00C546C4">
      <w:pPr>
        <w:pStyle w:val="NormalBulletedrom"/>
      </w:pPr>
      <w:r>
        <w:t>(v)</w:t>
      </w:r>
      <w:r>
        <w:tab/>
      </w:r>
      <w:r w:rsidR="00E52598" w:rsidRPr="00C546C4">
        <w:t>respiratory movement;</w:t>
      </w:r>
    </w:p>
    <w:p w14:paraId="7CF2ECA9" w14:textId="77777777" w:rsidR="00E52598" w:rsidRPr="00C546C4" w:rsidRDefault="00C546C4" w:rsidP="00C546C4">
      <w:pPr>
        <w:pStyle w:val="NormalBulletedrom"/>
      </w:pPr>
      <w:r>
        <w:t>(vi)</w:t>
      </w:r>
      <w:r>
        <w:tab/>
      </w:r>
      <w:r w:rsidR="00E52598" w:rsidRPr="00C546C4">
        <w:t>airflow;</w:t>
      </w:r>
    </w:p>
    <w:p w14:paraId="0E6E0AA8" w14:textId="77777777" w:rsidR="00E52598" w:rsidRPr="00C546C4" w:rsidRDefault="00C546C4" w:rsidP="00C546C4">
      <w:pPr>
        <w:pStyle w:val="NormalBulletedrom"/>
      </w:pPr>
      <w:r>
        <w:t>(vii)</w:t>
      </w:r>
      <w:r>
        <w:tab/>
      </w:r>
      <w:r w:rsidR="00E52598" w:rsidRPr="00C546C4">
        <w:t>oxygen saturation;</w:t>
      </w:r>
    </w:p>
    <w:p w14:paraId="2E9B7ADE" w14:textId="77777777" w:rsidR="00E52598" w:rsidRPr="00C546C4" w:rsidRDefault="00C546C4" w:rsidP="00C546C4">
      <w:pPr>
        <w:pStyle w:val="NormalBulletedrom"/>
      </w:pPr>
      <w:r>
        <w:t>(viii)</w:t>
      </w:r>
      <w:r>
        <w:tab/>
      </w:r>
      <w:r w:rsidR="00E52598" w:rsidRPr="00C546C4">
        <w:t>position;</w:t>
      </w:r>
    </w:p>
    <w:p w14:paraId="1DC55418" w14:textId="77777777" w:rsidR="00E52598" w:rsidRPr="00C546C4" w:rsidRDefault="00C546C4" w:rsidP="00C546C4">
      <w:pPr>
        <w:pStyle w:val="NormalBulleteda"/>
      </w:pPr>
      <w:r>
        <w:t>(e)</w:t>
      </w:r>
      <w:r>
        <w:tab/>
      </w:r>
      <w:r w:rsidR="00E52598" w:rsidRPr="00C546C4">
        <w:t>continuous electro-cardiogram (ECG); and</w:t>
      </w:r>
    </w:p>
    <w:p w14:paraId="3637CE19" w14:textId="77777777" w:rsidR="00E52598" w:rsidRPr="00C546C4" w:rsidRDefault="00C546C4" w:rsidP="00C546C4">
      <w:pPr>
        <w:pStyle w:val="NormalBulleteda"/>
      </w:pPr>
      <w:r>
        <w:t>(f)</w:t>
      </w:r>
      <w:r>
        <w:tab/>
      </w:r>
      <w:r w:rsidR="00E52598" w:rsidRPr="00C546C4">
        <w:t>polygraphic records are analysed (for assessment of sleep stage, arousals, respiratory events, cardiac abnormalities and limb movements) with manual scoring, or manual correction of computerised scoring in epochs not more than one minute, and the data are stored for interpretation and preparation of a report; and</w:t>
      </w:r>
    </w:p>
    <w:p w14:paraId="15EA6376" w14:textId="77777777" w:rsidR="00E52598" w:rsidRPr="004C3F50" w:rsidRDefault="00C546C4" w:rsidP="00C546C4">
      <w:pPr>
        <w:pStyle w:val="NormalBulleteda"/>
      </w:pPr>
      <w:r>
        <w:t>(g)</w:t>
      </w:r>
      <w:r>
        <w:tab/>
      </w:r>
      <w:r w:rsidR="00E52598" w:rsidRPr="00C546C4">
        <w:t>interpretation and preparation of a permanent</w:t>
      </w:r>
      <w:r w:rsidR="00E52598" w:rsidRPr="004C3F50">
        <w:t xml:space="preserve"> report are provided by a qualified adult sleep medicine practitioner with direct review of raw data from the original recording of polygraphic data from the patient.</w:t>
      </w:r>
    </w:p>
    <w:p w14:paraId="5BF65931" w14:textId="77777777" w:rsidR="004548EF" w:rsidRPr="00700528" w:rsidRDefault="00E52598" w:rsidP="00E52598">
      <w:pPr>
        <w:pBdr>
          <w:bottom w:val="single" w:sz="4" w:space="1" w:color="984806"/>
        </w:pBdr>
      </w:pPr>
      <w:r w:rsidRPr="004C3F50">
        <w:rPr>
          <w:rFonts w:cs="Arial"/>
          <w:szCs w:val="22"/>
        </w:rPr>
        <w:t>One in a 12-month period.</w:t>
      </w:r>
      <w:bookmarkEnd w:id="210"/>
    </w:p>
    <w:p w14:paraId="14C896E7" w14:textId="77777777" w:rsidR="00E52598" w:rsidRPr="00897B1F" w:rsidRDefault="00E52598" w:rsidP="00E52598">
      <w:bookmarkStart w:id="211" w:name="_Toc457450672"/>
      <w:r w:rsidRPr="00897B1F">
        <w:t xml:space="preserve">The Committee has proposed the following item descriptor </w:t>
      </w:r>
      <w:r w:rsidR="007B0110" w:rsidRPr="00897B1F">
        <w:t xml:space="preserve">and explanatory notes </w:t>
      </w:r>
      <w:r w:rsidRPr="00897B1F">
        <w:t>for new attended treatment effectiveness study (assessment of specific interventions) item 122XX.</w:t>
      </w:r>
    </w:p>
    <w:p w14:paraId="6E51D72F" w14:textId="77777777" w:rsidR="00E52598" w:rsidRDefault="00E52598" w:rsidP="00E52598">
      <w:pPr>
        <w:pBdr>
          <w:top w:val="single" w:sz="4" w:space="1" w:color="984806"/>
        </w:pBdr>
        <w:rPr>
          <w:b/>
        </w:rPr>
      </w:pPr>
      <w:r w:rsidRPr="007B0110">
        <w:rPr>
          <w:b/>
        </w:rPr>
        <w:t>Proposed new Item Descriptor</w:t>
      </w:r>
    </w:p>
    <w:p w14:paraId="54B919EA" w14:textId="77777777" w:rsidR="00E52598" w:rsidRPr="004C3F50" w:rsidRDefault="00E52598" w:rsidP="00E52598">
      <w:pPr>
        <w:rPr>
          <w:rFonts w:cs="Arial"/>
          <w:szCs w:val="22"/>
        </w:rPr>
      </w:pPr>
      <w:r w:rsidRPr="004C3F50">
        <w:rPr>
          <w:rFonts w:cs="Arial"/>
          <w:szCs w:val="22"/>
        </w:rPr>
        <w:t>Follow up study for an adult patient aged over 18</w:t>
      </w:r>
      <w:r>
        <w:rPr>
          <w:rFonts w:cs="Arial"/>
          <w:szCs w:val="22"/>
        </w:rPr>
        <w:t xml:space="preserve"> </w:t>
      </w:r>
      <w:r w:rsidRPr="004C3F50">
        <w:rPr>
          <w:rFonts w:cs="Arial"/>
          <w:szCs w:val="22"/>
        </w:rPr>
        <w:t>with a sleep- related breathing disorder, following professional attendance with a sleep or respiratory specialist where</w:t>
      </w:r>
    </w:p>
    <w:p w14:paraId="5C23F8F4" w14:textId="77777777" w:rsidR="00E52598" w:rsidRPr="00C639C8" w:rsidRDefault="00E52598" w:rsidP="00C546C4">
      <w:pPr>
        <w:pStyle w:val="NormalBulleted"/>
      </w:pPr>
      <w:r>
        <w:t>t</w:t>
      </w:r>
      <w:r w:rsidRPr="00C639C8">
        <w:t>here has been a recurrence of symptoms not explained by known or identifiable factors such as inadequate usage of treatment, sleep duration or significant recent illness</w:t>
      </w:r>
      <w:r>
        <w:t>;</w:t>
      </w:r>
      <w:r w:rsidRPr="00C639C8">
        <w:t xml:space="preserve"> or</w:t>
      </w:r>
    </w:p>
    <w:p w14:paraId="6B128566" w14:textId="77777777" w:rsidR="00E52598" w:rsidRPr="004C3F50" w:rsidRDefault="00C546C4" w:rsidP="00C546C4">
      <w:pPr>
        <w:pStyle w:val="NormalBulletedrom"/>
      </w:pPr>
      <w:r>
        <w:t>(i)</w:t>
      </w:r>
      <w:r>
        <w:tab/>
      </w:r>
      <w:r w:rsidR="00E52598" w:rsidRPr="004C3F50">
        <w:t xml:space="preserve">There has been a significant change in weight or changes in co-morbid conditions that could affect sleep-related breathing disorders, and </w:t>
      </w:r>
    </w:p>
    <w:p w14:paraId="40949550" w14:textId="77777777" w:rsidR="00E52598" w:rsidRPr="004C3F50" w:rsidRDefault="00C546C4" w:rsidP="00C546C4">
      <w:pPr>
        <w:pStyle w:val="NormalBulletedrom"/>
      </w:pPr>
      <w:r>
        <w:t>(ii)</w:t>
      </w:r>
      <w:r>
        <w:tab/>
      </w:r>
      <w:r w:rsidR="00E52598" w:rsidRPr="004C3F50">
        <w:t>Other means of assessing treatment efficacy (including review of data stored by the therapy device) are unavailable, or have been unhelpful</w:t>
      </w:r>
    </w:p>
    <w:p w14:paraId="1F30F043" w14:textId="77777777" w:rsidR="00E52598" w:rsidRPr="004C3F50" w:rsidRDefault="00C546C4" w:rsidP="00C546C4">
      <w:pPr>
        <w:pStyle w:val="NormalBulletedrom"/>
      </w:pPr>
      <w:r>
        <w:t>(iii)</w:t>
      </w:r>
      <w:r>
        <w:tab/>
      </w:r>
      <w:r w:rsidR="00E52598" w:rsidRPr="004C3F50">
        <w:t>The data acquisition and analysis requirements as described in item 12203 are met.</w:t>
      </w:r>
    </w:p>
    <w:p w14:paraId="337DF7C8" w14:textId="77777777" w:rsidR="00E52598" w:rsidRPr="007B0110" w:rsidRDefault="00E52598" w:rsidP="00E52598">
      <w:pPr>
        <w:pBdr>
          <w:bottom w:val="single" w:sz="4" w:space="1" w:color="984806"/>
        </w:pBdr>
        <w:rPr>
          <w:b/>
        </w:rPr>
      </w:pPr>
      <w:r w:rsidRPr="004C3F50">
        <w:rPr>
          <w:rFonts w:cs="Arial"/>
          <w:szCs w:val="22"/>
        </w:rPr>
        <w:t>One in a 12 month period.</w:t>
      </w:r>
    </w:p>
    <w:p w14:paraId="02978B67" w14:textId="77777777" w:rsidR="007B0110" w:rsidRDefault="007B0110" w:rsidP="00E52598">
      <w:pPr>
        <w:rPr>
          <w:b/>
        </w:rPr>
      </w:pPr>
      <w:r w:rsidRPr="007B0110">
        <w:rPr>
          <w:b/>
        </w:rPr>
        <w:t>Proposed explanatory notes</w:t>
      </w:r>
      <w:r w:rsidRPr="007B0110" w:rsidDel="00E52598">
        <w:rPr>
          <w:b/>
        </w:rPr>
        <w:t xml:space="preserve"> </w:t>
      </w:r>
      <w:r>
        <w:rPr>
          <w:b/>
        </w:rPr>
        <w:t>for item 122XX</w:t>
      </w:r>
    </w:p>
    <w:p w14:paraId="0ACB966F" w14:textId="77777777" w:rsidR="007B0110" w:rsidRPr="004C3F50" w:rsidRDefault="007B0110" w:rsidP="007B0110">
      <w:pPr>
        <w:rPr>
          <w:rFonts w:cs="Arial"/>
          <w:szCs w:val="22"/>
        </w:rPr>
      </w:pPr>
      <w:r w:rsidRPr="004C3F50">
        <w:rPr>
          <w:rFonts w:cs="Arial"/>
          <w:szCs w:val="22"/>
        </w:rPr>
        <w:t xml:space="preserve">The necessity for a treatment effectiveness sleep study is determined by a qualified adult sleep medicine practitioner or consultant respiratory physician where </w:t>
      </w:r>
    </w:p>
    <w:p w14:paraId="3F56D3A7" w14:textId="77777777" w:rsidR="007B0110" w:rsidRPr="004C3F50" w:rsidRDefault="00C546C4" w:rsidP="00C546C4">
      <w:pPr>
        <w:pStyle w:val="NormalBulleteda"/>
      </w:pPr>
      <w:r>
        <w:t>(a)</w:t>
      </w:r>
      <w:r>
        <w:tab/>
      </w:r>
      <w:r w:rsidR="007B0110" w:rsidRPr="00C546C4">
        <w:t>the</w:t>
      </w:r>
      <w:r w:rsidR="007B0110" w:rsidRPr="004C3F50">
        <w:t xml:space="preserve"> patient has undergone a therapeutic intervention including but not limited to PAP, upper airway surgery, appropriate oral appliance, </w:t>
      </w:r>
      <w:r w:rsidR="007B0110" w:rsidRPr="004C3F50">
        <w:rPr>
          <w:u w:val="single"/>
        </w:rPr>
        <w:t>&gt;</w:t>
      </w:r>
      <w:r w:rsidR="007B0110" w:rsidRPr="004C3F50">
        <w:t>10% weight loss in the previous 6 months, AND</w:t>
      </w:r>
    </w:p>
    <w:p w14:paraId="01028867" w14:textId="77777777" w:rsidR="000A5970" w:rsidRPr="003105FB" w:rsidRDefault="00C546C4" w:rsidP="00C546C4">
      <w:pPr>
        <w:pStyle w:val="NormalBulleteda"/>
      </w:pPr>
      <w:r>
        <w:t>(b)</w:t>
      </w:r>
      <w:r>
        <w:tab/>
      </w:r>
      <w:r w:rsidR="007B0110" w:rsidRPr="004C3F50">
        <w:t xml:space="preserve">There is clinical evidence of sub-optimal response, OR uncertainty regarding control of sleep disordered breathing. </w:t>
      </w:r>
      <w:bookmarkEnd w:id="211"/>
      <w:r w:rsidR="000A5970" w:rsidRPr="003105FB">
        <w:br w:type="page"/>
      </w:r>
    </w:p>
    <w:p w14:paraId="59377A55" w14:textId="77777777" w:rsidR="000A5970" w:rsidRDefault="000A5970" w:rsidP="003F2A67">
      <w:pPr>
        <w:pStyle w:val="Heading1"/>
      </w:pPr>
      <w:bookmarkStart w:id="212" w:name="_Ref457198246"/>
      <w:bookmarkStart w:id="213" w:name="_Toc458510005"/>
      <w:bookmarkStart w:id="214" w:name="_Toc458768473"/>
      <w:bookmarkStart w:id="215" w:name="_Toc458768653"/>
      <w:bookmarkStart w:id="216" w:name="_Toc478721514"/>
      <w:bookmarkEnd w:id="165"/>
      <w:r>
        <w:lastRenderedPageBreak/>
        <w:t>Diagnostic and therapeutic procedures – lung, trachea and bronchus</w:t>
      </w:r>
      <w:bookmarkEnd w:id="212"/>
      <w:bookmarkEnd w:id="213"/>
      <w:bookmarkEnd w:id="214"/>
      <w:bookmarkEnd w:id="215"/>
      <w:bookmarkEnd w:id="216"/>
    </w:p>
    <w:p w14:paraId="405D0172" w14:textId="77777777" w:rsidR="002038AA" w:rsidRDefault="002038AA" w:rsidP="00DA5B19">
      <w:pPr>
        <w:rPr>
          <w:lang w:val="en-US" w:eastAsia="en-US"/>
        </w:rPr>
      </w:pPr>
      <w:r>
        <w:rPr>
          <w:lang w:val="en-US" w:eastAsia="en-US"/>
        </w:rPr>
        <w:t xml:space="preserve">Seven items for sleep study are </w:t>
      </w:r>
      <w:r w:rsidRPr="003F1FC3">
        <w:rPr>
          <w:lang w:val="en-US" w:eastAsia="en-US"/>
        </w:rPr>
        <w:t>considered in this section</w:t>
      </w:r>
      <w:r>
        <w:rPr>
          <w:lang w:val="en-US" w:eastAsia="en-US"/>
        </w:rPr>
        <w:t>:</w:t>
      </w:r>
    </w:p>
    <w:p w14:paraId="4B0D4D4D" w14:textId="77777777" w:rsidR="002038AA" w:rsidRPr="00851104" w:rsidRDefault="002038AA" w:rsidP="002038AA">
      <w:pPr>
        <w:pStyle w:val="NormalBulleted"/>
      </w:pPr>
      <w:r w:rsidRPr="009109BE">
        <w:rPr>
          <w:b/>
        </w:rPr>
        <w:t>30696</w:t>
      </w:r>
      <w:r>
        <w:tab/>
      </w:r>
      <w:r w:rsidRPr="00851104">
        <w:t xml:space="preserve">Endoscopic Ultrasound Guided Fine Needle Aspiration Biopsy(s) </w:t>
      </w:r>
    </w:p>
    <w:p w14:paraId="585B6979" w14:textId="77777777" w:rsidR="002038AA" w:rsidRPr="009109BE" w:rsidRDefault="002038AA" w:rsidP="002038AA">
      <w:pPr>
        <w:pStyle w:val="NormalBulleted"/>
      </w:pPr>
      <w:r w:rsidRPr="009109BE">
        <w:rPr>
          <w:b/>
        </w:rPr>
        <w:t>30710</w:t>
      </w:r>
      <w:r>
        <w:tab/>
      </w:r>
      <w:r w:rsidRPr="00851104">
        <w:t>Endobronchial Ultrasound Guided Biopsy(s)</w:t>
      </w:r>
    </w:p>
    <w:p w14:paraId="45EA3361" w14:textId="77777777" w:rsidR="002038AA" w:rsidRPr="00851104" w:rsidRDefault="002038AA" w:rsidP="002038AA">
      <w:pPr>
        <w:pStyle w:val="NormalBulleted"/>
      </w:pPr>
      <w:r w:rsidRPr="009109BE">
        <w:rPr>
          <w:b/>
        </w:rPr>
        <w:t>41889</w:t>
      </w:r>
      <w:r>
        <w:tab/>
      </w:r>
      <w:r w:rsidRPr="00851104">
        <w:t>Bronchoscopy</w:t>
      </w:r>
    </w:p>
    <w:p w14:paraId="44C1E3B5" w14:textId="77777777" w:rsidR="002038AA" w:rsidRPr="00851104" w:rsidRDefault="002038AA" w:rsidP="002038AA">
      <w:pPr>
        <w:pStyle w:val="NormalBulleted"/>
      </w:pPr>
      <w:r w:rsidRPr="009109BE">
        <w:rPr>
          <w:b/>
        </w:rPr>
        <w:t>41892</w:t>
      </w:r>
      <w:r>
        <w:rPr>
          <w:b/>
        </w:rPr>
        <w:tab/>
      </w:r>
      <w:r w:rsidRPr="00851104">
        <w:t>Bronchoscopy with Endobronchial biopsies or diagnostic/therapeutic procedures</w:t>
      </w:r>
    </w:p>
    <w:p w14:paraId="5D497DEE" w14:textId="77777777" w:rsidR="002038AA" w:rsidRPr="00851104" w:rsidRDefault="002038AA" w:rsidP="002038AA">
      <w:pPr>
        <w:pStyle w:val="NormalBulleted"/>
      </w:pPr>
      <w:r w:rsidRPr="009109BE">
        <w:rPr>
          <w:b/>
        </w:rPr>
        <w:t>41895</w:t>
      </w:r>
      <w:r>
        <w:tab/>
      </w:r>
      <w:r w:rsidRPr="00851104">
        <w:t>Bronchus, removal of foreign body</w:t>
      </w:r>
    </w:p>
    <w:p w14:paraId="6770F1DE" w14:textId="77777777" w:rsidR="002038AA" w:rsidRPr="00851104" w:rsidRDefault="002038AA" w:rsidP="002038AA">
      <w:pPr>
        <w:pStyle w:val="NormalBulleted"/>
      </w:pPr>
      <w:r w:rsidRPr="009109BE">
        <w:rPr>
          <w:b/>
        </w:rPr>
        <w:t>41898</w:t>
      </w:r>
      <w:r>
        <w:tab/>
      </w:r>
      <w:r w:rsidRPr="00851104">
        <w:t>Fibreoptic Bronchoscopy</w:t>
      </w:r>
    </w:p>
    <w:p w14:paraId="72FBCCC1" w14:textId="77777777" w:rsidR="002038AA" w:rsidRPr="009109BE" w:rsidRDefault="002038AA" w:rsidP="002038AA">
      <w:pPr>
        <w:pStyle w:val="NormalBulleted"/>
      </w:pPr>
      <w:r>
        <w:rPr>
          <w:b/>
        </w:rPr>
        <w:t>41905</w:t>
      </w:r>
      <w:r>
        <w:rPr>
          <w:b/>
        </w:rPr>
        <w:tab/>
      </w:r>
      <w:r w:rsidRPr="009109BE">
        <w:t>Trachea or Bronchus, dilatation of stricture and endoscopic insertion of stent</w:t>
      </w:r>
    </w:p>
    <w:p w14:paraId="40EAF2A9" w14:textId="77777777" w:rsidR="00CA0EDB" w:rsidRDefault="00CA0EDB" w:rsidP="00CA0EDB">
      <w:pPr>
        <w:pStyle w:val="Heading2"/>
      </w:pPr>
      <w:bookmarkStart w:id="217" w:name="_Toc458510006"/>
      <w:bookmarkStart w:id="218" w:name="_Toc458768474"/>
      <w:bookmarkStart w:id="219" w:name="_Toc458768654"/>
      <w:bookmarkStart w:id="220" w:name="_Toc478721515"/>
      <w:r>
        <w:t>Therapeutic procedures – bronchus and trachea</w:t>
      </w:r>
      <w:bookmarkEnd w:id="217"/>
      <w:bookmarkEnd w:id="218"/>
      <w:bookmarkEnd w:id="219"/>
      <w:bookmarkEnd w:id="220"/>
      <w:r w:rsidRPr="000D168E">
        <w:t xml:space="preserve"> </w:t>
      </w:r>
    </w:p>
    <w:p w14:paraId="106C22A0" w14:textId="77777777" w:rsidR="000A5970" w:rsidRPr="005C5C60" w:rsidRDefault="000A5970" w:rsidP="00F56E64">
      <w:bookmarkStart w:id="221" w:name="_Toc430335951"/>
      <w:bookmarkStart w:id="222" w:name="_Toc445993787"/>
      <w:bookmarkStart w:id="223" w:name="_Toc434329393"/>
      <w:r w:rsidRPr="000D168E">
        <w:t xml:space="preserve">These items were only briefly reviewed by the </w:t>
      </w:r>
      <w:r w:rsidR="00CA0EDB">
        <w:t>Committee</w:t>
      </w:r>
      <w:r w:rsidRPr="000D168E">
        <w:t>.</w:t>
      </w:r>
      <w:r w:rsidR="00A403FC">
        <w:t xml:space="preserve"> </w:t>
      </w:r>
      <w:r w:rsidRPr="000D168E">
        <w:t>Members suggested that the fee relativity between items 41895 and items 41892 and 41898 is not correct noting that the complexity of the three services is similar. There could be some room for consolidation of these items.</w:t>
      </w:r>
      <w:r w:rsidR="00A403FC">
        <w:t xml:space="preserve"> </w:t>
      </w:r>
      <w:r w:rsidRPr="000D168E">
        <w:t xml:space="preserve">The </w:t>
      </w:r>
      <w:r w:rsidR="00CA0EDB">
        <w:t>Committee</w:t>
      </w:r>
      <w:r w:rsidRPr="000D168E">
        <w:t xml:space="preserve"> noted that the MBS fees for these items are low</w:t>
      </w:r>
      <w:r w:rsidR="00CA0EDB">
        <w:t>,</w:t>
      </w:r>
      <w:r w:rsidRPr="000D168E">
        <w:t xml:space="preserve"> taking account of the complexity of the services.</w:t>
      </w:r>
      <w:r>
        <w:t xml:space="preserve"> </w:t>
      </w:r>
      <w:r w:rsidRPr="000D168E">
        <w:t>No specific recommendations were made and it was agreed that these items could be more closely reviewed during a future MBS review.</w:t>
      </w:r>
    </w:p>
    <w:p w14:paraId="1F7916D0" w14:textId="77777777" w:rsidR="000A5970" w:rsidRPr="000D168E" w:rsidRDefault="00CA0EDB" w:rsidP="000A5970">
      <w:pPr>
        <w:pStyle w:val="Heading3"/>
      </w:pPr>
      <w:bookmarkStart w:id="224" w:name="_Toc452990643"/>
      <w:r>
        <w:t>MBS data on therapeutic p</w:t>
      </w:r>
      <w:r w:rsidR="000A5970" w:rsidRPr="000D168E">
        <w:t>rocedures</w:t>
      </w:r>
      <w:bookmarkEnd w:id="221"/>
      <w:r w:rsidR="000A5970" w:rsidRPr="000D168E">
        <w:t xml:space="preserve"> - </w:t>
      </w:r>
      <w:r>
        <w:t>bronchus and t</w:t>
      </w:r>
      <w:r w:rsidR="000A5970" w:rsidRPr="000D168E">
        <w:t>rachea</w:t>
      </w:r>
      <w:bookmarkEnd w:id="224"/>
    </w:p>
    <w:p w14:paraId="036CF65E" w14:textId="77777777" w:rsidR="00CA0EDB" w:rsidRPr="00E52BC8" w:rsidRDefault="00CA0EDB" w:rsidP="00E52BC8">
      <w:pPr>
        <w:pStyle w:val="Caption"/>
      </w:pPr>
      <w:bookmarkStart w:id="225" w:name="_Toc457450674"/>
      <w:bookmarkStart w:id="226" w:name="_Toc478721555"/>
      <w:r w:rsidRPr="00E52BC8">
        <w:t xml:space="preserve">Table </w:t>
      </w:r>
      <w:r w:rsidR="007B0110" w:rsidRPr="00E52BC8">
        <w:t>2</w:t>
      </w:r>
      <w:r w:rsidR="008E45D1">
        <w:t>1</w:t>
      </w:r>
      <w:r w:rsidRPr="00E52BC8">
        <w:t>:</w:t>
      </w:r>
      <w:r w:rsidRPr="00E52BC8">
        <w:tab/>
        <w:t>High level MBS data on therapeutic procedures - i</w:t>
      </w:r>
      <w:r w:rsidR="001F2FFA" w:rsidRPr="00E52BC8">
        <w:t>tems 41889, 41892, 41895, 41898 and</w:t>
      </w:r>
      <w:r w:rsidRPr="00E52BC8">
        <w:t xml:space="preserve"> 41905 2014-15</w:t>
      </w:r>
      <w:bookmarkEnd w:id="225"/>
      <w:bookmarkEnd w:id="226"/>
    </w:p>
    <w:tbl>
      <w:tblPr>
        <w:tblW w:w="9214" w:type="dxa"/>
        <w:tblBorders>
          <w:top w:val="single" w:sz="4" w:space="0" w:color="B56011"/>
          <w:bottom w:val="single" w:sz="4" w:space="0" w:color="B56011"/>
          <w:insideH w:val="single" w:sz="4" w:space="0" w:color="B56011"/>
        </w:tblBorders>
        <w:tblLayout w:type="fixed"/>
        <w:tblLook w:val="04A0" w:firstRow="1" w:lastRow="0" w:firstColumn="1" w:lastColumn="0" w:noHBand="0" w:noVBand="1"/>
        <w:tblDescription w:val="Table 21 provides an overview of MBS data, including services and benefits, for bronchus and trachea therapeutic procedure items 41889, 41892, 41895, 41898 and 41905 in 2014-15."/>
      </w:tblPr>
      <w:tblGrid>
        <w:gridCol w:w="3936"/>
        <w:gridCol w:w="1055"/>
        <w:gridCol w:w="1213"/>
        <w:gridCol w:w="898"/>
        <w:gridCol w:w="1056"/>
        <w:gridCol w:w="1056"/>
      </w:tblGrid>
      <w:tr w:rsidR="00CA0EDB" w:rsidRPr="00DC29AA" w14:paraId="620D1F20" w14:textId="77777777" w:rsidTr="002B460A">
        <w:trPr>
          <w:tblHeader/>
        </w:trPr>
        <w:tc>
          <w:tcPr>
            <w:tcW w:w="3936" w:type="dxa"/>
            <w:shd w:val="clear" w:color="auto" w:fill="auto"/>
          </w:tcPr>
          <w:p w14:paraId="06342E99" w14:textId="77777777" w:rsidR="000A5970" w:rsidRPr="00DC29AA" w:rsidRDefault="007B0110" w:rsidP="00DC29AA">
            <w:pPr>
              <w:pStyle w:val="Tableheading"/>
            </w:pPr>
            <w:r w:rsidRPr="00DC29AA">
              <w:t>Statistic</w:t>
            </w:r>
          </w:p>
        </w:tc>
        <w:tc>
          <w:tcPr>
            <w:tcW w:w="1055" w:type="dxa"/>
            <w:shd w:val="clear" w:color="auto" w:fill="auto"/>
          </w:tcPr>
          <w:p w14:paraId="1AEC4AC6" w14:textId="77777777" w:rsidR="000A5970" w:rsidRPr="00DC29AA" w:rsidRDefault="000A5970" w:rsidP="00DC29AA">
            <w:pPr>
              <w:pStyle w:val="Tableheading"/>
            </w:pPr>
            <w:r w:rsidRPr="00DC29AA">
              <w:t>41889</w:t>
            </w:r>
          </w:p>
        </w:tc>
        <w:tc>
          <w:tcPr>
            <w:tcW w:w="1213" w:type="dxa"/>
            <w:shd w:val="clear" w:color="auto" w:fill="auto"/>
          </w:tcPr>
          <w:p w14:paraId="75FD4154" w14:textId="77777777" w:rsidR="000A5970" w:rsidRPr="00DC29AA" w:rsidRDefault="000A5970" w:rsidP="00DC29AA">
            <w:pPr>
              <w:pStyle w:val="Tableheading"/>
            </w:pPr>
            <w:r w:rsidRPr="00DC29AA">
              <w:t>41892</w:t>
            </w:r>
          </w:p>
        </w:tc>
        <w:tc>
          <w:tcPr>
            <w:tcW w:w="898" w:type="dxa"/>
            <w:shd w:val="clear" w:color="auto" w:fill="auto"/>
          </w:tcPr>
          <w:p w14:paraId="0FC02496" w14:textId="77777777" w:rsidR="000A5970" w:rsidRPr="00DC29AA" w:rsidRDefault="000A5970" w:rsidP="00DC29AA">
            <w:pPr>
              <w:pStyle w:val="Tableheading"/>
            </w:pPr>
            <w:r w:rsidRPr="00DC29AA">
              <w:t>41895</w:t>
            </w:r>
          </w:p>
        </w:tc>
        <w:tc>
          <w:tcPr>
            <w:tcW w:w="1056" w:type="dxa"/>
            <w:shd w:val="clear" w:color="auto" w:fill="auto"/>
          </w:tcPr>
          <w:p w14:paraId="594845B7" w14:textId="77777777" w:rsidR="000A5970" w:rsidRPr="00DC29AA" w:rsidRDefault="000A5970" w:rsidP="00DC29AA">
            <w:pPr>
              <w:pStyle w:val="Tableheading"/>
            </w:pPr>
            <w:r w:rsidRPr="00DC29AA">
              <w:t>41898</w:t>
            </w:r>
          </w:p>
        </w:tc>
        <w:tc>
          <w:tcPr>
            <w:tcW w:w="1056" w:type="dxa"/>
            <w:shd w:val="clear" w:color="auto" w:fill="auto"/>
          </w:tcPr>
          <w:p w14:paraId="44A7524D" w14:textId="77777777" w:rsidR="000A5970" w:rsidRPr="00DC29AA" w:rsidRDefault="000A5970" w:rsidP="00DC29AA">
            <w:pPr>
              <w:pStyle w:val="Tableheading"/>
            </w:pPr>
            <w:r w:rsidRPr="00DC29AA">
              <w:t>41905</w:t>
            </w:r>
          </w:p>
        </w:tc>
      </w:tr>
      <w:tr w:rsidR="00CA0EDB" w:rsidRPr="00CA0EDB" w14:paraId="3627BA8A" w14:textId="77777777" w:rsidTr="00CA0EDB">
        <w:tc>
          <w:tcPr>
            <w:tcW w:w="3936" w:type="dxa"/>
            <w:shd w:val="clear" w:color="auto" w:fill="auto"/>
          </w:tcPr>
          <w:p w14:paraId="2C6FEF95" w14:textId="77777777" w:rsidR="000A5970" w:rsidRPr="00CA0EDB" w:rsidRDefault="000A5970" w:rsidP="00A403FC">
            <w:pPr>
              <w:pStyle w:val="Tabletext"/>
              <w:rPr>
                <w:rFonts w:eastAsiaTheme="minorHAnsi"/>
              </w:rPr>
            </w:pPr>
            <w:r w:rsidRPr="00CA0EDB">
              <w:rPr>
                <w:rFonts w:eastAsiaTheme="minorHAnsi"/>
              </w:rPr>
              <w:t xml:space="preserve">Number of services </w:t>
            </w:r>
          </w:p>
        </w:tc>
        <w:tc>
          <w:tcPr>
            <w:tcW w:w="1055" w:type="dxa"/>
            <w:shd w:val="clear" w:color="auto" w:fill="auto"/>
          </w:tcPr>
          <w:p w14:paraId="5D47029D" w14:textId="77777777" w:rsidR="000A5970" w:rsidRPr="00A666BE" w:rsidRDefault="000A5970" w:rsidP="00A666BE">
            <w:pPr>
              <w:pStyle w:val="Tabletext"/>
            </w:pPr>
            <w:r w:rsidRPr="00A666BE">
              <w:t>1,570</w:t>
            </w:r>
          </w:p>
        </w:tc>
        <w:tc>
          <w:tcPr>
            <w:tcW w:w="1213" w:type="dxa"/>
            <w:shd w:val="clear" w:color="auto" w:fill="auto"/>
          </w:tcPr>
          <w:p w14:paraId="083C38ED" w14:textId="77777777" w:rsidR="000A5970" w:rsidRPr="00A666BE" w:rsidRDefault="000A5970" w:rsidP="00A666BE">
            <w:pPr>
              <w:pStyle w:val="Tabletext"/>
            </w:pPr>
            <w:r w:rsidRPr="00A666BE">
              <w:t>10,185</w:t>
            </w:r>
          </w:p>
        </w:tc>
        <w:tc>
          <w:tcPr>
            <w:tcW w:w="898" w:type="dxa"/>
            <w:shd w:val="clear" w:color="auto" w:fill="auto"/>
          </w:tcPr>
          <w:p w14:paraId="09608131" w14:textId="77777777" w:rsidR="000A5970" w:rsidRPr="00A666BE" w:rsidRDefault="000A5970" w:rsidP="00A666BE">
            <w:pPr>
              <w:pStyle w:val="Tabletext"/>
            </w:pPr>
            <w:r w:rsidRPr="00A666BE">
              <w:t>88</w:t>
            </w:r>
          </w:p>
        </w:tc>
        <w:tc>
          <w:tcPr>
            <w:tcW w:w="1056" w:type="dxa"/>
            <w:shd w:val="clear" w:color="auto" w:fill="auto"/>
          </w:tcPr>
          <w:p w14:paraId="5648E4E7" w14:textId="77777777" w:rsidR="000A5970" w:rsidRPr="00A666BE" w:rsidRDefault="000A5970" w:rsidP="00A666BE">
            <w:pPr>
              <w:pStyle w:val="Tabletext"/>
            </w:pPr>
            <w:r w:rsidRPr="00A666BE">
              <w:t>1,604</w:t>
            </w:r>
          </w:p>
        </w:tc>
        <w:tc>
          <w:tcPr>
            <w:tcW w:w="1056" w:type="dxa"/>
            <w:shd w:val="clear" w:color="auto" w:fill="auto"/>
          </w:tcPr>
          <w:p w14:paraId="45826349" w14:textId="77777777" w:rsidR="000A5970" w:rsidRPr="00A666BE" w:rsidRDefault="000A5970" w:rsidP="00A666BE">
            <w:pPr>
              <w:pStyle w:val="Tabletext"/>
            </w:pPr>
            <w:r w:rsidRPr="00A666BE">
              <w:t>221</w:t>
            </w:r>
          </w:p>
        </w:tc>
      </w:tr>
      <w:tr w:rsidR="00CA0EDB" w:rsidRPr="00CA0EDB" w14:paraId="4B4ED5D2" w14:textId="77777777" w:rsidTr="00CA0EDB">
        <w:tc>
          <w:tcPr>
            <w:tcW w:w="3936" w:type="dxa"/>
            <w:shd w:val="clear" w:color="auto" w:fill="auto"/>
          </w:tcPr>
          <w:p w14:paraId="2D2C23DD" w14:textId="77777777" w:rsidR="000A5970" w:rsidRPr="00CA0EDB" w:rsidRDefault="000A5970" w:rsidP="00A403FC">
            <w:pPr>
              <w:pStyle w:val="Tabletext"/>
              <w:rPr>
                <w:rFonts w:eastAsiaTheme="minorHAnsi"/>
              </w:rPr>
            </w:pPr>
            <w:r w:rsidRPr="00CA0EDB">
              <w:rPr>
                <w:rFonts w:eastAsiaTheme="minorHAnsi"/>
              </w:rPr>
              <w:t xml:space="preserve">Benefits </w:t>
            </w:r>
          </w:p>
        </w:tc>
        <w:tc>
          <w:tcPr>
            <w:tcW w:w="1055" w:type="dxa"/>
            <w:shd w:val="clear" w:color="auto" w:fill="auto"/>
          </w:tcPr>
          <w:p w14:paraId="1168A610" w14:textId="77777777" w:rsidR="000A5970" w:rsidRPr="00A666BE" w:rsidRDefault="000A5970" w:rsidP="00A666BE">
            <w:pPr>
              <w:pStyle w:val="Tabletext"/>
            </w:pPr>
            <w:r w:rsidRPr="00A666BE">
              <w:t>$196,091</w:t>
            </w:r>
          </w:p>
        </w:tc>
        <w:tc>
          <w:tcPr>
            <w:tcW w:w="1213" w:type="dxa"/>
            <w:shd w:val="clear" w:color="auto" w:fill="auto"/>
          </w:tcPr>
          <w:p w14:paraId="76B75FF1" w14:textId="77777777" w:rsidR="000A5970" w:rsidRPr="00A666BE" w:rsidRDefault="000A5970" w:rsidP="00A666BE">
            <w:pPr>
              <w:pStyle w:val="Tabletext"/>
            </w:pPr>
            <w:r w:rsidRPr="00A666BE">
              <w:t>$1,611,556</w:t>
            </w:r>
          </w:p>
        </w:tc>
        <w:tc>
          <w:tcPr>
            <w:tcW w:w="898" w:type="dxa"/>
            <w:shd w:val="clear" w:color="auto" w:fill="auto"/>
          </w:tcPr>
          <w:p w14:paraId="73E8A03A" w14:textId="77777777" w:rsidR="000A5970" w:rsidRPr="00A666BE" w:rsidRDefault="000A5970" w:rsidP="00A666BE">
            <w:pPr>
              <w:pStyle w:val="Tabletext"/>
            </w:pPr>
            <w:r w:rsidRPr="00A666BE">
              <w:t>$21,952</w:t>
            </w:r>
          </w:p>
        </w:tc>
        <w:tc>
          <w:tcPr>
            <w:tcW w:w="1056" w:type="dxa"/>
            <w:shd w:val="clear" w:color="auto" w:fill="auto"/>
          </w:tcPr>
          <w:p w14:paraId="3E57BEB1" w14:textId="77777777" w:rsidR="000A5970" w:rsidRPr="00A666BE" w:rsidRDefault="000A5970" w:rsidP="00A666BE">
            <w:pPr>
              <w:pStyle w:val="Tabletext"/>
            </w:pPr>
            <w:r w:rsidRPr="00A666BE">
              <w:t>$315,045</w:t>
            </w:r>
          </w:p>
        </w:tc>
        <w:tc>
          <w:tcPr>
            <w:tcW w:w="1056" w:type="dxa"/>
            <w:shd w:val="clear" w:color="auto" w:fill="auto"/>
          </w:tcPr>
          <w:p w14:paraId="473B5C40" w14:textId="77777777" w:rsidR="000A5970" w:rsidRPr="00A666BE" w:rsidRDefault="000A5970" w:rsidP="00A666BE">
            <w:pPr>
              <w:pStyle w:val="Tabletext"/>
            </w:pPr>
            <w:r w:rsidRPr="00A666BE">
              <w:t>$60,182</w:t>
            </w:r>
          </w:p>
        </w:tc>
      </w:tr>
      <w:tr w:rsidR="00CA0EDB" w:rsidRPr="00CA0EDB" w14:paraId="03BEB789" w14:textId="77777777" w:rsidTr="00CA0EDB">
        <w:tc>
          <w:tcPr>
            <w:tcW w:w="3936" w:type="dxa"/>
            <w:shd w:val="clear" w:color="auto" w:fill="auto"/>
          </w:tcPr>
          <w:p w14:paraId="2A6DB993" w14:textId="77777777" w:rsidR="000A5970" w:rsidRPr="00CA0EDB" w:rsidRDefault="000A5970" w:rsidP="00A403FC">
            <w:pPr>
              <w:pStyle w:val="Tabletext"/>
              <w:rPr>
                <w:rFonts w:eastAsiaTheme="minorHAnsi"/>
              </w:rPr>
            </w:pPr>
            <w:r w:rsidRPr="00CA0EDB">
              <w:rPr>
                <w:rFonts w:eastAsiaTheme="minorHAnsi"/>
              </w:rPr>
              <w:t>Number of providers</w:t>
            </w:r>
          </w:p>
        </w:tc>
        <w:tc>
          <w:tcPr>
            <w:tcW w:w="1055" w:type="dxa"/>
            <w:shd w:val="clear" w:color="auto" w:fill="auto"/>
          </w:tcPr>
          <w:p w14:paraId="4E74FF8A" w14:textId="77777777" w:rsidR="000A5970" w:rsidRPr="00A666BE" w:rsidRDefault="000A5970" w:rsidP="00A666BE">
            <w:pPr>
              <w:pStyle w:val="Tabletext"/>
            </w:pPr>
            <w:r w:rsidRPr="00A666BE">
              <w:t>401</w:t>
            </w:r>
          </w:p>
        </w:tc>
        <w:tc>
          <w:tcPr>
            <w:tcW w:w="1213" w:type="dxa"/>
            <w:shd w:val="clear" w:color="auto" w:fill="auto"/>
          </w:tcPr>
          <w:p w14:paraId="797C2161" w14:textId="77777777" w:rsidR="000A5970" w:rsidRPr="00A666BE" w:rsidRDefault="000A5970" w:rsidP="00A666BE">
            <w:pPr>
              <w:pStyle w:val="Tabletext"/>
            </w:pPr>
            <w:r w:rsidRPr="00A666BE">
              <w:t>621</w:t>
            </w:r>
          </w:p>
        </w:tc>
        <w:tc>
          <w:tcPr>
            <w:tcW w:w="898" w:type="dxa"/>
            <w:shd w:val="clear" w:color="auto" w:fill="auto"/>
          </w:tcPr>
          <w:p w14:paraId="2A1974AF" w14:textId="77777777" w:rsidR="000A5970" w:rsidRPr="00A666BE" w:rsidRDefault="000A5970" w:rsidP="00A666BE">
            <w:pPr>
              <w:pStyle w:val="Tabletext"/>
            </w:pPr>
            <w:r w:rsidRPr="00A666BE">
              <w:t>46</w:t>
            </w:r>
          </w:p>
        </w:tc>
        <w:tc>
          <w:tcPr>
            <w:tcW w:w="1056" w:type="dxa"/>
            <w:shd w:val="clear" w:color="auto" w:fill="auto"/>
          </w:tcPr>
          <w:p w14:paraId="2D9E2D86" w14:textId="77777777" w:rsidR="000A5970" w:rsidRPr="00A666BE" w:rsidRDefault="000A5970" w:rsidP="00A666BE">
            <w:pPr>
              <w:pStyle w:val="Tabletext"/>
            </w:pPr>
            <w:r w:rsidRPr="00A666BE">
              <w:t>244</w:t>
            </w:r>
          </w:p>
        </w:tc>
        <w:tc>
          <w:tcPr>
            <w:tcW w:w="1056" w:type="dxa"/>
            <w:shd w:val="clear" w:color="auto" w:fill="auto"/>
          </w:tcPr>
          <w:p w14:paraId="28454041" w14:textId="77777777" w:rsidR="000A5970" w:rsidRPr="00A666BE" w:rsidRDefault="000A5970" w:rsidP="00A666BE">
            <w:pPr>
              <w:pStyle w:val="Tabletext"/>
            </w:pPr>
            <w:r w:rsidRPr="00A666BE">
              <w:t>33</w:t>
            </w:r>
          </w:p>
        </w:tc>
      </w:tr>
      <w:tr w:rsidR="00CA0EDB" w:rsidRPr="00CA0EDB" w14:paraId="72FEE4AD" w14:textId="77777777" w:rsidTr="00CA0EDB">
        <w:tc>
          <w:tcPr>
            <w:tcW w:w="3936" w:type="dxa"/>
            <w:shd w:val="clear" w:color="auto" w:fill="auto"/>
          </w:tcPr>
          <w:p w14:paraId="4693C5E8" w14:textId="77777777" w:rsidR="000A5970" w:rsidRPr="00CA0EDB" w:rsidRDefault="000A5970" w:rsidP="00A403FC">
            <w:pPr>
              <w:pStyle w:val="Tabletext"/>
              <w:rPr>
                <w:rFonts w:eastAsiaTheme="minorHAnsi"/>
              </w:rPr>
            </w:pPr>
            <w:r w:rsidRPr="00CA0EDB">
              <w:rPr>
                <w:rFonts w:eastAsiaTheme="minorHAnsi"/>
              </w:rPr>
              <w:t>Number of patients</w:t>
            </w:r>
          </w:p>
        </w:tc>
        <w:tc>
          <w:tcPr>
            <w:tcW w:w="1055" w:type="dxa"/>
            <w:shd w:val="clear" w:color="auto" w:fill="auto"/>
          </w:tcPr>
          <w:p w14:paraId="2E1C2588" w14:textId="77777777" w:rsidR="000A5970" w:rsidRPr="00A666BE" w:rsidRDefault="000A5970" w:rsidP="00A666BE">
            <w:pPr>
              <w:pStyle w:val="Tabletext"/>
            </w:pPr>
            <w:r w:rsidRPr="00A666BE">
              <w:t>1,455</w:t>
            </w:r>
          </w:p>
        </w:tc>
        <w:tc>
          <w:tcPr>
            <w:tcW w:w="1213" w:type="dxa"/>
            <w:shd w:val="clear" w:color="auto" w:fill="auto"/>
          </w:tcPr>
          <w:p w14:paraId="08D89A7E" w14:textId="77777777" w:rsidR="000A5970" w:rsidRPr="00A666BE" w:rsidRDefault="000A5970" w:rsidP="00A666BE">
            <w:pPr>
              <w:pStyle w:val="Tabletext"/>
            </w:pPr>
            <w:r w:rsidRPr="00A666BE">
              <w:t>9,069</w:t>
            </w:r>
          </w:p>
        </w:tc>
        <w:tc>
          <w:tcPr>
            <w:tcW w:w="898" w:type="dxa"/>
            <w:shd w:val="clear" w:color="auto" w:fill="auto"/>
          </w:tcPr>
          <w:p w14:paraId="78AB7D35" w14:textId="77777777" w:rsidR="000A5970" w:rsidRPr="00A666BE" w:rsidRDefault="000A5970" w:rsidP="00A666BE">
            <w:pPr>
              <w:pStyle w:val="Tabletext"/>
            </w:pPr>
            <w:r w:rsidRPr="00A666BE">
              <w:t>78</w:t>
            </w:r>
          </w:p>
        </w:tc>
        <w:tc>
          <w:tcPr>
            <w:tcW w:w="1056" w:type="dxa"/>
            <w:shd w:val="clear" w:color="auto" w:fill="auto"/>
          </w:tcPr>
          <w:p w14:paraId="65EF4540" w14:textId="77777777" w:rsidR="000A5970" w:rsidRPr="00A666BE" w:rsidRDefault="000A5970" w:rsidP="00A666BE">
            <w:pPr>
              <w:pStyle w:val="Tabletext"/>
            </w:pPr>
            <w:r w:rsidRPr="00A666BE">
              <w:t>1,502</w:t>
            </w:r>
          </w:p>
        </w:tc>
        <w:tc>
          <w:tcPr>
            <w:tcW w:w="1056" w:type="dxa"/>
            <w:shd w:val="clear" w:color="auto" w:fill="auto"/>
          </w:tcPr>
          <w:p w14:paraId="274090C7" w14:textId="77777777" w:rsidR="000A5970" w:rsidRPr="00A666BE" w:rsidRDefault="000A5970" w:rsidP="00A666BE">
            <w:pPr>
              <w:pStyle w:val="Tabletext"/>
            </w:pPr>
            <w:r w:rsidRPr="00A666BE">
              <w:t>121</w:t>
            </w:r>
          </w:p>
        </w:tc>
      </w:tr>
      <w:tr w:rsidR="00CA0EDB" w:rsidRPr="00CA0EDB" w14:paraId="7DE5302B" w14:textId="77777777" w:rsidTr="00CA0EDB">
        <w:tc>
          <w:tcPr>
            <w:tcW w:w="3936" w:type="dxa"/>
            <w:shd w:val="clear" w:color="auto" w:fill="auto"/>
          </w:tcPr>
          <w:p w14:paraId="3797BE81" w14:textId="77777777" w:rsidR="000A5970" w:rsidRPr="00CA0EDB" w:rsidRDefault="000A5970" w:rsidP="00A403FC">
            <w:pPr>
              <w:pStyle w:val="Tabletext"/>
              <w:rPr>
                <w:rFonts w:eastAsiaTheme="minorHAnsi"/>
              </w:rPr>
            </w:pPr>
            <w:r w:rsidRPr="00CA0EDB">
              <w:rPr>
                <w:rFonts w:eastAsiaTheme="minorHAnsi"/>
              </w:rPr>
              <w:t>% out of hospital (OOH)</w:t>
            </w:r>
          </w:p>
        </w:tc>
        <w:tc>
          <w:tcPr>
            <w:tcW w:w="1055" w:type="dxa"/>
            <w:shd w:val="clear" w:color="auto" w:fill="auto"/>
          </w:tcPr>
          <w:p w14:paraId="537425DE" w14:textId="77777777" w:rsidR="000A5970" w:rsidRPr="00A666BE" w:rsidRDefault="000A5970" w:rsidP="00A666BE">
            <w:pPr>
              <w:pStyle w:val="Tabletext"/>
            </w:pPr>
            <w:r w:rsidRPr="00A666BE">
              <w:t>37.26%</w:t>
            </w:r>
          </w:p>
        </w:tc>
        <w:tc>
          <w:tcPr>
            <w:tcW w:w="1213" w:type="dxa"/>
            <w:shd w:val="clear" w:color="auto" w:fill="auto"/>
          </w:tcPr>
          <w:p w14:paraId="29DD88AC" w14:textId="77777777" w:rsidR="000A5970" w:rsidRPr="00A666BE" w:rsidRDefault="000A5970" w:rsidP="00A666BE">
            <w:pPr>
              <w:pStyle w:val="Tabletext"/>
            </w:pPr>
            <w:r w:rsidRPr="00A666BE">
              <w:t>21.73%</w:t>
            </w:r>
          </w:p>
        </w:tc>
        <w:tc>
          <w:tcPr>
            <w:tcW w:w="898" w:type="dxa"/>
            <w:shd w:val="clear" w:color="auto" w:fill="auto"/>
          </w:tcPr>
          <w:p w14:paraId="32D0EBDA" w14:textId="77777777" w:rsidR="000A5970" w:rsidRPr="00A666BE" w:rsidRDefault="000A5970" w:rsidP="00A666BE">
            <w:pPr>
              <w:pStyle w:val="Tabletext"/>
            </w:pPr>
            <w:r w:rsidRPr="00A666BE">
              <w:t>0.00%</w:t>
            </w:r>
          </w:p>
        </w:tc>
        <w:tc>
          <w:tcPr>
            <w:tcW w:w="1056" w:type="dxa"/>
            <w:shd w:val="clear" w:color="auto" w:fill="auto"/>
          </w:tcPr>
          <w:p w14:paraId="13F4DAF9" w14:textId="77777777" w:rsidR="000A5970" w:rsidRPr="00A666BE" w:rsidRDefault="000A5970" w:rsidP="00A666BE">
            <w:pPr>
              <w:pStyle w:val="Tabletext"/>
            </w:pPr>
            <w:r w:rsidRPr="00A666BE">
              <w:t>26.50%</w:t>
            </w:r>
          </w:p>
        </w:tc>
        <w:tc>
          <w:tcPr>
            <w:tcW w:w="1056" w:type="dxa"/>
            <w:shd w:val="clear" w:color="auto" w:fill="auto"/>
          </w:tcPr>
          <w:p w14:paraId="33812E97" w14:textId="77777777" w:rsidR="000A5970" w:rsidRPr="00A666BE" w:rsidRDefault="000A5970" w:rsidP="00A666BE">
            <w:pPr>
              <w:pStyle w:val="Tabletext"/>
            </w:pPr>
            <w:r w:rsidRPr="00A666BE">
              <w:t>0.00%</w:t>
            </w:r>
          </w:p>
        </w:tc>
      </w:tr>
      <w:tr w:rsidR="00CA0EDB" w:rsidRPr="00CA0EDB" w14:paraId="7DBCA273" w14:textId="77777777" w:rsidTr="00CA0EDB">
        <w:tc>
          <w:tcPr>
            <w:tcW w:w="3936" w:type="dxa"/>
            <w:shd w:val="clear" w:color="auto" w:fill="auto"/>
          </w:tcPr>
          <w:p w14:paraId="5C75CF3D" w14:textId="77777777" w:rsidR="000A5970" w:rsidRPr="00CA0EDB" w:rsidRDefault="000A5970" w:rsidP="00A403FC">
            <w:pPr>
              <w:pStyle w:val="Tabletext"/>
              <w:rPr>
                <w:rFonts w:eastAsiaTheme="minorHAnsi"/>
              </w:rPr>
            </w:pPr>
            <w:r w:rsidRPr="00CA0EDB">
              <w:rPr>
                <w:rFonts w:eastAsiaTheme="minorHAnsi"/>
              </w:rPr>
              <w:t>Bulk-billing rate for out-of-hospital services</w:t>
            </w:r>
          </w:p>
        </w:tc>
        <w:tc>
          <w:tcPr>
            <w:tcW w:w="1055" w:type="dxa"/>
            <w:shd w:val="clear" w:color="auto" w:fill="auto"/>
          </w:tcPr>
          <w:p w14:paraId="2E9C4D79" w14:textId="77777777" w:rsidR="000A5970" w:rsidRPr="00A666BE" w:rsidRDefault="000A5970" w:rsidP="00A666BE">
            <w:pPr>
              <w:pStyle w:val="Tabletext"/>
            </w:pPr>
            <w:r w:rsidRPr="00A666BE">
              <w:t>99.83%</w:t>
            </w:r>
          </w:p>
        </w:tc>
        <w:tc>
          <w:tcPr>
            <w:tcW w:w="1213" w:type="dxa"/>
            <w:shd w:val="clear" w:color="auto" w:fill="auto"/>
          </w:tcPr>
          <w:p w14:paraId="3D54ED87" w14:textId="77777777" w:rsidR="000A5970" w:rsidRPr="00A666BE" w:rsidRDefault="000A5970" w:rsidP="00A666BE">
            <w:pPr>
              <w:pStyle w:val="Tabletext"/>
            </w:pPr>
            <w:r w:rsidRPr="00A666BE">
              <w:t>98.55%</w:t>
            </w:r>
          </w:p>
        </w:tc>
        <w:tc>
          <w:tcPr>
            <w:tcW w:w="898" w:type="dxa"/>
            <w:shd w:val="clear" w:color="auto" w:fill="auto"/>
          </w:tcPr>
          <w:p w14:paraId="7E293453" w14:textId="77777777" w:rsidR="000A5970" w:rsidRPr="00A666BE" w:rsidRDefault="000A5970" w:rsidP="00A666BE">
            <w:pPr>
              <w:pStyle w:val="Tabletext"/>
            </w:pPr>
            <w:r w:rsidRPr="00A666BE">
              <w:t>0.00%</w:t>
            </w:r>
          </w:p>
        </w:tc>
        <w:tc>
          <w:tcPr>
            <w:tcW w:w="1056" w:type="dxa"/>
            <w:shd w:val="clear" w:color="auto" w:fill="auto"/>
          </w:tcPr>
          <w:p w14:paraId="0DC93DA8" w14:textId="77777777" w:rsidR="000A5970" w:rsidRPr="00A666BE" w:rsidRDefault="000A5970" w:rsidP="00A666BE">
            <w:pPr>
              <w:pStyle w:val="Tabletext"/>
            </w:pPr>
            <w:r w:rsidRPr="00A666BE">
              <w:t>99.76%</w:t>
            </w:r>
          </w:p>
        </w:tc>
        <w:tc>
          <w:tcPr>
            <w:tcW w:w="1056" w:type="dxa"/>
            <w:shd w:val="clear" w:color="auto" w:fill="auto"/>
          </w:tcPr>
          <w:p w14:paraId="7C4EFFEA" w14:textId="77777777" w:rsidR="000A5970" w:rsidRPr="00A666BE" w:rsidRDefault="000A5970" w:rsidP="00A666BE">
            <w:pPr>
              <w:pStyle w:val="Tabletext"/>
            </w:pPr>
            <w:r w:rsidRPr="00A666BE">
              <w:t>0.00%</w:t>
            </w:r>
          </w:p>
        </w:tc>
      </w:tr>
      <w:tr w:rsidR="00CA0EDB" w:rsidRPr="00CA0EDB" w14:paraId="68144C46" w14:textId="77777777" w:rsidTr="00CA0EDB">
        <w:tc>
          <w:tcPr>
            <w:tcW w:w="3936" w:type="dxa"/>
            <w:shd w:val="clear" w:color="auto" w:fill="auto"/>
          </w:tcPr>
          <w:p w14:paraId="48B10C17" w14:textId="77777777" w:rsidR="000A5970" w:rsidRPr="00CA0EDB" w:rsidRDefault="000A5970" w:rsidP="00A403FC">
            <w:pPr>
              <w:pStyle w:val="Tabletext"/>
              <w:rPr>
                <w:rFonts w:eastAsiaTheme="minorHAnsi"/>
              </w:rPr>
            </w:pPr>
            <w:r w:rsidRPr="00CA0EDB">
              <w:rPr>
                <w:rFonts w:eastAsiaTheme="minorHAnsi"/>
              </w:rPr>
              <w:t>Average fee charged (OOH)</w:t>
            </w:r>
          </w:p>
        </w:tc>
        <w:tc>
          <w:tcPr>
            <w:tcW w:w="1055" w:type="dxa"/>
            <w:shd w:val="clear" w:color="auto" w:fill="auto"/>
          </w:tcPr>
          <w:p w14:paraId="4B29A100" w14:textId="77777777" w:rsidR="000A5970" w:rsidRPr="00A666BE" w:rsidRDefault="000A5970" w:rsidP="00A666BE">
            <w:pPr>
              <w:pStyle w:val="Tabletext"/>
            </w:pPr>
            <w:r w:rsidRPr="00A666BE">
              <w:t>$275.00</w:t>
            </w:r>
          </w:p>
        </w:tc>
        <w:tc>
          <w:tcPr>
            <w:tcW w:w="1213" w:type="dxa"/>
            <w:shd w:val="clear" w:color="auto" w:fill="auto"/>
          </w:tcPr>
          <w:p w14:paraId="17126441" w14:textId="77777777" w:rsidR="000A5970" w:rsidRPr="00A666BE" w:rsidRDefault="000A5970" w:rsidP="00A666BE">
            <w:pPr>
              <w:pStyle w:val="Tabletext"/>
            </w:pPr>
            <w:r w:rsidRPr="00A666BE">
              <w:t>$0.00</w:t>
            </w:r>
          </w:p>
        </w:tc>
        <w:tc>
          <w:tcPr>
            <w:tcW w:w="898" w:type="dxa"/>
            <w:shd w:val="clear" w:color="auto" w:fill="auto"/>
          </w:tcPr>
          <w:p w14:paraId="379CD0A1" w14:textId="77777777" w:rsidR="000A5970" w:rsidRPr="00A666BE" w:rsidRDefault="000A5970" w:rsidP="00A666BE">
            <w:pPr>
              <w:pStyle w:val="Tabletext"/>
            </w:pPr>
            <w:r w:rsidRPr="00A666BE">
              <w:t>n/a</w:t>
            </w:r>
          </w:p>
        </w:tc>
        <w:tc>
          <w:tcPr>
            <w:tcW w:w="1056" w:type="dxa"/>
            <w:shd w:val="clear" w:color="auto" w:fill="auto"/>
          </w:tcPr>
          <w:p w14:paraId="15FC811D" w14:textId="77777777" w:rsidR="000A5970" w:rsidRPr="00A666BE" w:rsidRDefault="000A5970" w:rsidP="00A666BE">
            <w:pPr>
              <w:pStyle w:val="Tabletext"/>
            </w:pPr>
            <w:r w:rsidRPr="00A666BE">
              <w:t>$0.00</w:t>
            </w:r>
          </w:p>
        </w:tc>
        <w:tc>
          <w:tcPr>
            <w:tcW w:w="1056" w:type="dxa"/>
            <w:shd w:val="clear" w:color="auto" w:fill="auto"/>
          </w:tcPr>
          <w:p w14:paraId="12F1FA19" w14:textId="77777777" w:rsidR="000A5970" w:rsidRPr="00A666BE" w:rsidRDefault="000A5970" w:rsidP="00A666BE">
            <w:pPr>
              <w:pStyle w:val="Tabletext"/>
            </w:pPr>
            <w:r w:rsidRPr="00A666BE">
              <w:t>n/a</w:t>
            </w:r>
          </w:p>
        </w:tc>
      </w:tr>
    </w:tbl>
    <w:p w14:paraId="6DBF064C" w14:textId="77777777" w:rsidR="007B0110" w:rsidRPr="00E52BC8" w:rsidRDefault="005F3DE4" w:rsidP="0099709F">
      <w:pPr>
        <w:pStyle w:val="TableUnderLast"/>
      </w:pPr>
      <w:bookmarkStart w:id="227" w:name="_Toc430335986"/>
      <w:r w:rsidRPr="00DA5B19">
        <w:t>Unpublished data (Department of Health)</w:t>
      </w:r>
      <w:bookmarkStart w:id="228" w:name="_Toc457450675"/>
      <w:r w:rsidR="007B0110" w:rsidRPr="00E52BC8">
        <w:br w:type="page"/>
      </w:r>
    </w:p>
    <w:p w14:paraId="54618EE3" w14:textId="77777777" w:rsidR="000A5970" w:rsidRPr="00E52BC8" w:rsidRDefault="00CA0EDB" w:rsidP="00E52BC8">
      <w:pPr>
        <w:pStyle w:val="Caption"/>
      </w:pPr>
      <w:bookmarkStart w:id="229" w:name="_Toc478721556"/>
      <w:r w:rsidRPr="00E52BC8">
        <w:lastRenderedPageBreak/>
        <w:t xml:space="preserve">Table </w:t>
      </w:r>
      <w:r w:rsidR="007B0110" w:rsidRPr="00E52BC8">
        <w:t>2</w:t>
      </w:r>
      <w:r w:rsidR="008E45D1">
        <w:t>2</w:t>
      </w:r>
      <w:r w:rsidRPr="00E52BC8">
        <w:tab/>
        <w:t>Key statistics on therapeutic procedures - items 41889, 41892, 41895, 41898 &amp; 41905</w:t>
      </w:r>
      <w:bookmarkEnd w:id="227"/>
      <w:bookmarkEnd w:id="228"/>
      <w:bookmarkEnd w:id="229"/>
    </w:p>
    <w:tbl>
      <w:tblPr>
        <w:tblW w:w="4942" w:type="pct"/>
        <w:jc w:val="center"/>
        <w:tblBorders>
          <w:top w:val="single" w:sz="4" w:space="0" w:color="B56011"/>
          <w:bottom w:val="single" w:sz="4" w:space="0" w:color="B56011"/>
          <w:insideH w:val="single" w:sz="4" w:space="0" w:color="B56011"/>
        </w:tblBorders>
        <w:tblLook w:val="04A0" w:firstRow="1" w:lastRow="0" w:firstColumn="1" w:lastColumn="0" w:noHBand="0" w:noVBand="1"/>
        <w:tblDescription w:val="Table 22 shows the percentage change in benefits and service from 2009-10 to 2014-15, and the short item descriptor and item start date for bronchus and trachea therapeutic procedure items 41889, 41892, 41895, 41898 and 41905."/>
      </w:tblPr>
      <w:tblGrid>
        <w:gridCol w:w="897"/>
        <w:gridCol w:w="2804"/>
        <w:gridCol w:w="1209"/>
        <w:gridCol w:w="1336"/>
        <w:gridCol w:w="1211"/>
        <w:gridCol w:w="1464"/>
      </w:tblGrid>
      <w:tr w:rsidR="000A5970" w:rsidRPr="00612B11" w14:paraId="2A8CFB78" w14:textId="77777777" w:rsidTr="007B0110">
        <w:trPr>
          <w:trHeight w:val="824"/>
          <w:tblHeader/>
          <w:jc w:val="center"/>
        </w:trPr>
        <w:tc>
          <w:tcPr>
            <w:tcW w:w="492" w:type="pct"/>
            <w:shd w:val="clear" w:color="auto" w:fill="auto"/>
            <w:vAlign w:val="center"/>
            <w:hideMark/>
          </w:tcPr>
          <w:p w14:paraId="3DB38F47" w14:textId="77777777" w:rsidR="000A5970" w:rsidRPr="00612B11" w:rsidRDefault="000A5970" w:rsidP="00612B11">
            <w:pPr>
              <w:pStyle w:val="Tableheading"/>
            </w:pPr>
            <w:r w:rsidRPr="00612B11">
              <w:t>Item Number</w:t>
            </w:r>
          </w:p>
        </w:tc>
        <w:tc>
          <w:tcPr>
            <w:tcW w:w="1574" w:type="pct"/>
            <w:shd w:val="clear" w:color="auto" w:fill="auto"/>
            <w:vAlign w:val="center"/>
            <w:hideMark/>
          </w:tcPr>
          <w:p w14:paraId="2C8C7774" w14:textId="77777777" w:rsidR="000A5970" w:rsidRPr="00612B11" w:rsidRDefault="000A5970" w:rsidP="00612B11">
            <w:pPr>
              <w:pStyle w:val="Tableheading"/>
            </w:pPr>
            <w:r w:rsidRPr="00612B11">
              <w:t>Short item descriptor</w:t>
            </w:r>
          </w:p>
        </w:tc>
        <w:tc>
          <w:tcPr>
            <w:tcW w:w="680" w:type="pct"/>
            <w:shd w:val="clear" w:color="auto" w:fill="auto"/>
            <w:vAlign w:val="center"/>
            <w:hideMark/>
          </w:tcPr>
          <w:p w14:paraId="23CF5CC2" w14:textId="77777777" w:rsidR="000A5970" w:rsidRPr="00612B11" w:rsidRDefault="000A5970" w:rsidP="00612B11">
            <w:pPr>
              <w:pStyle w:val="Tableheading"/>
            </w:pPr>
            <w:r w:rsidRPr="00612B11">
              <w:t>Benefits Change (%) from 2009-10 to 2014-15</w:t>
            </w:r>
          </w:p>
        </w:tc>
        <w:tc>
          <w:tcPr>
            <w:tcW w:w="751" w:type="pct"/>
            <w:shd w:val="clear" w:color="auto" w:fill="auto"/>
            <w:vAlign w:val="center"/>
            <w:hideMark/>
          </w:tcPr>
          <w:p w14:paraId="65263A1E" w14:textId="77777777" w:rsidR="000A5970" w:rsidRPr="00612B11" w:rsidRDefault="000A5970" w:rsidP="00612B11">
            <w:pPr>
              <w:pStyle w:val="Tableheading"/>
            </w:pPr>
            <w:r w:rsidRPr="00612B11">
              <w:t>Service Change (%) from 2009-10 to 2014-15</w:t>
            </w:r>
          </w:p>
        </w:tc>
        <w:tc>
          <w:tcPr>
            <w:tcW w:w="681" w:type="pct"/>
            <w:shd w:val="clear" w:color="auto" w:fill="auto"/>
            <w:vAlign w:val="center"/>
            <w:hideMark/>
          </w:tcPr>
          <w:p w14:paraId="06908138" w14:textId="77777777" w:rsidR="000A5970" w:rsidRPr="00612B11" w:rsidRDefault="000A5970" w:rsidP="00612B11">
            <w:pPr>
              <w:pStyle w:val="Tableheading"/>
            </w:pPr>
            <w:r w:rsidRPr="00612B11">
              <w:t>Item Start Date</w:t>
            </w:r>
          </w:p>
        </w:tc>
        <w:tc>
          <w:tcPr>
            <w:tcW w:w="822" w:type="pct"/>
            <w:shd w:val="clear" w:color="auto" w:fill="auto"/>
            <w:vAlign w:val="center"/>
            <w:hideMark/>
          </w:tcPr>
          <w:p w14:paraId="70B9FF88" w14:textId="77777777" w:rsidR="000A5970" w:rsidRPr="00612B11" w:rsidRDefault="000A5970" w:rsidP="00612B11">
            <w:pPr>
              <w:pStyle w:val="Tableheading"/>
            </w:pPr>
            <w:r w:rsidRPr="00612B11">
              <w:t>Item Description Start Date</w:t>
            </w:r>
          </w:p>
        </w:tc>
      </w:tr>
      <w:tr w:rsidR="00CA0EDB" w:rsidRPr="00612B11" w14:paraId="5B8CE99C" w14:textId="77777777" w:rsidTr="00CA0EDB">
        <w:trPr>
          <w:trHeight w:val="566"/>
          <w:jc w:val="center"/>
        </w:trPr>
        <w:tc>
          <w:tcPr>
            <w:tcW w:w="492" w:type="pct"/>
            <w:shd w:val="clear" w:color="auto" w:fill="auto"/>
            <w:vAlign w:val="center"/>
          </w:tcPr>
          <w:p w14:paraId="7D97F631" w14:textId="77777777" w:rsidR="00CA0EDB" w:rsidRPr="00612B11" w:rsidRDefault="00CA0EDB" w:rsidP="00612B11">
            <w:pPr>
              <w:pStyle w:val="Tabletext"/>
            </w:pPr>
            <w:r w:rsidRPr="00612B11">
              <w:t>41889</w:t>
            </w:r>
          </w:p>
        </w:tc>
        <w:tc>
          <w:tcPr>
            <w:tcW w:w="1574" w:type="pct"/>
            <w:shd w:val="clear" w:color="auto" w:fill="auto"/>
            <w:vAlign w:val="center"/>
          </w:tcPr>
          <w:p w14:paraId="49CCC091" w14:textId="77777777" w:rsidR="00CA0EDB" w:rsidRPr="00612B11" w:rsidRDefault="00CA0EDB" w:rsidP="00612B11">
            <w:pPr>
              <w:pStyle w:val="Tabletext"/>
            </w:pPr>
            <w:r w:rsidRPr="00612B11">
              <w:t>Bronchoscopy, as an independent procedure</w:t>
            </w:r>
          </w:p>
        </w:tc>
        <w:tc>
          <w:tcPr>
            <w:tcW w:w="680" w:type="pct"/>
            <w:shd w:val="clear" w:color="auto" w:fill="auto"/>
            <w:vAlign w:val="center"/>
          </w:tcPr>
          <w:p w14:paraId="4F0463CD" w14:textId="77777777" w:rsidR="00CA0EDB" w:rsidRPr="00612B11" w:rsidRDefault="00CA0EDB" w:rsidP="00612B11">
            <w:pPr>
              <w:pStyle w:val="Tabletext"/>
            </w:pPr>
            <w:r w:rsidRPr="00612B11">
              <w:t>50%</w:t>
            </w:r>
          </w:p>
        </w:tc>
        <w:tc>
          <w:tcPr>
            <w:tcW w:w="751" w:type="pct"/>
            <w:shd w:val="clear" w:color="auto" w:fill="auto"/>
            <w:vAlign w:val="center"/>
          </w:tcPr>
          <w:p w14:paraId="7675833D" w14:textId="77777777" w:rsidR="00CA0EDB" w:rsidRPr="00612B11" w:rsidRDefault="00CA0EDB" w:rsidP="00612B11">
            <w:pPr>
              <w:pStyle w:val="Tabletext"/>
            </w:pPr>
            <w:r w:rsidRPr="00612B11">
              <w:t>24%</w:t>
            </w:r>
          </w:p>
        </w:tc>
        <w:tc>
          <w:tcPr>
            <w:tcW w:w="681" w:type="pct"/>
            <w:shd w:val="clear" w:color="auto" w:fill="auto"/>
            <w:noWrap/>
            <w:vAlign w:val="center"/>
          </w:tcPr>
          <w:p w14:paraId="1538BE36" w14:textId="77777777" w:rsidR="00CA0EDB" w:rsidRPr="00612B11" w:rsidRDefault="00CA0EDB" w:rsidP="00612B11">
            <w:pPr>
              <w:pStyle w:val="Tabletext"/>
            </w:pPr>
            <w:r w:rsidRPr="00612B11">
              <w:t>1 Dec 1991</w:t>
            </w:r>
          </w:p>
        </w:tc>
        <w:tc>
          <w:tcPr>
            <w:tcW w:w="822" w:type="pct"/>
            <w:shd w:val="clear" w:color="auto" w:fill="auto"/>
            <w:noWrap/>
            <w:vAlign w:val="center"/>
          </w:tcPr>
          <w:p w14:paraId="3CE5EB9E" w14:textId="77777777" w:rsidR="00CA0EDB" w:rsidRPr="00612B11" w:rsidRDefault="00CA0EDB" w:rsidP="00612B11">
            <w:pPr>
              <w:pStyle w:val="Tabletext"/>
            </w:pPr>
            <w:r w:rsidRPr="00612B11">
              <w:t>1 Dec 1991</w:t>
            </w:r>
          </w:p>
        </w:tc>
      </w:tr>
      <w:tr w:rsidR="00CA0EDB" w:rsidRPr="00612B11" w14:paraId="6CCD48F2" w14:textId="77777777" w:rsidTr="00612B11">
        <w:trPr>
          <w:trHeight w:val="1184"/>
          <w:jc w:val="center"/>
        </w:trPr>
        <w:tc>
          <w:tcPr>
            <w:tcW w:w="492" w:type="pct"/>
            <w:shd w:val="clear" w:color="auto" w:fill="auto"/>
            <w:vAlign w:val="center"/>
          </w:tcPr>
          <w:p w14:paraId="47EADE03" w14:textId="77777777" w:rsidR="00CA0EDB" w:rsidRPr="00612B11" w:rsidRDefault="00CA0EDB" w:rsidP="00612B11">
            <w:pPr>
              <w:pStyle w:val="Tabletext"/>
            </w:pPr>
            <w:r w:rsidRPr="00612B11">
              <w:t>41892</w:t>
            </w:r>
          </w:p>
        </w:tc>
        <w:tc>
          <w:tcPr>
            <w:tcW w:w="1574" w:type="pct"/>
            <w:shd w:val="clear" w:color="auto" w:fill="auto"/>
            <w:vAlign w:val="center"/>
          </w:tcPr>
          <w:p w14:paraId="1853F8DA" w14:textId="77777777" w:rsidR="00CA0EDB" w:rsidRPr="00612B11" w:rsidRDefault="00CA0EDB" w:rsidP="00612B11">
            <w:pPr>
              <w:pStyle w:val="Tabletext"/>
            </w:pPr>
            <w:r w:rsidRPr="00612B11">
              <w:t>Bronchoscopy with 1 or more endobronchial biopsies or other diagnostic or therapeutic procedures</w:t>
            </w:r>
          </w:p>
        </w:tc>
        <w:tc>
          <w:tcPr>
            <w:tcW w:w="680" w:type="pct"/>
            <w:shd w:val="clear" w:color="auto" w:fill="auto"/>
            <w:vAlign w:val="center"/>
          </w:tcPr>
          <w:p w14:paraId="687E7BEA" w14:textId="77777777" w:rsidR="00CA0EDB" w:rsidRPr="00612B11" w:rsidRDefault="00CA0EDB" w:rsidP="00612B11">
            <w:pPr>
              <w:pStyle w:val="Tabletext"/>
            </w:pPr>
            <w:r w:rsidRPr="00612B11">
              <w:t>50%</w:t>
            </w:r>
          </w:p>
        </w:tc>
        <w:tc>
          <w:tcPr>
            <w:tcW w:w="751" w:type="pct"/>
            <w:shd w:val="clear" w:color="auto" w:fill="auto"/>
            <w:vAlign w:val="center"/>
          </w:tcPr>
          <w:p w14:paraId="5764AD1A" w14:textId="77777777" w:rsidR="00CA0EDB" w:rsidRPr="00612B11" w:rsidRDefault="00CA0EDB" w:rsidP="00612B11">
            <w:pPr>
              <w:pStyle w:val="Tabletext"/>
            </w:pPr>
            <w:r w:rsidRPr="00612B11">
              <w:t>44%</w:t>
            </w:r>
          </w:p>
        </w:tc>
        <w:tc>
          <w:tcPr>
            <w:tcW w:w="681" w:type="pct"/>
            <w:shd w:val="clear" w:color="auto" w:fill="auto"/>
            <w:noWrap/>
            <w:vAlign w:val="center"/>
          </w:tcPr>
          <w:p w14:paraId="4C51AA44" w14:textId="77777777" w:rsidR="00CA0EDB" w:rsidRPr="00612B11" w:rsidRDefault="00CA0EDB" w:rsidP="00612B11">
            <w:pPr>
              <w:pStyle w:val="Tabletext"/>
            </w:pPr>
            <w:r w:rsidRPr="00612B11">
              <w:t>1 Dec 1991</w:t>
            </w:r>
          </w:p>
        </w:tc>
        <w:tc>
          <w:tcPr>
            <w:tcW w:w="822" w:type="pct"/>
            <w:shd w:val="clear" w:color="auto" w:fill="auto"/>
            <w:noWrap/>
            <w:vAlign w:val="center"/>
          </w:tcPr>
          <w:p w14:paraId="73FDDB26" w14:textId="77777777" w:rsidR="00CA0EDB" w:rsidRPr="00612B11" w:rsidRDefault="00CA0EDB" w:rsidP="00612B11">
            <w:pPr>
              <w:pStyle w:val="Tabletext"/>
            </w:pPr>
            <w:r w:rsidRPr="00612B11">
              <w:t>1 Dec 1991</w:t>
            </w:r>
          </w:p>
        </w:tc>
      </w:tr>
      <w:tr w:rsidR="00CA0EDB" w:rsidRPr="00612B11" w14:paraId="48CEBD7B" w14:textId="77777777" w:rsidTr="00CA0EDB">
        <w:trPr>
          <w:trHeight w:val="518"/>
          <w:jc w:val="center"/>
        </w:trPr>
        <w:tc>
          <w:tcPr>
            <w:tcW w:w="492" w:type="pct"/>
            <w:shd w:val="clear" w:color="auto" w:fill="auto"/>
            <w:vAlign w:val="center"/>
          </w:tcPr>
          <w:p w14:paraId="1A746DC4" w14:textId="77777777" w:rsidR="00CA0EDB" w:rsidRPr="00612B11" w:rsidRDefault="00CA0EDB" w:rsidP="00612B11">
            <w:pPr>
              <w:pStyle w:val="Tabletext"/>
            </w:pPr>
            <w:r w:rsidRPr="00612B11">
              <w:t>41895</w:t>
            </w:r>
          </w:p>
        </w:tc>
        <w:tc>
          <w:tcPr>
            <w:tcW w:w="1574" w:type="pct"/>
            <w:shd w:val="clear" w:color="auto" w:fill="auto"/>
            <w:vAlign w:val="center"/>
          </w:tcPr>
          <w:p w14:paraId="7FA3C9CC" w14:textId="77777777" w:rsidR="00CA0EDB" w:rsidRPr="00612B11" w:rsidRDefault="00CA0EDB" w:rsidP="00612B11">
            <w:pPr>
              <w:pStyle w:val="Tabletext"/>
            </w:pPr>
            <w:r w:rsidRPr="00612B11">
              <w:t>Removal of foreign body in bronchus</w:t>
            </w:r>
          </w:p>
        </w:tc>
        <w:tc>
          <w:tcPr>
            <w:tcW w:w="680" w:type="pct"/>
            <w:shd w:val="clear" w:color="auto" w:fill="auto"/>
            <w:vAlign w:val="center"/>
          </w:tcPr>
          <w:p w14:paraId="49818FE5" w14:textId="77777777" w:rsidR="00CA0EDB" w:rsidRPr="00612B11" w:rsidRDefault="00CA0EDB" w:rsidP="00612B11">
            <w:pPr>
              <w:pStyle w:val="Tabletext"/>
            </w:pPr>
            <w:r w:rsidRPr="00612B11">
              <w:t>77%</w:t>
            </w:r>
          </w:p>
        </w:tc>
        <w:tc>
          <w:tcPr>
            <w:tcW w:w="751" w:type="pct"/>
            <w:shd w:val="clear" w:color="auto" w:fill="auto"/>
            <w:vAlign w:val="center"/>
          </w:tcPr>
          <w:p w14:paraId="0A7A168B" w14:textId="77777777" w:rsidR="00CA0EDB" w:rsidRPr="00612B11" w:rsidRDefault="00CA0EDB" w:rsidP="00612B11">
            <w:pPr>
              <w:pStyle w:val="Tabletext"/>
            </w:pPr>
            <w:r w:rsidRPr="00612B11">
              <w:t>69%</w:t>
            </w:r>
          </w:p>
        </w:tc>
        <w:tc>
          <w:tcPr>
            <w:tcW w:w="681" w:type="pct"/>
            <w:shd w:val="clear" w:color="auto" w:fill="auto"/>
            <w:noWrap/>
            <w:vAlign w:val="center"/>
          </w:tcPr>
          <w:p w14:paraId="08BF7784" w14:textId="77777777" w:rsidR="00CA0EDB" w:rsidRPr="00612B11" w:rsidRDefault="00CA0EDB" w:rsidP="00612B11">
            <w:pPr>
              <w:pStyle w:val="Tabletext"/>
            </w:pPr>
            <w:r w:rsidRPr="00612B11">
              <w:t>1 Dec 1991</w:t>
            </w:r>
          </w:p>
        </w:tc>
        <w:tc>
          <w:tcPr>
            <w:tcW w:w="822" w:type="pct"/>
            <w:shd w:val="clear" w:color="auto" w:fill="auto"/>
            <w:noWrap/>
            <w:vAlign w:val="center"/>
          </w:tcPr>
          <w:p w14:paraId="3458AC17" w14:textId="77777777" w:rsidR="00CA0EDB" w:rsidRPr="00612B11" w:rsidRDefault="00CA0EDB" w:rsidP="00612B11">
            <w:pPr>
              <w:pStyle w:val="Tabletext"/>
            </w:pPr>
            <w:r w:rsidRPr="00612B11">
              <w:t>1 Dec 1991</w:t>
            </w:r>
          </w:p>
        </w:tc>
      </w:tr>
      <w:tr w:rsidR="00CA0EDB" w:rsidRPr="00612B11" w14:paraId="4FEC6FA7" w14:textId="77777777" w:rsidTr="00CA0EDB">
        <w:trPr>
          <w:trHeight w:val="1116"/>
          <w:jc w:val="center"/>
        </w:trPr>
        <w:tc>
          <w:tcPr>
            <w:tcW w:w="492" w:type="pct"/>
            <w:shd w:val="clear" w:color="auto" w:fill="auto"/>
            <w:vAlign w:val="center"/>
          </w:tcPr>
          <w:p w14:paraId="3E47EA54" w14:textId="77777777" w:rsidR="00CA0EDB" w:rsidRPr="00612B11" w:rsidRDefault="00CA0EDB" w:rsidP="00612B11">
            <w:pPr>
              <w:pStyle w:val="Tabletext"/>
            </w:pPr>
            <w:r w:rsidRPr="00612B11">
              <w:t>41898</w:t>
            </w:r>
          </w:p>
        </w:tc>
        <w:tc>
          <w:tcPr>
            <w:tcW w:w="1574" w:type="pct"/>
            <w:shd w:val="clear" w:color="auto" w:fill="auto"/>
            <w:vAlign w:val="center"/>
          </w:tcPr>
          <w:p w14:paraId="67F57FC4" w14:textId="77777777" w:rsidR="00CA0EDB" w:rsidRPr="00612B11" w:rsidRDefault="00CA0EDB" w:rsidP="00612B11">
            <w:pPr>
              <w:pStyle w:val="Tabletext"/>
            </w:pPr>
            <w:r w:rsidRPr="00612B11">
              <w:t>Fibreoptic bronchoscopy with 1 or more transbronchial lung biopsies, with or without bronchial or bronchoalveolar lavage, with or without the use of interventional imaging</w:t>
            </w:r>
          </w:p>
        </w:tc>
        <w:tc>
          <w:tcPr>
            <w:tcW w:w="680" w:type="pct"/>
            <w:shd w:val="clear" w:color="auto" w:fill="auto"/>
            <w:vAlign w:val="center"/>
          </w:tcPr>
          <w:p w14:paraId="50336795" w14:textId="77777777" w:rsidR="00CA0EDB" w:rsidRPr="00612B11" w:rsidRDefault="00CA0EDB" w:rsidP="00612B11">
            <w:pPr>
              <w:pStyle w:val="Tabletext"/>
            </w:pPr>
            <w:r w:rsidRPr="00612B11">
              <w:t>29%</w:t>
            </w:r>
          </w:p>
        </w:tc>
        <w:tc>
          <w:tcPr>
            <w:tcW w:w="751" w:type="pct"/>
            <w:shd w:val="clear" w:color="auto" w:fill="auto"/>
            <w:vAlign w:val="center"/>
          </w:tcPr>
          <w:p w14:paraId="5F198FC0" w14:textId="77777777" w:rsidR="00CA0EDB" w:rsidRPr="00612B11" w:rsidRDefault="00CA0EDB" w:rsidP="00612B11">
            <w:pPr>
              <w:pStyle w:val="Tabletext"/>
            </w:pPr>
            <w:r w:rsidRPr="00612B11">
              <w:t>17%</w:t>
            </w:r>
          </w:p>
        </w:tc>
        <w:tc>
          <w:tcPr>
            <w:tcW w:w="681" w:type="pct"/>
            <w:shd w:val="clear" w:color="auto" w:fill="auto"/>
            <w:noWrap/>
            <w:vAlign w:val="center"/>
          </w:tcPr>
          <w:p w14:paraId="72ACA3AB" w14:textId="77777777" w:rsidR="00CA0EDB" w:rsidRPr="00612B11" w:rsidRDefault="00CA0EDB" w:rsidP="00612B11">
            <w:pPr>
              <w:pStyle w:val="Tabletext"/>
            </w:pPr>
            <w:r w:rsidRPr="00612B11">
              <w:t>1 Dec 1991</w:t>
            </w:r>
          </w:p>
        </w:tc>
        <w:tc>
          <w:tcPr>
            <w:tcW w:w="822" w:type="pct"/>
            <w:shd w:val="clear" w:color="auto" w:fill="auto"/>
            <w:noWrap/>
            <w:vAlign w:val="center"/>
          </w:tcPr>
          <w:p w14:paraId="640FDF0A" w14:textId="77777777" w:rsidR="00CA0EDB" w:rsidRPr="00612B11" w:rsidRDefault="00CA0EDB" w:rsidP="00612B11">
            <w:pPr>
              <w:pStyle w:val="Tabletext"/>
            </w:pPr>
            <w:r w:rsidRPr="00612B11">
              <w:t>1 Dec 1991</w:t>
            </w:r>
          </w:p>
        </w:tc>
      </w:tr>
      <w:tr w:rsidR="000A5970" w:rsidRPr="00612B11" w14:paraId="060A06A6" w14:textId="77777777" w:rsidTr="00CA0EDB">
        <w:trPr>
          <w:trHeight w:val="698"/>
          <w:jc w:val="center"/>
        </w:trPr>
        <w:tc>
          <w:tcPr>
            <w:tcW w:w="492" w:type="pct"/>
            <w:shd w:val="clear" w:color="auto" w:fill="auto"/>
            <w:vAlign w:val="center"/>
          </w:tcPr>
          <w:p w14:paraId="3C843E86" w14:textId="77777777" w:rsidR="000A5970" w:rsidRPr="00612B11" w:rsidRDefault="000A5970" w:rsidP="00612B11">
            <w:pPr>
              <w:pStyle w:val="Tabletext"/>
            </w:pPr>
            <w:r w:rsidRPr="00612B11">
              <w:t>41905</w:t>
            </w:r>
          </w:p>
        </w:tc>
        <w:tc>
          <w:tcPr>
            <w:tcW w:w="1574" w:type="pct"/>
            <w:shd w:val="clear" w:color="auto" w:fill="auto"/>
            <w:vAlign w:val="center"/>
          </w:tcPr>
          <w:p w14:paraId="385F60E3" w14:textId="77777777" w:rsidR="000A5970" w:rsidRPr="00612B11" w:rsidRDefault="000A5970" w:rsidP="00612B11">
            <w:pPr>
              <w:pStyle w:val="Tabletext"/>
            </w:pPr>
            <w:r w:rsidRPr="00612B11">
              <w:t>Insertion of stent Trachea or bronchus, dilatation of stricture and endoscopic</w:t>
            </w:r>
          </w:p>
        </w:tc>
        <w:tc>
          <w:tcPr>
            <w:tcW w:w="680" w:type="pct"/>
            <w:shd w:val="clear" w:color="auto" w:fill="auto"/>
            <w:vAlign w:val="center"/>
          </w:tcPr>
          <w:p w14:paraId="3E14C5DF" w14:textId="77777777" w:rsidR="000A5970" w:rsidRPr="00612B11" w:rsidRDefault="000A5970" w:rsidP="00612B11">
            <w:pPr>
              <w:pStyle w:val="Tabletext"/>
            </w:pPr>
            <w:r w:rsidRPr="00612B11">
              <w:t>479%</w:t>
            </w:r>
          </w:p>
        </w:tc>
        <w:tc>
          <w:tcPr>
            <w:tcW w:w="751" w:type="pct"/>
            <w:shd w:val="clear" w:color="auto" w:fill="auto"/>
            <w:vAlign w:val="center"/>
          </w:tcPr>
          <w:p w14:paraId="3DF7DAF2" w14:textId="77777777" w:rsidR="000A5970" w:rsidRPr="00612B11" w:rsidRDefault="000A5970" w:rsidP="00612B11">
            <w:pPr>
              <w:pStyle w:val="Tabletext"/>
            </w:pPr>
            <w:r w:rsidRPr="00612B11">
              <w:t>531%</w:t>
            </w:r>
          </w:p>
        </w:tc>
        <w:tc>
          <w:tcPr>
            <w:tcW w:w="681" w:type="pct"/>
            <w:shd w:val="clear" w:color="auto" w:fill="auto"/>
            <w:noWrap/>
            <w:vAlign w:val="center"/>
          </w:tcPr>
          <w:p w14:paraId="68975512" w14:textId="77777777" w:rsidR="000A5970" w:rsidRPr="00612B11" w:rsidRDefault="00CA0EDB" w:rsidP="00612B11">
            <w:pPr>
              <w:pStyle w:val="Tabletext"/>
            </w:pPr>
            <w:r w:rsidRPr="00612B11">
              <w:t>1 Nov 1995</w:t>
            </w:r>
          </w:p>
        </w:tc>
        <w:tc>
          <w:tcPr>
            <w:tcW w:w="822" w:type="pct"/>
            <w:shd w:val="clear" w:color="auto" w:fill="auto"/>
            <w:noWrap/>
            <w:vAlign w:val="center"/>
          </w:tcPr>
          <w:p w14:paraId="10A7879B" w14:textId="77777777" w:rsidR="000A5970" w:rsidRPr="00612B11" w:rsidRDefault="00CA0EDB" w:rsidP="00612B11">
            <w:pPr>
              <w:pStyle w:val="Tabletext"/>
            </w:pPr>
            <w:r w:rsidRPr="00612B11">
              <w:t>1 Nov 1995</w:t>
            </w:r>
          </w:p>
        </w:tc>
      </w:tr>
    </w:tbl>
    <w:p w14:paraId="49ADD0C4" w14:textId="77777777" w:rsidR="005F3DE4" w:rsidRPr="00DA5B19" w:rsidRDefault="005F3DE4" w:rsidP="00DA5B19">
      <w:pPr>
        <w:pStyle w:val="TableUnderLast"/>
      </w:pPr>
      <w:r w:rsidRPr="00DA5B19">
        <w:t>Unpublished data (Department of Health)</w:t>
      </w:r>
    </w:p>
    <w:p w14:paraId="2C2ECD77" w14:textId="77777777" w:rsidR="000A5970" w:rsidRDefault="00F614AD" w:rsidP="000A5970">
      <w:pPr>
        <w:pStyle w:val="Heading2"/>
      </w:pPr>
      <w:bookmarkStart w:id="230" w:name="_Toc457421291"/>
      <w:bookmarkStart w:id="231" w:name="_Toc452990644"/>
      <w:bookmarkStart w:id="232" w:name="_Toc458510007"/>
      <w:bookmarkStart w:id="233" w:name="_Toc458768475"/>
      <w:bookmarkStart w:id="234" w:name="_Toc458768655"/>
      <w:bookmarkStart w:id="235" w:name="_Toc478721516"/>
      <w:bookmarkEnd w:id="230"/>
      <w:r>
        <w:t>Lung cancer b</w:t>
      </w:r>
      <w:r w:rsidR="000A5970">
        <w:t xml:space="preserve">iopsy </w:t>
      </w:r>
      <w:r>
        <w:t>i</w:t>
      </w:r>
      <w:r w:rsidR="000A5970" w:rsidRPr="000D168E">
        <w:t>tems</w:t>
      </w:r>
      <w:bookmarkEnd w:id="222"/>
      <w:bookmarkEnd w:id="231"/>
      <w:bookmarkEnd w:id="232"/>
      <w:bookmarkEnd w:id="233"/>
      <w:bookmarkEnd w:id="234"/>
      <w:bookmarkEnd w:id="235"/>
      <w:r w:rsidR="00A403FC">
        <w:t xml:space="preserve"> </w:t>
      </w:r>
      <w:bookmarkEnd w:id="223"/>
    </w:p>
    <w:p w14:paraId="1A8D150A" w14:textId="77777777" w:rsidR="000A5970" w:rsidRPr="00872C70" w:rsidRDefault="000A5970" w:rsidP="00F56E64">
      <w:r w:rsidRPr="00872C70">
        <w:t>T</w:t>
      </w:r>
      <w:r w:rsidR="00CA0EDB">
        <w:t xml:space="preserve">wo items for lung cancer biopsy were added </w:t>
      </w:r>
      <w:r w:rsidRPr="00872C70">
        <w:t>to the MBS in 2009 following MSAC appraisal. No specific issues were identified and hence no detailed review undertaken.</w:t>
      </w:r>
    </w:p>
    <w:p w14:paraId="316CED10" w14:textId="77777777" w:rsidR="000A5970" w:rsidRPr="000D168E" w:rsidRDefault="00CA0EDB" w:rsidP="000A5970">
      <w:pPr>
        <w:pStyle w:val="Heading3"/>
      </w:pPr>
      <w:bookmarkStart w:id="236" w:name="_Toc430335948"/>
      <w:bookmarkStart w:id="237" w:name="_Toc452990645"/>
      <w:r>
        <w:t>MBS data on biopsy of lung cancer i</w:t>
      </w:r>
      <w:r w:rsidR="000A5970" w:rsidRPr="000D168E">
        <w:t>tems</w:t>
      </w:r>
      <w:bookmarkEnd w:id="236"/>
      <w:bookmarkEnd w:id="237"/>
    </w:p>
    <w:p w14:paraId="3ACF3CC7" w14:textId="77777777" w:rsidR="000A5970" w:rsidRPr="00E52BC8" w:rsidRDefault="00CA0EDB" w:rsidP="00E52BC8">
      <w:pPr>
        <w:pStyle w:val="Caption"/>
      </w:pPr>
      <w:bookmarkStart w:id="238" w:name="_Toc457450676"/>
      <w:bookmarkStart w:id="239" w:name="_Toc478721557"/>
      <w:bookmarkStart w:id="240" w:name="_Toc430335983"/>
      <w:r w:rsidRPr="00E52BC8">
        <w:t xml:space="preserve">Table </w:t>
      </w:r>
      <w:r w:rsidR="007B0110" w:rsidRPr="00E52BC8">
        <w:t>2</w:t>
      </w:r>
      <w:r w:rsidR="008E45D1">
        <w:t>3</w:t>
      </w:r>
      <w:r w:rsidRPr="00E52BC8">
        <w:t>:</w:t>
      </w:r>
      <w:r w:rsidRPr="00E52BC8">
        <w:tab/>
        <w:t>High level MBS data on biopsy of lung cancer items 30696 and 30710, 2014-15</w:t>
      </w:r>
      <w:bookmarkEnd w:id="238"/>
      <w:bookmarkEnd w:id="239"/>
      <w:r w:rsidRPr="00E52BC8">
        <w:t xml:space="preserve"> </w:t>
      </w:r>
      <w:bookmarkEnd w:id="240"/>
    </w:p>
    <w:tbl>
      <w:tblPr>
        <w:tblW w:w="9180" w:type="dxa"/>
        <w:tblBorders>
          <w:top w:val="single" w:sz="4" w:space="0" w:color="B56011"/>
          <w:bottom w:val="single" w:sz="4" w:space="0" w:color="B56011"/>
          <w:insideH w:val="single" w:sz="4" w:space="0" w:color="B56011"/>
        </w:tblBorders>
        <w:tblLook w:val="04A0" w:firstRow="1" w:lastRow="0" w:firstColumn="1" w:lastColumn="0" w:noHBand="0" w:noVBand="1"/>
      </w:tblPr>
      <w:tblGrid>
        <w:gridCol w:w="4077"/>
        <w:gridCol w:w="2268"/>
        <w:gridCol w:w="2835"/>
      </w:tblGrid>
      <w:tr w:rsidR="000A5970" w:rsidRPr="00F614AD" w14:paraId="7EEDEAC5" w14:textId="77777777" w:rsidTr="007B0110">
        <w:trPr>
          <w:tblHeader/>
        </w:trPr>
        <w:tc>
          <w:tcPr>
            <w:tcW w:w="4077" w:type="dxa"/>
            <w:shd w:val="clear" w:color="auto" w:fill="auto"/>
            <w:vAlign w:val="center"/>
          </w:tcPr>
          <w:p w14:paraId="3B5B8073" w14:textId="77777777" w:rsidR="000A5970" w:rsidRPr="00F614AD" w:rsidRDefault="007B0110" w:rsidP="00A403FC">
            <w:pPr>
              <w:pStyle w:val="Tableheading"/>
            </w:pPr>
            <w:r>
              <w:t>Statistic</w:t>
            </w:r>
          </w:p>
        </w:tc>
        <w:tc>
          <w:tcPr>
            <w:tcW w:w="2268" w:type="dxa"/>
            <w:shd w:val="clear" w:color="auto" w:fill="auto"/>
            <w:vAlign w:val="center"/>
          </w:tcPr>
          <w:p w14:paraId="405B93AB" w14:textId="77777777" w:rsidR="000A5970" w:rsidRPr="00F614AD" w:rsidRDefault="000A5970" w:rsidP="00A403FC">
            <w:pPr>
              <w:pStyle w:val="Tableheading"/>
            </w:pPr>
            <w:r w:rsidRPr="00F614AD">
              <w:t>30696</w:t>
            </w:r>
          </w:p>
        </w:tc>
        <w:tc>
          <w:tcPr>
            <w:tcW w:w="2835" w:type="dxa"/>
            <w:shd w:val="clear" w:color="auto" w:fill="auto"/>
            <w:vAlign w:val="center"/>
          </w:tcPr>
          <w:p w14:paraId="143CE370" w14:textId="77777777" w:rsidR="000A5970" w:rsidRPr="00F614AD" w:rsidRDefault="000A5970" w:rsidP="00A403FC">
            <w:pPr>
              <w:pStyle w:val="Tableheading"/>
            </w:pPr>
            <w:r w:rsidRPr="00F614AD">
              <w:t>30710</w:t>
            </w:r>
          </w:p>
        </w:tc>
      </w:tr>
      <w:tr w:rsidR="000A5970" w:rsidRPr="00F614AD" w14:paraId="5DDC5470" w14:textId="77777777" w:rsidTr="00CA0EDB">
        <w:tc>
          <w:tcPr>
            <w:tcW w:w="4077" w:type="dxa"/>
            <w:shd w:val="clear" w:color="auto" w:fill="auto"/>
            <w:vAlign w:val="center"/>
          </w:tcPr>
          <w:p w14:paraId="0854726B" w14:textId="77777777" w:rsidR="000A5970" w:rsidRPr="00F614AD" w:rsidRDefault="000A5970" w:rsidP="00A403FC">
            <w:pPr>
              <w:pStyle w:val="Tabletext"/>
              <w:rPr>
                <w:rFonts w:eastAsiaTheme="minorHAnsi"/>
              </w:rPr>
            </w:pPr>
            <w:r w:rsidRPr="00F614AD">
              <w:rPr>
                <w:rFonts w:eastAsiaTheme="minorHAnsi"/>
              </w:rPr>
              <w:t>Number of services</w:t>
            </w:r>
          </w:p>
        </w:tc>
        <w:tc>
          <w:tcPr>
            <w:tcW w:w="2268" w:type="dxa"/>
            <w:shd w:val="clear" w:color="auto" w:fill="auto"/>
            <w:vAlign w:val="center"/>
          </w:tcPr>
          <w:p w14:paraId="2AB6273F" w14:textId="77777777" w:rsidR="000A5970" w:rsidRPr="00F614AD" w:rsidRDefault="000A5970" w:rsidP="00A403FC">
            <w:pPr>
              <w:pStyle w:val="Tabletext"/>
              <w:rPr>
                <w:rFonts w:eastAsiaTheme="minorHAnsi"/>
              </w:rPr>
            </w:pPr>
            <w:r w:rsidRPr="00F614AD">
              <w:rPr>
                <w:rFonts w:eastAsiaTheme="minorHAnsi"/>
              </w:rPr>
              <w:t>630</w:t>
            </w:r>
          </w:p>
        </w:tc>
        <w:tc>
          <w:tcPr>
            <w:tcW w:w="2835" w:type="dxa"/>
            <w:shd w:val="clear" w:color="auto" w:fill="auto"/>
            <w:vAlign w:val="center"/>
          </w:tcPr>
          <w:p w14:paraId="290C7474" w14:textId="77777777" w:rsidR="000A5970" w:rsidRPr="00F614AD" w:rsidRDefault="000A5970" w:rsidP="00A403FC">
            <w:pPr>
              <w:pStyle w:val="Tabletext"/>
              <w:rPr>
                <w:rFonts w:eastAsiaTheme="minorHAnsi"/>
              </w:rPr>
            </w:pPr>
            <w:r w:rsidRPr="00F614AD">
              <w:rPr>
                <w:rFonts w:eastAsiaTheme="minorHAnsi"/>
              </w:rPr>
              <w:t>1,823</w:t>
            </w:r>
          </w:p>
        </w:tc>
      </w:tr>
      <w:tr w:rsidR="000A5970" w:rsidRPr="00F614AD" w14:paraId="73FB18CA" w14:textId="77777777" w:rsidTr="00CA0EDB">
        <w:tc>
          <w:tcPr>
            <w:tcW w:w="4077" w:type="dxa"/>
            <w:shd w:val="clear" w:color="auto" w:fill="auto"/>
            <w:vAlign w:val="center"/>
          </w:tcPr>
          <w:p w14:paraId="68A045C5" w14:textId="77777777" w:rsidR="000A5970" w:rsidRPr="00F614AD" w:rsidRDefault="000A5970" w:rsidP="00A403FC">
            <w:pPr>
              <w:pStyle w:val="Tabletext"/>
              <w:rPr>
                <w:rFonts w:eastAsiaTheme="minorHAnsi"/>
              </w:rPr>
            </w:pPr>
            <w:r w:rsidRPr="00F614AD">
              <w:rPr>
                <w:rFonts w:eastAsiaTheme="minorHAnsi"/>
              </w:rPr>
              <w:t>Benefits</w:t>
            </w:r>
          </w:p>
        </w:tc>
        <w:tc>
          <w:tcPr>
            <w:tcW w:w="2268" w:type="dxa"/>
            <w:shd w:val="clear" w:color="auto" w:fill="auto"/>
            <w:vAlign w:val="center"/>
          </w:tcPr>
          <w:p w14:paraId="67A184C9" w14:textId="77777777" w:rsidR="000A5970" w:rsidRPr="00F614AD" w:rsidRDefault="000A5970" w:rsidP="00A403FC">
            <w:pPr>
              <w:pStyle w:val="Tabletext"/>
              <w:rPr>
                <w:rFonts w:eastAsiaTheme="minorHAnsi"/>
              </w:rPr>
            </w:pPr>
            <w:r w:rsidRPr="00F614AD">
              <w:rPr>
                <w:rFonts w:eastAsiaTheme="minorHAnsi"/>
              </w:rPr>
              <w:t>$291,623</w:t>
            </w:r>
          </w:p>
        </w:tc>
        <w:tc>
          <w:tcPr>
            <w:tcW w:w="2835" w:type="dxa"/>
            <w:shd w:val="clear" w:color="auto" w:fill="auto"/>
            <w:vAlign w:val="center"/>
          </w:tcPr>
          <w:p w14:paraId="3A6FF447" w14:textId="77777777" w:rsidR="000A5970" w:rsidRPr="00F614AD" w:rsidRDefault="000A5970" w:rsidP="00A403FC">
            <w:pPr>
              <w:pStyle w:val="Tabletext"/>
              <w:rPr>
                <w:rFonts w:eastAsiaTheme="minorHAnsi"/>
              </w:rPr>
            </w:pPr>
            <w:r w:rsidRPr="00F614AD">
              <w:rPr>
                <w:rFonts w:eastAsiaTheme="minorHAnsi"/>
              </w:rPr>
              <w:t>$828,283</w:t>
            </w:r>
          </w:p>
        </w:tc>
      </w:tr>
      <w:tr w:rsidR="000A5970" w:rsidRPr="00F614AD" w14:paraId="01FFC36C" w14:textId="77777777" w:rsidTr="00CA0EDB">
        <w:tc>
          <w:tcPr>
            <w:tcW w:w="4077" w:type="dxa"/>
            <w:shd w:val="clear" w:color="auto" w:fill="auto"/>
            <w:vAlign w:val="center"/>
          </w:tcPr>
          <w:p w14:paraId="02F2E4CA" w14:textId="77777777" w:rsidR="000A5970" w:rsidRPr="00F614AD" w:rsidRDefault="000A5970" w:rsidP="00A403FC">
            <w:pPr>
              <w:pStyle w:val="Tabletext"/>
              <w:rPr>
                <w:rFonts w:eastAsiaTheme="minorHAnsi"/>
              </w:rPr>
            </w:pPr>
            <w:r w:rsidRPr="00F614AD">
              <w:rPr>
                <w:rFonts w:eastAsiaTheme="minorHAnsi"/>
              </w:rPr>
              <w:t>Number of providers</w:t>
            </w:r>
          </w:p>
        </w:tc>
        <w:tc>
          <w:tcPr>
            <w:tcW w:w="2268" w:type="dxa"/>
            <w:shd w:val="clear" w:color="auto" w:fill="auto"/>
            <w:vAlign w:val="center"/>
          </w:tcPr>
          <w:p w14:paraId="3B3FBFF9" w14:textId="77777777" w:rsidR="000A5970" w:rsidRPr="00F614AD" w:rsidRDefault="000A5970" w:rsidP="00A403FC">
            <w:pPr>
              <w:pStyle w:val="Tabletext"/>
              <w:rPr>
                <w:rFonts w:eastAsiaTheme="minorHAnsi"/>
              </w:rPr>
            </w:pPr>
            <w:r w:rsidRPr="00F614AD">
              <w:rPr>
                <w:rFonts w:eastAsiaTheme="minorHAnsi"/>
              </w:rPr>
              <w:t>46</w:t>
            </w:r>
          </w:p>
        </w:tc>
        <w:tc>
          <w:tcPr>
            <w:tcW w:w="2835" w:type="dxa"/>
            <w:shd w:val="clear" w:color="auto" w:fill="auto"/>
            <w:vAlign w:val="center"/>
          </w:tcPr>
          <w:p w14:paraId="17B47BD8" w14:textId="77777777" w:rsidR="000A5970" w:rsidRPr="00F614AD" w:rsidRDefault="000A5970" w:rsidP="00A403FC">
            <w:pPr>
              <w:pStyle w:val="Tabletext"/>
              <w:rPr>
                <w:rFonts w:eastAsiaTheme="minorHAnsi"/>
              </w:rPr>
            </w:pPr>
            <w:r w:rsidRPr="00F614AD">
              <w:rPr>
                <w:rFonts w:eastAsiaTheme="minorHAnsi"/>
              </w:rPr>
              <w:t>111</w:t>
            </w:r>
          </w:p>
        </w:tc>
      </w:tr>
      <w:tr w:rsidR="000A5970" w:rsidRPr="00F614AD" w14:paraId="4E306DBE" w14:textId="77777777" w:rsidTr="00CA0EDB">
        <w:tc>
          <w:tcPr>
            <w:tcW w:w="4077" w:type="dxa"/>
            <w:shd w:val="clear" w:color="auto" w:fill="auto"/>
            <w:vAlign w:val="center"/>
          </w:tcPr>
          <w:p w14:paraId="4BF8B151" w14:textId="77777777" w:rsidR="000A5970" w:rsidRPr="00F614AD" w:rsidRDefault="000A5970" w:rsidP="00A403FC">
            <w:pPr>
              <w:pStyle w:val="Tabletext"/>
              <w:rPr>
                <w:rFonts w:eastAsiaTheme="minorHAnsi"/>
              </w:rPr>
            </w:pPr>
            <w:r w:rsidRPr="00F614AD">
              <w:rPr>
                <w:rFonts w:eastAsiaTheme="minorHAnsi"/>
              </w:rPr>
              <w:t>Number of patients</w:t>
            </w:r>
          </w:p>
        </w:tc>
        <w:tc>
          <w:tcPr>
            <w:tcW w:w="2268" w:type="dxa"/>
            <w:shd w:val="clear" w:color="auto" w:fill="auto"/>
            <w:vAlign w:val="center"/>
          </w:tcPr>
          <w:p w14:paraId="1EB75B47" w14:textId="77777777" w:rsidR="000A5970" w:rsidRPr="00F614AD" w:rsidRDefault="000A5970" w:rsidP="00A403FC">
            <w:pPr>
              <w:pStyle w:val="Tabletext"/>
              <w:rPr>
                <w:rFonts w:eastAsiaTheme="minorHAnsi"/>
              </w:rPr>
            </w:pPr>
            <w:r w:rsidRPr="00F614AD">
              <w:rPr>
                <w:rFonts w:eastAsiaTheme="minorHAnsi"/>
              </w:rPr>
              <w:t>630</w:t>
            </w:r>
          </w:p>
        </w:tc>
        <w:tc>
          <w:tcPr>
            <w:tcW w:w="2835" w:type="dxa"/>
            <w:shd w:val="clear" w:color="auto" w:fill="auto"/>
            <w:vAlign w:val="center"/>
          </w:tcPr>
          <w:p w14:paraId="7B357E05" w14:textId="77777777" w:rsidR="000A5970" w:rsidRPr="00F614AD" w:rsidRDefault="000A5970" w:rsidP="00A403FC">
            <w:pPr>
              <w:pStyle w:val="Tabletext"/>
              <w:rPr>
                <w:rFonts w:eastAsiaTheme="minorHAnsi"/>
              </w:rPr>
            </w:pPr>
            <w:r w:rsidRPr="00F614AD">
              <w:rPr>
                <w:rFonts w:eastAsiaTheme="minorHAnsi"/>
              </w:rPr>
              <w:t>1,770</w:t>
            </w:r>
          </w:p>
        </w:tc>
      </w:tr>
      <w:tr w:rsidR="000A5970" w:rsidRPr="00F614AD" w14:paraId="56B9786D" w14:textId="77777777" w:rsidTr="00CA0EDB">
        <w:tc>
          <w:tcPr>
            <w:tcW w:w="4077" w:type="dxa"/>
            <w:shd w:val="clear" w:color="auto" w:fill="auto"/>
            <w:vAlign w:val="center"/>
          </w:tcPr>
          <w:p w14:paraId="32EEE977" w14:textId="77777777" w:rsidR="000A5970" w:rsidRPr="00F614AD" w:rsidRDefault="000A5970" w:rsidP="00A403FC">
            <w:pPr>
              <w:pStyle w:val="Tabletext"/>
              <w:rPr>
                <w:rFonts w:eastAsiaTheme="minorHAnsi"/>
              </w:rPr>
            </w:pPr>
            <w:r w:rsidRPr="00F614AD">
              <w:rPr>
                <w:rFonts w:eastAsiaTheme="minorHAnsi"/>
              </w:rPr>
              <w:t>% out of hospital (OOH)</w:t>
            </w:r>
          </w:p>
        </w:tc>
        <w:tc>
          <w:tcPr>
            <w:tcW w:w="2268" w:type="dxa"/>
            <w:shd w:val="clear" w:color="auto" w:fill="auto"/>
            <w:vAlign w:val="center"/>
          </w:tcPr>
          <w:p w14:paraId="127F5319" w14:textId="77777777" w:rsidR="000A5970" w:rsidRPr="00F614AD" w:rsidRDefault="000A5970" w:rsidP="00A403FC">
            <w:pPr>
              <w:pStyle w:val="Tabletext"/>
              <w:rPr>
                <w:rFonts w:eastAsiaTheme="minorHAnsi"/>
              </w:rPr>
            </w:pPr>
            <w:r w:rsidRPr="00F614AD">
              <w:rPr>
                <w:rFonts w:eastAsiaTheme="minorHAnsi"/>
              </w:rPr>
              <w:t>62.4%</w:t>
            </w:r>
          </w:p>
        </w:tc>
        <w:tc>
          <w:tcPr>
            <w:tcW w:w="2835" w:type="dxa"/>
            <w:shd w:val="clear" w:color="auto" w:fill="auto"/>
            <w:vAlign w:val="center"/>
          </w:tcPr>
          <w:p w14:paraId="39A3A9E5" w14:textId="77777777" w:rsidR="000A5970" w:rsidRPr="00F614AD" w:rsidRDefault="000A5970" w:rsidP="00A403FC">
            <w:pPr>
              <w:pStyle w:val="Tabletext"/>
              <w:rPr>
                <w:rFonts w:eastAsiaTheme="minorHAnsi"/>
              </w:rPr>
            </w:pPr>
            <w:r w:rsidRPr="00F614AD">
              <w:rPr>
                <w:rFonts w:eastAsiaTheme="minorHAnsi"/>
              </w:rPr>
              <w:t>50.3%</w:t>
            </w:r>
          </w:p>
        </w:tc>
      </w:tr>
      <w:tr w:rsidR="000A5970" w:rsidRPr="00F614AD" w14:paraId="33DD1BFF" w14:textId="77777777" w:rsidTr="00CA0EDB">
        <w:tc>
          <w:tcPr>
            <w:tcW w:w="4077" w:type="dxa"/>
            <w:shd w:val="clear" w:color="auto" w:fill="auto"/>
            <w:vAlign w:val="center"/>
          </w:tcPr>
          <w:p w14:paraId="244DDD51" w14:textId="77777777" w:rsidR="000A5970" w:rsidRPr="00F614AD" w:rsidRDefault="000A5970" w:rsidP="00A403FC">
            <w:pPr>
              <w:pStyle w:val="Tabletext"/>
              <w:rPr>
                <w:rFonts w:eastAsiaTheme="minorHAnsi"/>
              </w:rPr>
            </w:pPr>
            <w:r w:rsidRPr="00F614AD">
              <w:rPr>
                <w:rFonts w:eastAsiaTheme="minorHAnsi"/>
              </w:rPr>
              <w:t>Bulk-billing rate for OOH services</w:t>
            </w:r>
          </w:p>
        </w:tc>
        <w:tc>
          <w:tcPr>
            <w:tcW w:w="2268" w:type="dxa"/>
            <w:shd w:val="clear" w:color="auto" w:fill="auto"/>
            <w:vAlign w:val="center"/>
          </w:tcPr>
          <w:p w14:paraId="5A303F98" w14:textId="77777777" w:rsidR="000A5970" w:rsidRPr="00F614AD" w:rsidRDefault="000A5970" w:rsidP="00A403FC">
            <w:pPr>
              <w:pStyle w:val="Tabletext"/>
              <w:rPr>
                <w:rFonts w:eastAsiaTheme="minorHAnsi"/>
              </w:rPr>
            </w:pPr>
            <w:r w:rsidRPr="00F614AD">
              <w:rPr>
                <w:rFonts w:eastAsiaTheme="minorHAnsi"/>
              </w:rPr>
              <w:t>99.7%</w:t>
            </w:r>
          </w:p>
        </w:tc>
        <w:tc>
          <w:tcPr>
            <w:tcW w:w="2835" w:type="dxa"/>
            <w:shd w:val="clear" w:color="auto" w:fill="auto"/>
            <w:vAlign w:val="center"/>
          </w:tcPr>
          <w:p w14:paraId="08049BE4" w14:textId="77777777" w:rsidR="000A5970" w:rsidRPr="00F614AD" w:rsidRDefault="000A5970" w:rsidP="00A403FC">
            <w:pPr>
              <w:pStyle w:val="Tabletext"/>
              <w:rPr>
                <w:rFonts w:eastAsiaTheme="minorHAnsi"/>
              </w:rPr>
            </w:pPr>
            <w:r w:rsidRPr="00F614AD">
              <w:rPr>
                <w:rFonts w:eastAsiaTheme="minorHAnsi"/>
              </w:rPr>
              <w:t>99.8%</w:t>
            </w:r>
          </w:p>
        </w:tc>
      </w:tr>
      <w:tr w:rsidR="000A5970" w:rsidRPr="00F614AD" w14:paraId="1ABE5724" w14:textId="77777777" w:rsidTr="00CA0EDB">
        <w:tc>
          <w:tcPr>
            <w:tcW w:w="4077" w:type="dxa"/>
            <w:shd w:val="clear" w:color="auto" w:fill="auto"/>
            <w:vAlign w:val="center"/>
          </w:tcPr>
          <w:p w14:paraId="4487D8E2" w14:textId="77777777" w:rsidR="000A5970" w:rsidRPr="00F614AD" w:rsidRDefault="000A5970" w:rsidP="00A403FC">
            <w:pPr>
              <w:pStyle w:val="Tabletext"/>
              <w:rPr>
                <w:rFonts w:eastAsiaTheme="minorHAnsi"/>
              </w:rPr>
            </w:pPr>
            <w:r w:rsidRPr="00F614AD">
              <w:rPr>
                <w:rFonts w:eastAsiaTheme="minorHAnsi"/>
              </w:rPr>
              <w:t>Average fee charged (OOH)</w:t>
            </w:r>
          </w:p>
        </w:tc>
        <w:tc>
          <w:tcPr>
            <w:tcW w:w="2268" w:type="dxa"/>
            <w:shd w:val="clear" w:color="auto" w:fill="auto"/>
            <w:vAlign w:val="center"/>
          </w:tcPr>
          <w:p w14:paraId="2A982860" w14:textId="77777777" w:rsidR="000A5970" w:rsidRPr="00F614AD" w:rsidRDefault="000A5970" w:rsidP="00A403FC">
            <w:pPr>
              <w:pStyle w:val="Tabletext"/>
              <w:rPr>
                <w:rFonts w:eastAsiaTheme="minorHAnsi"/>
              </w:rPr>
            </w:pPr>
            <w:r w:rsidRPr="00F614AD">
              <w:rPr>
                <w:rFonts w:eastAsiaTheme="minorHAnsi"/>
              </w:rPr>
              <w:t>$813.30</w:t>
            </w:r>
          </w:p>
        </w:tc>
        <w:tc>
          <w:tcPr>
            <w:tcW w:w="2835" w:type="dxa"/>
            <w:shd w:val="clear" w:color="auto" w:fill="auto"/>
            <w:vAlign w:val="center"/>
          </w:tcPr>
          <w:p w14:paraId="2A51AF49" w14:textId="77777777" w:rsidR="000A5970" w:rsidRPr="00F614AD" w:rsidRDefault="000A5970" w:rsidP="00A403FC">
            <w:pPr>
              <w:pStyle w:val="Tabletext"/>
              <w:rPr>
                <w:rFonts w:eastAsiaTheme="minorHAnsi"/>
              </w:rPr>
            </w:pPr>
            <w:r w:rsidRPr="00F614AD">
              <w:rPr>
                <w:rFonts w:eastAsiaTheme="minorHAnsi"/>
              </w:rPr>
              <w:t>$681.70</w:t>
            </w:r>
          </w:p>
        </w:tc>
      </w:tr>
    </w:tbl>
    <w:p w14:paraId="1321CED5" w14:textId="77777777" w:rsidR="007B0110" w:rsidRPr="00DA5B19" w:rsidRDefault="005F3DE4" w:rsidP="00DA5B19">
      <w:pPr>
        <w:pStyle w:val="TableUnderLast"/>
      </w:pPr>
      <w:r w:rsidRPr="00DA5B19">
        <w:t>Unpublished data (Department of Health)</w:t>
      </w:r>
      <w:r w:rsidR="007B0110" w:rsidRPr="00DA5B19">
        <w:br w:type="page"/>
      </w:r>
    </w:p>
    <w:p w14:paraId="13087130" w14:textId="77777777" w:rsidR="002038AA" w:rsidRDefault="002038AA" w:rsidP="00926B56">
      <w:pPr>
        <w:pStyle w:val="Rec"/>
        <w:rPr>
          <w:rFonts w:eastAsiaTheme="minorHAnsi"/>
        </w:rPr>
      </w:pPr>
      <w:bookmarkStart w:id="241" w:name="_Toc458510008"/>
      <w:bookmarkStart w:id="242" w:name="_Toc458768476"/>
      <w:bookmarkStart w:id="243" w:name="_Toc458768656"/>
      <w:bookmarkStart w:id="244" w:name="_Toc478721517"/>
      <w:r>
        <w:rPr>
          <w:rFonts w:eastAsiaTheme="minorHAnsi"/>
        </w:rPr>
        <w:lastRenderedPageBreak/>
        <w:t>Diagnostic and therapeutic procedures – lung, trachea and bronchus</w:t>
      </w:r>
      <w:bookmarkEnd w:id="241"/>
      <w:bookmarkEnd w:id="242"/>
      <w:bookmarkEnd w:id="243"/>
      <w:bookmarkEnd w:id="244"/>
      <w:r w:rsidRPr="002038AA">
        <w:rPr>
          <w:rFonts w:eastAsiaTheme="minorHAnsi"/>
        </w:rPr>
        <w:t xml:space="preserve"> </w:t>
      </w:r>
    </w:p>
    <w:p w14:paraId="45EAED91" w14:textId="77777777" w:rsidR="002038AA" w:rsidRDefault="002038AA" w:rsidP="00F56E64">
      <w:r>
        <w:t>The Committee recommended no changes to the items in this section:</w:t>
      </w:r>
    </w:p>
    <w:p w14:paraId="60A8B72E" w14:textId="77777777" w:rsidR="002038AA" w:rsidRPr="00851104" w:rsidRDefault="002038AA" w:rsidP="002038AA">
      <w:pPr>
        <w:pStyle w:val="NormalBulleted"/>
      </w:pPr>
      <w:r w:rsidRPr="009109BE">
        <w:rPr>
          <w:b/>
        </w:rPr>
        <w:t>30696</w:t>
      </w:r>
      <w:r>
        <w:tab/>
      </w:r>
      <w:r w:rsidRPr="00851104">
        <w:t xml:space="preserve">Endoscopic Ultrasound Guided Fine Needle Aspiration Biopsy(s) </w:t>
      </w:r>
    </w:p>
    <w:p w14:paraId="438841F1" w14:textId="77777777" w:rsidR="002038AA" w:rsidRPr="009109BE" w:rsidRDefault="002038AA" w:rsidP="002038AA">
      <w:pPr>
        <w:pStyle w:val="NormalBulleted"/>
      </w:pPr>
      <w:r w:rsidRPr="009109BE">
        <w:rPr>
          <w:b/>
        </w:rPr>
        <w:t>30710</w:t>
      </w:r>
      <w:r>
        <w:tab/>
      </w:r>
      <w:r w:rsidRPr="00851104">
        <w:t>Endobronchial Ultrasound Guided Biopsy(s)</w:t>
      </w:r>
    </w:p>
    <w:p w14:paraId="5D569969" w14:textId="77777777" w:rsidR="002038AA" w:rsidRPr="00851104" w:rsidRDefault="002038AA" w:rsidP="002038AA">
      <w:pPr>
        <w:pStyle w:val="NormalBulleted"/>
      </w:pPr>
      <w:r w:rsidRPr="009109BE">
        <w:rPr>
          <w:b/>
        </w:rPr>
        <w:t>41889</w:t>
      </w:r>
      <w:r>
        <w:tab/>
      </w:r>
      <w:r w:rsidRPr="00851104">
        <w:t>Bronchoscopy</w:t>
      </w:r>
    </w:p>
    <w:p w14:paraId="5E482955" w14:textId="77777777" w:rsidR="002038AA" w:rsidRPr="00851104" w:rsidRDefault="002038AA" w:rsidP="002038AA">
      <w:pPr>
        <w:pStyle w:val="NormalBulleted"/>
      </w:pPr>
      <w:r w:rsidRPr="009109BE">
        <w:rPr>
          <w:b/>
        </w:rPr>
        <w:t>41892</w:t>
      </w:r>
      <w:r>
        <w:rPr>
          <w:b/>
        </w:rPr>
        <w:tab/>
      </w:r>
      <w:r w:rsidRPr="00851104">
        <w:t>Bronchoscopy with Endobronchial biopsies or diagnostic/therapeutic procedures</w:t>
      </w:r>
    </w:p>
    <w:p w14:paraId="11669A11" w14:textId="77777777" w:rsidR="002038AA" w:rsidRPr="00851104" w:rsidRDefault="002038AA" w:rsidP="002038AA">
      <w:pPr>
        <w:pStyle w:val="NormalBulleted"/>
      </w:pPr>
      <w:r w:rsidRPr="009109BE">
        <w:rPr>
          <w:b/>
        </w:rPr>
        <w:t>41895</w:t>
      </w:r>
      <w:r>
        <w:tab/>
      </w:r>
      <w:r w:rsidRPr="00851104">
        <w:t>Bronchus, removal of foreign body</w:t>
      </w:r>
    </w:p>
    <w:p w14:paraId="28313F24" w14:textId="77777777" w:rsidR="002038AA" w:rsidRPr="00851104" w:rsidRDefault="002038AA" w:rsidP="002038AA">
      <w:pPr>
        <w:pStyle w:val="NormalBulleted"/>
      </w:pPr>
      <w:r w:rsidRPr="009109BE">
        <w:rPr>
          <w:b/>
        </w:rPr>
        <w:t>41898</w:t>
      </w:r>
      <w:r>
        <w:tab/>
      </w:r>
      <w:r w:rsidRPr="00851104">
        <w:t>Fibreoptic Bronchoscopy</w:t>
      </w:r>
    </w:p>
    <w:p w14:paraId="04500E11" w14:textId="77777777" w:rsidR="000A5970" w:rsidRPr="00F56E64" w:rsidRDefault="002038AA" w:rsidP="002038AA">
      <w:pPr>
        <w:pStyle w:val="NormalBulleted"/>
      </w:pPr>
      <w:r w:rsidRPr="00F56E64">
        <w:rPr>
          <w:b/>
        </w:rPr>
        <w:t>41905</w:t>
      </w:r>
      <w:r w:rsidRPr="00F56E64">
        <w:rPr>
          <w:b/>
        </w:rPr>
        <w:tab/>
      </w:r>
      <w:r w:rsidRPr="009109BE">
        <w:t>Trachea or Bronchus, dilatation of stricture and endoscopic insertion of stent</w:t>
      </w:r>
      <w:r w:rsidR="00C2481B">
        <w:t>.</w:t>
      </w:r>
      <w:r w:rsidR="000A5970" w:rsidRPr="002038AA">
        <w:br w:type="page"/>
      </w:r>
    </w:p>
    <w:p w14:paraId="0E384851" w14:textId="77777777" w:rsidR="000A5970" w:rsidRDefault="000A5970" w:rsidP="003F2A67">
      <w:pPr>
        <w:pStyle w:val="Heading1"/>
      </w:pPr>
      <w:bookmarkStart w:id="245" w:name="_Ref457198185"/>
      <w:bookmarkStart w:id="246" w:name="_Toc458510009"/>
      <w:bookmarkStart w:id="247" w:name="_Toc458768477"/>
      <w:bookmarkStart w:id="248" w:name="_Toc458768657"/>
      <w:bookmarkStart w:id="249" w:name="_Toc478721518"/>
      <w:r>
        <w:lastRenderedPageBreak/>
        <w:t>Obsolete items</w:t>
      </w:r>
      <w:bookmarkEnd w:id="245"/>
      <w:bookmarkEnd w:id="246"/>
      <w:bookmarkEnd w:id="247"/>
      <w:bookmarkEnd w:id="248"/>
      <w:bookmarkEnd w:id="249"/>
    </w:p>
    <w:p w14:paraId="203B105D" w14:textId="77777777" w:rsidR="000A5970" w:rsidRDefault="000A5970" w:rsidP="00F56E64">
      <w:r w:rsidRPr="00C35C25">
        <w:t xml:space="preserve">After a review of the items assigned to the Committee, the associated MBS data and based on consultations with colleagues, the </w:t>
      </w:r>
      <w:r w:rsidR="007B78B9">
        <w:t>Committee</w:t>
      </w:r>
      <w:r w:rsidRPr="00C35C25">
        <w:t xml:space="preserve"> has identified two MBS items as obsolete</w:t>
      </w:r>
      <w:r w:rsidR="00B830F8">
        <w:t>,</w:t>
      </w:r>
      <w:r w:rsidRPr="00C35C25">
        <w:t xml:space="preserve"> i.e. the item has no clinical purpose in contemporary practice as it has been superseded by another service or procedure or the service identified is better covered under another item.</w:t>
      </w:r>
    </w:p>
    <w:p w14:paraId="14EF7776" w14:textId="77777777" w:rsidR="000A5970" w:rsidRDefault="000A5970" w:rsidP="00F56E64">
      <w:r>
        <w:t>The two items are:</w:t>
      </w:r>
    </w:p>
    <w:p w14:paraId="41C69BC5" w14:textId="77777777" w:rsidR="000A5970" w:rsidRPr="00851104" w:rsidRDefault="000A5970" w:rsidP="000A5970">
      <w:pPr>
        <w:pStyle w:val="NormalBulleted"/>
      </w:pPr>
      <w:r w:rsidRPr="009109BE">
        <w:rPr>
          <w:b/>
        </w:rPr>
        <w:t>11500</w:t>
      </w:r>
      <w:r>
        <w:tab/>
      </w:r>
      <w:r w:rsidRPr="00851104">
        <w:t>Bronchospirometry</w:t>
      </w:r>
    </w:p>
    <w:p w14:paraId="7B52AD5A" w14:textId="77777777" w:rsidR="000A5970" w:rsidRPr="00851104" w:rsidRDefault="000A5970" w:rsidP="000A5970">
      <w:pPr>
        <w:pStyle w:val="NormalBulleted"/>
      </w:pPr>
      <w:r>
        <w:rPr>
          <w:b/>
        </w:rPr>
        <w:t>11509</w:t>
      </w:r>
      <w:r>
        <w:t xml:space="preserve"> </w:t>
      </w:r>
      <w:r>
        <w:tab/>
      </w:r>
      <w:r w:rsidR="009F47E0">
        <w:t xml:space="preserve">Spirometry in a respiratory laboratory </w:t>
      </w:r>
    </w:p>
    <w:p w14:paraId="2DD15F44" w14:textId="77777777" w:rsidR="000A5970" w:rsidRPr="00A220B9" w:rsidRDefault="000A5970" w:rsidP="003F2A67">
      <w:pPr>
        <w:pStyle w:val="Heading2"/>
      </w:pPr>
      <w:bookmarkStart w:id="250" w:name="_Toc452990606"/>
      <w:bookmarkStart w:id="251" w:name="_Toc458510010"/>
      <w:bookmarkStart w:id="252" w:name="_Toc458768478"/>
      <w:bookmarkStart w:id="253" w:name="_Toc458768658"/>
      <w:bookmarkStart w:id="254" w:name="_Toc478721519"/>
      <w:r w:rsidRPr="00A220B9">
        <w:t xml:space="preserve">Item 11500 </w:t>
      </w:r>
      <w:r w:rsidR="00F614AD">
        <w:t>–</w:t>
      </w:r>
      <w:r w:rsidRPr="00A220B9">
        <w:t xml:space="preserve"> Bronchospirometry</w:t>
      </w:r>
      <w:bookmarkEnd w:id="250"/>
      <w:r w:rsidR="00F614AD">
        <w:t>, including gas analysis</w:t>
      </w:r>
      <w:bookmarkEnd w:id="251"/>
      <w:bookmarkEnd w:id="252"/>
      <w:bookmarkEnd w:id="253"/>
      <w:bookmarkEnd w:id="254"/>
      <w:r w:rsidRPr="00A220B9">
        <w:t xml:space="preserve"> </w:t>
      </w:r>
    </w:p>
    <w:p w14:paraId="54407A0F" w14:textId="77777777" w:rsidR="000A5970" w:rsidRDefault="000A5970" w:rsidP="00F56E64">
      <w:r w:rsidRPr="00F525BA">
        <w:t xml:space="preserve">The </w:t>
      </w:r>
      <w:r w:rsidR="00F614AD">
        <w:t xml:space="preserve">Committee suggested </w:t>
      </w:r>
      <w:r w:rsidRPr="00F525BA">
        <w:t xml:space="preserve">that this low volume item does not describe a contemporary service and </w:t>
      </w:r>
      <w:r>
        <w:t xml:space="preserve">clinical need for this </w:t>
      </w:r>
      <w:r w:rsidRPr="00F525BA">
        <w:t xml:space="preserve">is </w:t>
      </w:r>
      <w:r>
        <w:t>covered by</w:t>
      </w:r>
      <w:r w:rsidRPr="00F525BA">
        <w:t xml:space="preserve"> a range of appropriate respiratory function tests provided under items 11503, 11506 and 11512. Following public consultation, in February 2016, the MBS Review Taskforce</w:t>
      </w:r>
      <w:r w:rsidR="00F614AD">
        <w:t xml:space="preserve"> endorsed this recommendation. </w:t>
      </w:r>
    </w:p>
    <w:p w14:paraId="489780CB" w14:textId="77777777" w:rsidR="00F614AD" w:rsidRPr="00E52BC8" w:rsidRDefault="00F614AD" w:rsidP="00E52BC8">
      <w:pPr>
        <w:pStyle w:val="Caption"/>
      </w:pPr>
      <w:bookmarkStart w:id="255" w:name="_Toc457450677"/>
      <w:bookmarkStart w:id="256" w:name="_Toc478721558"/>
      <w:r w:rsidRPr="00E52BC8">
        <w:t xml:space="preserve">Table </w:t>
      </w:r>
      <w:r w:rsidR="007B0110" w:rsidRPr="00E52BC8">
        <w:t>2</w:t>
      </w:r>
      <w:r w:rsidR="006318B5">
        <w:t>4</w:t>
      </w:r>
      <w:r w:rsidRPr="00E52BC8">
        <w:t>:</w:t>
      </w:r>
      <w:r w:rsidRPr="00E52BC8">
        <w:tab/>
        <w:t>High level MBS data on bronchospirometry item 11500, 2014-15 (date of processing)</w:t>
      </w:r>
      <w:bookmarkEnd w:id="255"/>
      <w:bookmarkEnd w:id="256"/>
    </w:p>
    <w:tbl>
      <w:tblPr>
        <w:tblStyle w:val="TableGrid"/>
        <w:tblW w:w="9214" w:type="dxa"/>
        <w:tblInd w:w="108" w:type="dxa"/>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ayout w:type="fixed"/>
        <w:tblLook w:val="04A0" w:firstRow="1" w:lastRow="0" w:firstColumn="1" w:lastColumn="0" w:noHBand="0" w:noVBand="1"/>
        <w:tblDescription w:val="Table 24 provides an overview of MBS data, including services and benefits, for bronchiospirometry item 1150 in 2014-15."/>
      </w:tblPr>
      <w:tblGrid>
        <w:gridCol w:w="6804"/>
        <w:gridCol w:w="2410"/>
      </w:tblGrid>
      <w:tr w:rsidR="002B460A" w:rsidRPr="002B460A" w14:paraId="25800E3E" w14:textId="77777777" w:rsidTr="007B0110">
        <w:trPr>
          <w:tblHeader/>
        </w:trPr>
        <w:tc>
          <w:tcPr>
            <w:tcW w:w="6804" w:type="dxa"/>
            <w:tcBorders>
              <w:top w:val="single" w:sz="4" w:space="0" w:color="B56012"/>
            </w:tcBorders>
            <w:shd w:val="clear" w:color="auto" w:fill="auto"/>
          </w:tcPr>
          <w:p w14:paraId="7734C26F" w14:textId="77777777" w:rsidR="002B460A" w:rsidRPr="002B460A" w:rsidRDefault="007B0110" w:rsidP="00A403FC">
            <w:pPr>
              <w:pStyle w:val="Tableheading"/>
            </w:pPr>
            <w:r>
              <w:t>Statistic</w:t>
            </w:r>
          </w:p>
        </w:tc>
        <w:tc>
          <w:tcPr>
            <w:tcW w:w="2410" w:type="dxa"/>
            <w:tcBorders>
              <w:top w:val="single" w:sz="4" w:space="0" w:color="B56012"/>
            </w:tcBorders>
            <w:shd w:val="clear" w:color="auto" w:fill="auto"/>
          </w:tcPr>
          <w:p w14:paraId="3E142299" w14:textId="77777777" w:rsidR="002B460A" w:rsidRPr="002B460A" w:rsidRDefault="002B460A" w:rsidP="00A403FC">
            <w:pPr>
              <w:pStyle w:val="Tableheading"/>
            </w:pPr>
            <w:r w:rsidRPr="002B460A">
              <w:t>Amount</w:t>
            </w:r>
          </w:p>
        </w:tc>
      </w:tr>
      <w:tr w:rsidR="00F614AD" w:rsidRPr="0014338B" w14:paraId="7B7E0ECC" w14:textId="77777777" w:rsidTr="002B460A">
        <w:tc>
          <w:tcPr>
            <w:tcW w:w="6804" w:type="dxa"/>
            <w:tcBorders>
              <w:top w:val="single" w:sz="4" w:space="0" w:color="B56012"/>
            </w:tcBorders>
            <w:shd w:val="clear" w:color="auto" w:fill="auto"/>
          </w:tcPr>
          <w:p w14:paraId="3CAF1F04" w14:textId="77777777" w:rsidR="00F614AD" w:rsidRPr="0014338B" w:rsidRDefault="00F614AD" w:rsidP="00A403FC">
            <w:pPr>
              <w:pStyle w:val="Tabletext"/>
              <w:rPr>
                <w:rFonts w:eastAsiaTheme="minorHAnsi"/>
              </w:rPr>
            </w:pPr>
            <w:r>
              <w:rPr>
                <w:rFonts w:eastAsiaTheme="minorHAnsi"/>
              </w:rPr>
              <w:t>Schedule fee</w:t>
            </w:r>
          </w:p>
        </w:tc>
        <w:tc>
          <w:tcPr>
            <w:tcW w:w="2410" w:type="dxa"/>
            <w:tcBorders>
              <w:top w:val="single" w:sz="4" w:space="0" w:color="B56012"/>
            </w:tcBorders>
            <w:shd w:val="clear" w:color="auto" w:fill="auto"/>
          </w:tcPr>
          <w:p w14:paraId="2545A2AA" w14:textId="77777777" w:rsidR="00F614AD" w:rsidRPr="0014338B" w:rsidRDefault="00F614AD" w:rsidP="00A403FC">
            <w:pPr>
              <w:pStyle w:val="Tabletext"/>
              <w:rPr>
                <w:rFonts w:eastAsiaTheme="minorHAnsi"/>
              </w:rPr>
            </w:pPr>
            <w:r w:rsidRPr="00504ACC">
              <w:t>$167.00</w:t>
            </w:r>
          </w:p>
        </w:tc>
      </w:tr>
      <w:tr w:rsidR="00F614AD" w:rsidRPr="00DC3A35" w14:paraId="48DCC41F" w14:textId="77777777" w:rsidTr="002B460A">
        <w:tc>
          <w:tcPr>
            <w:tcW w:w="6804" w:type="dxa"/>
          </w:tcPr>
          <w:p w14:paraId="2E0AAD69" w14:textId="77777777" w:rsidR="00F614AD" w:rsidRPr="00226A36" w:rsidRDefault="00F614AD" w:rsidP="00A403FC">
            <w:pPr>
              <w:pStyle w:val="Tabletext"/>
              <w:rPr>
                <w:rFonts w:eastAsiaTheme="minorHAnsi"/>
              </w:rPr>
            </w:pPr>
            <w:r>
              <w:rPr>
                <w:rFonts w:eastAsiaTheme="minorHAnsi"/>
              </w:rPr>
              <w:t>Total benefits paid</w:t>
            </w:r>
            <w:r w:rsidRPr="00226A36">
              <w:rPr>
                <w:rFonts w:eastAsiaTheme="minorHAnsi"/>
              </w:rPr>
              <w:t xml:space="preserve"> 2014-15</w:t>
            </w:r>
          </w:p>
        </w:tc>
        <w:tc>
          <w:tcPr>
            <w:tcW w:w="2410" w:type="dxa"/>
          </w:tcPr>
          <w:p w14:paraId="6AAB4E03" w14:textId="77777777" w:rsidR="00F614AD" w:rsidRPr="00226A36" w:rsidRDefault="00F614AD" w:rsidP="00A403FC">
            <w:pPr>
              <w:pStyle w:val="Tabletext"/>
              <w:rPr>
                <w:rFonts w:cs="Arial"/>
              </w:rPr>
            </w:pPr>
            <w:r w:rsidRPr="00504ACC">
              <w:t>$138,808</w:t>
            </w:r>
          </w:p>
        </w:tc>
      </w:tr>
      <w:tr w:rsidR="00F614AD" w:rsidRPr="00DC3A35" w14:paraId="48FF2413" w14:textId="77777777" w:rsidTr="002B460A">
        <w:tc>
          <w:tcPr>
            <w:tcW w:w="6804" w:type="dxa"/>
          </w:tcPr>
          <w:p w14:paraId="585CBCD7" w14:textId="77777777" w:rsidR="00F614AD" w:rsidRPr="00226A36" w:rsidRDefault="00F614AD" w:rsidP="00A403FC">
            <w:pPr>
              <w:pStyle w:val="Tabletext"/>
              <w:rPr>
                <w:rFonts w:eastAsiaTheme="minorHAnsi"/>
              </w:rPr>
            </w:pPr>
            <w:r w:rsidRPr="00226A36">
              <w:rPr>
                <w:rFonts w:eastAsiaTheme="minorHAnsi"/>
              </w:rPr>
              <w:t>Number of services 2014-15</w:t>
            </w:r>
          </w:p>
        </w:tc>
        <w:tc>
          <w:tcPr>
            <w:tcW w:w="2410" w:type="dxa"/>
          </w:tcPr>
          <w:p w14:paraId="78C56D4D" w14:textId="77777777" w:rsidR="00F614AD" w:rsidRPr="00226A36" w:rsidRDefault="00F614AD" w:rsidP="00A403FC">
            <w:pPr>
              <w:pStyle w:val="Tabletext"/>
              <w:rPr>
                <w:rFonts w:cs="Arial"/>
              </w:rPr>
            </w:pPr>
            <w:r w:rsidRPr="00504ACC">
              <w:t>1,026</w:t>
            </w:r>
          </w:p>
        </w:tc>
      </w:tr>
      <w:tr w:rsidR="00F614AD" w:rsidRPr="00DC3A35" w14:paraId="46953FF4" w14:textId="77777777" w:rsidTr="002B460A">
        <w:tc>
          <w:tcPr>
            <w:tcW w:w="6804" w:type="dxa"/>
          </w:tcPr>
          <w:p w14:paraId="7F17C58A" w14:textId="77777777" w:rsidR="00F614AD" w:rsidRPr="00226A36" w:rsidRDefault="00F614AD" w:rsidP="00A403FC">
            <w:pPr>
              <w:pStyle w:val="Tabletext"/>
              <w:rPr>
                <w:rFonts w:eastAsiaTheme="minorHAnsi"/>
              </w:rPr>
            </w:pPr>
            <w:r>
              <w:rPr>
                <w:rFonts w:eastAsiaTheme="minorHAnsi"/>
              </w:rPr>
              <w:t>% of services provided out-of-hospital</w:t>
            </w:r>
            <w:r w:rsidRPr="00226A36">
              <w:rPr>
                <w:rFonts w:eastAsiaTheme="minorHAnsi"/>
              </w:rPr>
              <w:t xml:space="preserve"> 2014-15</w:t>
            </w:r>
          </w:p>
        </w:tc>
        <w:tc>
          <w:tcPr>
            <w:tcW w:w="2410" w:type="dxa"/>
          </w:tcPr>
          <w:p w14:paraId="4E023AC4" w14:textId="77777777" w:rsidR="00F614AD" w:rsidRPr="00226A36" w:rsidRDefault="00F614AD" w:rsidP="00A403FC">
            <w:pPr>
              <w:pStyle w:val="Tabletext"/>
              <w:rPr>
                <w:rFonts w:cs="Arial"/>
              </w:rPr>
            </w:pPr>
            <w:r w:rsidRPr="00504ACC">
              <w:t>55.70%</w:t>
            </w:r>
          </w:p>
        </w:tc>
      </w:tr>
      <w:tr w:rsidR="00F614AD" w:rsidRPr="00DC3A35" w14:paraId="4FAAECCE" w14:textId="77777777" w:rsidTr="002B460A">
        <w:tc>
          <w:tcPr>
            <w:tcW w:w="6804" w:type="dxa"/>
            <w:vAlign w:val="center"/>
          </w:tcPr>
          <w:p w14:paraId="66C349CE" w14:textId="77777777" w:rsidR="00F614AD" w:rsidRPr="00226A36" w:rsidRDefault="00F614AD" w:rsidP="00A403FC">
            <w:pPr>
              <w:pStyle w:val="Tabletext"/>
              <w:rPr>
                <w:rFonts w:eastAsiaTheme="minorHAnsi"/>
              </w:rPr>
            </w:pPr>
            <w:r w:rsidRPr="00BD6F27">
              <w:t>Bulk-billing rate for out-of-hospital services 2014-15</w:t>
            </w:r>
          </w:p>
        </w:tc>
        <w:tc>
          <w:tcPr>
            <w:tcW w:w="2410" w:type="dxa"/>
          </w:tcPr>
          <w:p w14:paraId="6CF35FB1" w14:textId="77777777" w:rsidR="00F614AD" w:rsidRPr="00226A36" w:rsidRDefault="00F614AD" w:rsidP="00A403FC">
            <w:pPr>
              <w:pStyle w:val="Tabletext"/>
              <w:rPr>
                <w:rFonts w:cs="Arial"/>
              </w:rPr>
            </w:pPr>
            <w:r w:rsidRPr="00504ACC">
              <w:t>54.60%</w:t>
            </w:r>
          </w:p>
        </w:tc>
      </w:tr>
      <w:tr w:rsidR="00F614AD" w:rsidRPr="00DC3A35" w14:paraId="7618359B" w14:textId="77777777" w:rsidTr="002B460A">
        <w:tc>
          <w:tcPr>
            <w:tcW w:w="6804" w:type="dxa"/>
            <w:vAlign w:val="center"/>
          </w:tcPr>
          <w:p w14:paraId="6B4B7D11" w14:textId="77777777" w:rsidR="00F614AD" w:rsidRPr="00226A36" w:rsidRDefault="00F614AD" w:rsidP="00A403FC">
            <w:pPr>
              <w:pStyle w:val="Tabletext"/>
              <w:rPr>
                <w:rFonts w:eastAsiaTheme="minorHAnsi"/>
              </w:rPr>
            </w:pPr>
            <w:r>
              <w:t>Total p</w:t>
            </w:r>
            <w:r w:rsidRPr="00BD6F27">
              <w:t>atient count 2014-15</w:t>
            </w:r>
          </w:p>
        </w:tc>
        <w:tc>
          <w:tcPr>
            <w:tcW w:w="2410" w:type="dxa"/>
          </w:tcPr>
          <w:p w14:paraId="4A09D409" w14:textId="77777777" w:rsidR="00F614AD" w:rsidRPr="00226A36" w:rsidRDefault="00F614AD" w:rsidP="00A403FC">
            <w:pPr>
              <w:pStyle w:val="Tabletext"/>
              <w:rPr>
                <w:rFonts w:cs="Arial"/>
              </w:rPr>
            </w:pPr>
            <w:r w:rsidRPr="00504ACC">
              <w:t>979</w:t>
            </w:r>
          </w:p>
        </w:tc>
      </w:tr>
      <w:tr w:rsidR="00F614AD" w:rsidRPr="00DC3A35" w14:paraId="09D7AAD6" w14:textId="77777777" w:rsidTr="002B460A">
        <w:tc>
          <w:tcPr>
            <w:tcW w:w="6804" w:type="dxa"/>
            <w:vAlign w:val="center"/>
          </w:tcPr>
          <w:p w14:paraId="19CD816F" w14:textId="77777777" w:rsidR="00F614AD" w:rsidRPr="00226A36" w:rsidRDefault="00F614AD" w:rsidP="00A403FC">
            <w:pPr>
              <w:pStyle w:val="Tabletext"/>
              <w:rPr>
                <w:rFonts w:eastAsiaTheme="minorHAnsi"/>
              </w:rPr>
            </w:pPr>
            <w:r w:rsidRPr="00BD6F27">
              <w:t>Total provider count 2014-15</w:t>
            </w:r>
          </w:p>
        </w:tc>
        <w:tc>
          <w:tcPr>
            <w:tcW w:w="2410" w:type="dxa"/>
          </w:tcPr>
          <w:p w14:paraId="7BEB3831" w14:textId="77777777" w:rsidR="00F614AD" w:rsidRPr="00226A36" w:rsidRDefault="00F614AD" w:rsidP="00A403FC">
            <w:pPr>
              <w:pStyle w:val="Tabletext"/>
              <w:rPr>
                <w:rFonts w:cs="Arial"/>
              </w:rPr>
            </w:pPr>
            <w:r w:rsidRPr="00504ACC">
              <w:t>20</w:t>
            </w:r>
          </w:p>
        </w:tc>
      </w:tr>
      <w:tr w:rsidR="00F614AD" w:rsidRPr="00DC3A35" w14:paraId="1EB2A96A" w14:textId="77777777" w:rsidTr="002B460A">
        <w:tc>
          <w:tcPr>
            <w:tcW w:w="6804" w:type="dxa"/>
            <w:vAlign w:val="center"/>
          </w:tcPr>
          <w:p w14:paraId="31C1911C" w14:textId="77777777" w:rsidR="00F614AD" w:rsidRPr="00226A36" w:rsidRDefault="00F614AD" w:rsidP="00A403FC">
            <w:pPr>
              <w:pStyle w:val="Tabletext"/>
              <w:rPr>
                <w:rFonts w:eastAsiaTheme="minorHAnsi"/>
              </w:rPr>
            </w:pPr>
            <w:r>
              <w:t>Benefits c</w:t>
            </w:r>
            <w:r w:rsidRPr="00BD6F27">
              <w:t>hange (%) from 2009-10 to 2014-15</w:t>
            </w:r>
          </w:p>
        </w:tc>
        <w:tc>
          <w:tcPr>
            <w:tcW w:w="2410" w:type="dxa"/>
          </w:tcPr>
          <w:p w14:paraId="69E8AFF1" w14:textId="77777777" w:rsidR="00F614AD" w:rsidRPr="00226A36" w:rsidRDefault="00F614AD" w:rsidP="00A403FC">
            <w:pPr>
              <w:pStyle w:val="Tabletext"/>
              <w:rPr>
                <w:rFonts w:cs="Arial"/>
              </w:rPr>
            </w:pPr>
            <w:r w:rsidRPr="00504ACC">
              <w:t>60.60%</w:t>
            </w:r>
          </w:p>
        </w:tc>
      </w:tr>
      <w:tr w:rsidR="00F614AD" w:rsidRPr="00DC3A35" w14:paraId="019DC381" w14:textId="77777777" w:rsidTr="002B460A">
        <w:tc>
          <w:tcPr>
            <w:tcW w:w="6804" w:type="dxa"/>
            <w:vAlign w:val="center"/>
          </w:tcPr>
          <w:p w14:paraId="4719FA75" w14:textId="77777777" w:rsidR="00F614AD" w:rsidRPr="00226A36" w:rsidRDefault="00F614AD" w:rsidP="00A403FC">
            <w:pPr>
              <w:pStyle w:val="Tabletext"/>
              <w:rPr>
                <w:rFonts w:eastAsiaTheme="minorHAnsi"/>
              </w:rPr>
            </w:pPr>
            <w:r>
              <w:t>Service c</w:t>
            </w:r>
            <w:r w:rsidRPr="00BD6F27">
              <w:t>hange (%) from 2009-10 to 2014-15</w:t>
            </w:r>
          </w:p>
        </w:tc>
        <w:tc>
          <w:tcPr>
            <w:tcW w:w="2410" w:type="dxa"/>
          </w:tcPr>
          <w:p w14:paraId="4AAA4820" w14:textId="77777777" w:rsidR="00F614AD" w:rsidRPr="00226A36" w:rsidRDefault="00F614AD" w:rsidP="00A403FC">
            <w:pPr>
              <w:pStyle w:val="Tabletext"/>
              <w:rPr>
                <w:rFonts w:cs="Arial"/>
              </w:rPr>
            </w:pPr>
            <w:r w:rsidRPr="00504ACC">
              <w:t>55.90%</w:t>
            </w:r>
          </w:p>
        </w:tc>
      </w:tr>
    </w:tbl>
    <w:p w14:paraId="1C61D11B" w14:textId="77777777" w:rsidR="005F3DE4" w:rsidRPr="00DA5B19" w:rsidRDefault="005F3DE4" w:rsidP="00DA5B19">
      <w:pPr>
        <w:pStyle w:val="TableUnderLast"/>
      </w:pPr>
      <w:r w:rsidRPr="00DA5B19">
        <w:t>Unpublished data (Department of Health)</w:t>
      </w:r>
    </w:p>
    <w:p w14:paraId="6F9FB6D9" w14:textId="77777777" w:rsidR="00506936" w:rsidRDefault="00506936" w:rsidP="003F2A67">
      <w:pPr>
        <w:pStyle w:val="Heading2"/>
      </w:pPr>
      <w:bookmarkStart w:id="257" w:name="_Toc458510011"/>
      <w:bookmarkStart w:id="258" w:name="_Toc458768479"/>
      <w:bookmarkStart w:id="259" w:name="_Toc458768659"/>
      <w:bookmarkStart w:id="260" w:name="_Toc478721520"/>
      <w:r>
        <w:t>Item 11509 – Spirometry in a respiratory laboratory</w:t>
      </w:r>
      <w:bookmarkEnd w:id="257"/>
      <w:bookmarkEnd w:id="258"/>
      <w:bookmarkEnd w:id="259"/>
      <w:bookmarkEnd w:id="260"/>
    </w:p>
    <w:p w14:paraId="5D369775" w14:textId="77777777" w:rsidR="00B830F8" w:rsidRPr="00F56E64" w:rsidRDefault="00506936" w:rsidP="00F56E64">
      <w:pPr>
        <w:rPr>
          <w:rFonts w:eastAsiaTheme="minorHAnsi"/>
        </w:rPr>
      </w:pPr>
      <w:r w:rsidRPr="00944B30">
        <w:t>Item 11509</w:t>
      </w:r>
      <w:r>
        <w:t xml:space="preserve"> provides for m</w:t>
      </w:r>
      <w:r w:rsidRPr="00944B30">
        <w:t>easurement of respiratory function involving a permanently recorded tracing and written report</w:t>
      </w:r>
      <w:r>
        <w:t>.</w:t>
      </w:r>
      <w:r w:rsidR="00B830F8">
        <w:br w:type="page"/>
      </w:r>
    </w:p>
    <w:p w14:paraId="125D460A" w14:textId="77777777" w:rsidR="00506936" w:rsidRDefault="00506936" w:rsidP="003F2A67">
      <w:pPr>
        <w:pStyle w:val="Heading3"/>
      </w:pPr>
      <w:r>
        <w:lastRenderedPageBreak/>
        <w:t>MBS data relating to item 11509</w:t>
      </w:r>
    </w:p>
    <w:p w14:paraId="1F549BA4" w14:textId="77777777" w:rsidR="00506936" w:rsidRPr="00E52BC8" w:rsidRDefault="00506936" w:rsidP="00E52BC8">
      <w:pPr>
        <w:pStyle w:val="Caption"/>
      </w:pPr>
      <w:bookmarkStart w:id="261" w:name="_Toc457450678"/>
      <w:bookmarkStart w:id="262" w:name="_Toc478721559"/>
      <w:r w:rsidRPr="00E52BC8">
        <w:t xml:space="preserve">Table </w:t>
      </w:r>
      <w:r w:rsidR="007B0110" w:rsidRPr="00E52BC8">
        <w:t>2</w:t>
      </w:r>
      <w:r w:rsidR="0071472F">
        <w:t>5</w:t>
      </w:r>
      <w:r w:rsidRPr="00E52BC8">
        <w:t>:</w:t>
      </w:r>
      <w:r w:rsidRPr="00E52BC8">
        <w:tab/>
        <w:t>High level MBS data on spirometry item 11509, 2014-15 (date of processing)</w:t>
      </w:r>
      <w:bookmarkEnd w:id="261"/>
      <w:bookmarkEnd w:id="262"/>
    </w:p>
    <w:tbl>
      <w:tblPr>
        <w:tblStyle w:val="TableGrid"/>
        <w:tblW w:w="9214" w:type="dxa"/>
        <w:tblInd w:w="108" w:type="dxa"/>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ayout w:type="fixed"/>
        <w:tblLook w:val="04A0" w:firstRow="1" w:lastRow="0" w:firstColumn="1" w:lastColumn="0" w:noHBand="0" w:noVBand="1"/>
        <w:tblDescription w:val="Table 25 provides an overview of MBS data, including services and benefits, for spirometry item 11509 in 2014-15."/>
      </w:tblPr>
      <w:tblGrid>
        <w:gridCol w:w="6804"/>
        <w:gridCol w:w="2410"/>
      </w:tblGrid>
      <w:tr w:rsidR="007B0110" w:rsidRPr="0014338B" w14:paraId="3A036259" w14:textId="77777777" w:rsidTr="00E41CE7">
        <w:trPr>
          <w:tblHeader/>
        </w:trPr>
        <w:tc>
          <w:tcPr>
            <w:tcW w:w="6804" w:type="dxa"/>
            <w:tcBorders>
              <w:top w:val="single" w:sz="4" w:space="0" w:color="B56012"/>
            </w:tcBorders>
            <w:shd w:val="clear" w:color="auto" w:fill="auto"/>
          </w:tcPr>
          <w:p w14:paraId="0BE3AA4A" w14:textId="77777777" w:rsidR="007B0110" w:rsidRDefault="007B0110" w:rsidP="007B0110">
            <w:pPr>
              <w:pStyle w:val="Tableheading"/>
            </w:pPr>
            <w:r>
              <w:t>Statistic</w:t>
            </w:r>
          </w:p>
        </w:tc>
        <w:tc>
          <w:tcPr>
            <w:tcW w:w="2410" w:type="dxa"/>
            <w:tcBorders>
              <w:top w:val="single" w:sz="4" w:space="0" w:color="B56012"/>
            </w:tcBorders>
            <w:shd w:val="clear" w:color="auto" w:fill="auto"/>
            <w:vAlign w:val="center"/>
          </w:tcPr>
          <w:p w14:paraId="380885D7" w14:textId="77777777" w:rsidR="007B0110" w:rsidRPr="00BD6F27" w:rsidRDefault="007B0110" w:rsidP="007B0110">
            <w:pPr>
              <w:pStyle w:val="Tableheading"/>
            </w:pPr>
            <w:r>
              <w:t>Amount</w:t>
            </w:r>
          </w:p>
        </w:tc>
      </w:tr>
      <w:tr w:rsidR="00506936" w:rsidRPr="0014338B" w14:paraId="689EB8B4" w14:textId="77777777" w:rsidTr="007B0110">
        <w:tc>
          <w:tcPr>
            <w:tcW w:w="6804" w:type="dxa"/>
            <w:tcBorders>
              <w:top w:val="single" w:sz="4" w:space="0" w:color="B56012"/>
            </w:tcBorders>
            <w:shd w:val="clear" w:color="auto" w:fill="auto"/>
          </w:tcPr>
          <w:p w14:paraId="2EE0B09F" w14:textId="77777777" w:rsidR="00506936" w:rsidRPr="0014338B" w:rsidRDefault="00506936" w:rsidP="00A403FC">
            <w:pPr>
              <w:pStyle w:val="Tabletext"/>
              <w:rPr>
                <w:rFonts w:eastAsiaTheme="minorHAnsi"/>
              </w:rPr>
            </w:pPr>
            <w:r>
              <w:rPr>
                <w:rFonts w:eastAsiaTheme="minorHAnsi"/>
              </w:rPr>
              <w:t>Schedule fee</w:t>
            </w:r>
          </w:p>
        </w:tc>
        <w:tc>
          <w:tcPr>
            <w:tcW w:w="2410" w:type="dxa"/>
            <w:tcBorders>
              <w:top w:val="single" w:sz="4" w:space="0" w:color="B56012"/>
            </w:tcBorders>
            <w:shd w:val="clear" w:color="auto" w:fill="auto"/>
            <w:vAlign w:val="center"/>
          </w:tcPr>
          <w:p w14:paraId="7CE497C1" w14:textId="77777777" w:rsidR="00506936" w:rsidRPr="0014338B" w:rsidRDefault="00506936" w:rsidP="00A403FC">
            <w:pPr>
              <w:pStyle w:val="Tabletext"/>
              <w:rPr>
                <w:rFonts w:eastAsiaTheme="minorHAnsi"/>
              </w:rPr>
            </w:pPr>
            <w:r w:rsidRPr="00BD6F27">
              <w:t>$35.65</w:t>
            </w:r>
          </w:p>
        </w:tc>
      </w:tr>
      <w:tr w:rsidR="00506936" w:rsidRPr="00DC3A35" w14:paraId="7DA050A4" w14:textId="77777777" w:rsidTr="007B0110">
        <w:tc>
          <w:tcPr>
            <w:tcW w:w="6804" w:type="dxa"/>
          </w:tcPr>
          <w:p w14:paraId="2C20B951" w14:textId="77777777" w:rsidR="00506936" w:rsidRPr="00226A36" w:rsidRDefault="00506936" w:rsidP="00A403FC">
            <w:pPr>
              <w:pStyle w:val="Tabletext"/>
              <w:rPr>
                <w:rFonts w:eastAsiaTheme="minorHAnsi"/>
              </w:rPr>
            </w:pPr>
            <w:r>
              <w:rPr>
                <w:rFonts w:eastAsiaTheme="minorHAnsi"/>
              </w:rPr>
              <w:t>Total benefits paid</w:t>
            </w:r>
            <w:r w:rsidRPr="00226A36">
              <w:rPr>
                <w:rFonts w:eastAsiaTheme="minorHAnsi"/>
              </w:rPr>
              <w:t xml:space="preserve"> 2014-15</w:t>
            </w:r>
          </w:p>
        </w:tc>
        <w:tc>
          <w:tcPr>
            <w:tcW w:w="2410" w:type="dxa"/>
            <w:vAlign w:val="center"/>
          </w:tcPr>
          <w:p w14:paraId="7E722FCA" w14:textId="77777777" w:rsidR="00506936" w:rsidRPr="00226A36" w:rsidRDefault="00506936" w:rsidP="00A403FC">
            <w:pPr>
              <w:pStyle w:val="Tabletext"/>
              <w:rPr>
                <w:rFonts w:cs="Arial"/>
              </w:rPr>
            </w:pPr>
            <w:r w:rsidRPr="00BD6F27">
              <w:t>$519,845</w:t>
            </w:r>
          </w:p>
        </w:tc>
      </w:tr>
      <w:tr w:rsidR="00506936" w:rsidRPr="00DC3A35" w14:paraId="2BD63ACD" w14:textId="77777777" w:rsidTr="007B0110">
        <w:tc>
          <w:tcPr>
            <w:tcW w:w="6804" w:type="dxa"/>
          </w:tcPr>
          <w:p w14:paraId="0A4291F3" w14:textId="77777777" w:rsidR="00506936" w:rsidRPr="00226A36" w:rsidRDefault="00506936" w:rsidP="00A403FC">
            <w:pPr>
              <w:pStyle w:val="Tabletext"/>
              <w:rPr>
                <w:rFonts w:eastAsiaTheme="minorHAnsi"/>
              </w:rPr>
            </w:pPr>
            <w:r w:rsidRPr="00226A36">
              <w:rPr>
                <w:rFonts w:eastAsiaTheme="minorHAnsi"/>
              </w:rPr>
              <w:t>Number of services 2014-15</w:t>
            </w:r>
          </w:p>
        </w:tc>
        <w:tc>
          <w:tcPr>
            <w:tcW w:w="2410" w:type="dxa"/>
            <w:vAlign w:val="center"/>
          </w:tcPr>
          <w:p w14:paraId="36E5E02F" w14:textId="77777777" w:rsidR="00506936" w:rsidRPr="00226A36" w:rsidRDefault="00506936" w:rsidP="00A403FC">
            <w:pPr>
              <w:pStyle w:val="Tabletext"/>
              <w:rPr>
                <w:rFonts w:cs="Arial"/>
              </w:rPr>
            </w:pPr>
            <w:r w:rsidRPr="00BD6F27">
              <w:t>16,804</w:t>
            </w:r>
          </w:p>
        </w:tc>
      </w:tr>
      <w:tr w:rsidR="00506936" w:rsidRPr="00DC3A35" w14:paraId="1ED318CD" w14:textId="77777777" w:rsidTr="007B0110">
        <w:tc>
          <w:tcPr>
            <w:tcW w:w="6804" w:type="dxa"/>
          </w:tcPr>
          <w:p w14:paraId="549A8823" w14:textId="77777777" w:rsidR="00506936" w:rsidRPr="00226A36" w:rsidRDefault="00506936" w:rsidP="00A403FC">
            <w:pPr>
              <w:pStyle w:val="Tabletext"/>
              <w:rPr>
                <w:rFonts w:eastAsiaTheme="minorHAnsi"/>
              </w:rPr>
            </w:pPr>
            <w:r>
              <w:rPr>
                <w:rFonts w:eastAsiaTheme="minorHAnsi"/>
              </w:rPr>
              <w:t>% of services provided out-of-hospital</w:t>
            </w:r>
            <w:r w:rsidRPr="00226A36">
              <w:rPr>
                <w:rFonts w:eastAsiaTheme="minorHAnsi"/>
              </w:rPr>
              <w:t xml:space="preserve"> 2014-15</w:t>
            </w:r>
          </w:p>
        </w:tc>
        <w:tc>
          <w:tcPr>
            <w:tcW w:w="2410" w:type="dxa"/>
            <w:vAlign w:val="center"/>
          </w:tcPr>
          <w:p w14:paraId="4765935C" w14:textId="77777777" w:rsidR="00506936" w:rsidRPr="00226A36" w:rsidRDefault="00506936" w:rsidP="00A403FC">
            <w:pPr>
              <w:pStyle w:val="Tabletext"/>
              <w:rPr>
                <w:rFonts w:cs="Arial"/>
              </w:rPr>
            </w:pPr>
            <w:r w:rsidRPr="00BD6F27">
              <w:t>99.50%</w:t>
            </w:r>
          </w:p>
        </w:tc>
      </w:tr>
      <w:tr w:rsidR="00506936" w:rsidRPr="00DC3A35" w14:paraId="695E8E3E" w14:textId="77777777" w:rsidTr="007B0110">
        <w:tc>
          <w:tcPr>
            <w:tcW w:w="6804" w:type="dxa"/>
            <w:vAlign w:val="center"/>
          </w:tcPr>
          <w:p w14:paraId="236B24ED" w14:textId="77777777" w:rsidR="00506936" w:rsidRPr="00226A36" w:rsidRDefault="00506936" w:rsidP="00A403FC">
            <w:pPr>
              <w:pStyle w:val="Tabletext"/>
              <w:rPr>
                <w:rFonts w:eastAsiaTheme="minorHAnsi"/>
              </w:rPr>
            </w:pPr>
            <w:r w:rsidRPr="00BD6F27">
              <w:t>Bulk-billing rate for out-of-hospital services 2014-15</w:t>
            </w:r>
          </w:p>
        </w:tc>
        <w:tc>
          <w:tcPr>
            <w:tcW w:w="2410" w:type="dxa"/>
            <w:vAlign w:val="center"/>
          </w:tcPr>
          <w:p w14:paraId="60745144" w14:textId="77777777" w:rsidR="00506936" w:rsidRPr="00A666BE" w:rsidRDefault="00506936" w:rsidP="00A666BE">
            <w:pPr>
              <w:pStyle w:val="Tabletext"/>
            </w:pPr>
            <w:r w:rsidRPr="00A666BE">
              <w:t>65.50%</w:t>
            </w:r>
          </w:p>
        </w:tc>
      </w:tr>
      <w:tr w:rsidR="00506936" w:rsidRPr="00DC3A35" w14:paraId="254E16C1" w14:textId="77777777" w:rsidTr="007B0110">
        <w:tc>
          <w:tcPr>
            <w:tcW w:w="6804" w:type="dxa"/>
            <w:vAlign w:val="center"/>
          </w:tcPr>
          <w:p w14:paraId="6B83D9FB" w14:textId="77777777" w:rsidR="00506936" w:rsidRPr="00226A36" w:rsidRDefault="00506936" w:rsidP="00A403FC">
            <w:pPr>
              <w:pStyle w:val="Tabletext"/>
              <w:rPr>
                <w:rFonts w:eastAsiaTheme="minorHAnsi"/>
              </w:rPr>
            </w:pPr>
            <w:r>
              <w:t>Total p</w:t>
            </w:r>
            <w:r w:rsidRPr="00BD6F27">
              <w:t>atient count 2014-15</w:t>
            </w:r>
          </w:p>
        </w:tc>
        <w:tc>
          <w:tcPr>
            <w:tcW w:w="2410" w:type="dxa"/>
            <w:vAlign w:val="center"/>
          </w:tcPr>
          <w:p w14:paraId="3C4E5CE2" w14:textId="77777777" w:rsidR="00506936" w:rsidRPr="00A666BE" w:rsidRDefault="00506936" w:rsidP="00A666BE">
            <w:pPr>
              <w:pStyle w:val="Tabletext"/>
            </w:pPr>
            <w:r w:rsidRPr="00A666BE">
              <w:t>11,486</w:t>
            </w:r>
          </w:p>
        </w:tc>
      </w:tr>
      <w:tr w:rsidR="00506936" w:rsidRPr="00DC3A35" w14:paraId="43F4139F" w14:textId="77777777" w:rsidTr="007B0110">
        <w:tc>
          <w:tcPr>
            <w:tcW w:w="6804" w:type="dxa"/>
            <w:vAlign w:val="center"/>
          </w:tcPr>
          <w:p w14:paraId="3FCBBCFC" w14:textId="77777777" w:rsidR="00506936" w:rsidRPr="00226A36" w:rsidRDefault="00506936" w:rsidP="00A403FC">
            <w:pPr>
              <w:pStyle w:val="Tabletext"/>
              <w:rPr>
                <w:rFonts w:eastAsiaTheme="minorHAnsi"/>
              </w:rPr>
            </w:pPr>
            <w:r w:rsidRPr="00BD6F27">
              <w:t>Total provider count 2014-15</w:t>
            </w:r>
          </w:p>
        </w:tc>
        <w:tc>
          <w:tcPr>
            <w:tcW w:w="2410" w:type="dxa"/>
            <w:vAlign w:val="center"/>
          </w:tcPr>
          <w:p w14:paraId="061DE558" w14:textId="77777777" w:rsidR="00506936" w:rsidRPr="00A666BE" w:rsidRDefault="00506936" w:rsidP="00A666BE">
            <w:pPr>
              <w:pStyle w:val="Tabletext"/>
            </w:pPr>
            <w:r w:rsidRPr="00A666BE">
              <w:t>254</w:t>
            </w:r>
          </w:p>
        </w:tc>
      </w:tr>
      <w:tr w:rsidR="00506936" w:rsidRPr="00DC3A35" w14:paraId="67993F98" w14:textId="77777777" w:rsidTr="007B0110">
        <w:tc>
          <w:tcPr>
            <w:tcW w:w="6804" w:type="dxa"/>
            <w:vAlign w:val="center"/>
          </w:tcPr>
          <w:p w14:paraId="05A18C83" w14:textId="77777777" w:rsidR="00506936" w:rsidRPr="00226A36" w:rsidRDefault="00506936" w:rsidP="00A403FC">
            <w:pPr>
              <w:pStyle w:val="Tabletext"/>
              <w:rPr>
                <w:rFonts w:eastAsiaTheme="minorHAnsi"/>
              </w:rPr>
            </w:pPr>
            <w:r>
              <w:t>Benefits c</w:t>
            </w:r>
            <w:r w:rsidRPr="00BD6F27">
              <w:t>hange (%) from 2009-10 to 2014-15</w:t>
            </w:r>
          </w:p>
        </w:tc>
        <w:tc>
          <w:tcPr>
            <w:tcW w:w="2410" w:type="dxa"/>
            <w:vAlign w:val="center"/>
          </w:tcPr>
          <w:p w14:paraId="21983796" w14:textId="77777777" w:rsidR="00506936" w:rsidRPr="00A666BE" w:rsidRDefault="00506936" w:rsidP="00A666BE">
            <w:pPr>
              <w:pStyle w:val="Tabletext"/>
            </w:pPr>
            <w:r w:rsidRPr="00A666BE">
              <w:t>7.10%</w:t>
            </w:r>
          </w:p>
        </w:tc>
      </w:tr>
      <w:tr w:rsidR="00506936" w:rsidRPr="00DC3A35" w14:paraId="4C9B65C1" w14:textId="77777777" w:rsidTr="007B0110">
        <w:tc>
          <w:tcPr>
            <w:tcW w:w="6804" w:type="dxa"/>
            <w:vAlign w:val="center"/>
          </w:tcPr>
          <w:p w14:paraId="7D299CB5" w14:textId="77777777" w:rsidR="00506936" w:rsidRPr="00226A36" w:rsidRDefault="00506936" w:rsidP="00A403FC">
            <w:pPr>
              <w:pStyle w:val="Tabletext"/>
              <w:rPr>
                <w:rFonts w:eastAsiaTheme="minorHAnsi"/>
              </w:rPr>
            </w:pPr>
            <w:r>
              <w:t>Service c</w:t>
            </w:r>
            <w:r w:rsidRPr="00BD6F27">
              <w:t>hange (%) from 2009-10 to 2014-15</w:t>
            </w:r>
          </w:p>
        </w:tc>
        <w:tc>
          <w:tcPr>
            <w:tcW w:w="2410" w:type="dxa"/>
            <w:vAlign w:val="center"/>
          </w:tcPr>
          <w:p w14:paraId="406DBA93" w14:textId="77777777" w:rsidR="00506936" w:rsidRPr="00A666BE" w:rsidRDefault="00506936" w:rsidP="00A666BE">
            <w:pPr>
              <w:pStyle w:val="Tabletext"/>
            </w:pPr>
            <w:r w:rsidRPr="00A666BE">
              <w:t>1.50%</w:t>
            </w:r>
          </w:p>
        </w:tc>
      </w:tr>
    </w:tbl>
    <w:p w14:paraId="009B7A7A" w14:textId="77777777" w:rsidR="00506936" w:rsidRPr="00DA5B19" w:rsidRDefault="00506936" w:rsidP="00DA5B19">
      <w:pPr>
        <w:pStyle w:val="TableUnderLast"/>
      </w:pPr>
      <w:r w:rsidRPr="00DA5B19">
        <w:t>Unpublished data (Department of Health)</w:t>
      </w:r>
    </w:p>
    <w:p w14:paraId="67B65A3B" w14:textId="77777777" w:rsidR="00506936" w:rsidRDefault="00506936" w:rsidP="003F2A67">
      <w:pPr>
        <w:pStyle w:val="Heading3"/>
      </w:pPr>
      <w:r>
        <w:t>Rationale</w:t>
      </w:r>
    </w:p>
    <w:p w14:paraId="59B08750" w14:textId="77777777" w:rsidR="00506936" w:rsidRDefault="00506936" w:rsidP="00506936">
      <w:r>
        <w:t>I</w:t>
      </w:r>
      <w:r w:rsidRPr="0014338B">
        <w:t>tems 11509 and 11506 describe the same service (pre and post bronchodilator spirometry) performed in different settings.</w:t>
      </w:r>
      <w:r w:rsidR="00A403FC">
        <w:t xml:space="preserve"> </w:t>
      </w:r>
      <w:r>
        <w:t>Item</w:t>
      </w:r>
      <w:r w:rsidRPr="0014338B">
        <w:t xml:space="preserve"> 11506 is an office based test mainly used in primary care, while </w:t>
      </w:r>
      <w:r>
        <w:t>item</w:t>
      </w:r>
      <w:r w:rsidRPr="0014338B">
        <w:t xml:space="preserve"> 11509 must be performed in a laboratory and is largely confined to specialist practice.</w:t>
      </w:r>
      <w:r w:rsidR="00A403FC">
        <w:t xml:space="preserve"> </w:t>
      </w:r>
    </w:p>
    <w:p w14:paraId="6443F35C" w14:textId="77777777" w:rsidR="00506936" w:rsidRPr="009F523D" w:rsidRDefault="00506936" w:rsidP="00506936">
      <w:pPr>
        <w:rPr>
          <w:b/>
        </w:rPr>
      </w:pPr>
      <w:r>
        <w:t>Although i</w:t>
      </w:r>
      <w:r w:rsidRPr="0014338B">
        <w:t xml:space="preserve">tem 11509 is not a low volume item </w:t>
      </w:r>
      <w:r>
        <w:t>(</w:t>
      </w:r>
      <w:r w:rsidRPr="0014338B">
        <w:t>16,804 services in 2014-15</w:t>
      </w:r>
      <w:r>
        <w:t xml:space="preserve">), the Committee suggests that the item </w:t>
      </w:r>
      <w:r w:rsidRPr="0014338B">
        <w:t>is redundant as technology advances mean that the spirometry devices used in laboratory settings provide what is described in item 11512. More straightforward pre and post bronchodilator spirometry (outside of a labor</w:t>
      </w:r>
      <w:r>
        <w:t xml:space="preserve">atory setting) is covered under </w:t>
      </w:r>
      <w:r w:rsidRPr="0014338B">
        <w:t>11506.</w:t>
      </w:r>
      <w:r w:rsidRPr="002953E3">
        <w:t xml:space="preserve"> </w:t>
      </w:r>
      <w:r w:rsidRPr="0002627F">
        <w:t xml:space="preserve">Hence, the Committee recommended that item 11509 be removed. </w:t>
      </w:r>
    </w:p>
    <w:p w14:paraId="1DDBEE76" w14:textId="77777777" w:rsidR="002038AA" w:rsidRDefault="002038AA" w:rsidP="002038AA">
      <w:pPr>
        <w:pStyle w:val="Rec"/>
        <w:rPr>
          <w:rFonts w:eastAsiaTheme="minorHAnsi"/>
        </w:rPr>
      </w:pPr>
      <w:bookmarkStart w:id="263" w:name="_Toc458510012"/>
      <w:bookmarkStart w:id="264" w:name="_Toc458768480"/>
      <w:bookmarkStart w:id="265" w:name="_Toc458768660"/>
      <w:bookmarkStart w:id="266" w:name="_Toc478721521"/>
      <w:r>
        <w:rPr>
          <w:rFonts w:eastAsiaTheme="minorHAnsi"/>
        </w:rPr>
        <w:t>Obsolete items</w:t>
      </w:r>
      <w:bookmarkEnd w:id="263"/>
      <w:bookmarkEnd w:id="264"/>
      <w:bookmarkEnd w:id="265"/>
      <w:bookmarkEnd w:id="266"/>
    </w:p>
    <w:p w14:paraId="1957D6C6" w14:textId="77777777" w:rsidR="00F614AD" w:rsidRDefault="002038AA" w:rsidP="00F56E64">
      <w:pPr>
        <w:rPr>
          <w:rFonts w:eastAsiaTheme="minorHAnsi"/>
          <w:lang w:val="en-US" w:eastAsia="en-US"/>
        </w:rPr>
      </w:pPr>
      <w:r>
        <w:rPr>
          <w:rFonts w:eastAsiaTheme="minorHAnsi"/>
        </w:rPr>
        <w:t>The Committee recommended deleting items 11500 and 11509.</w:t>
      </w:r>
      <w:r w:rsidR="00F614AD">
        <w:br w:type="page"/>
      </w:r>
    </w:p>
    <w:p w14:paraId="59D71C5B" w14:textId="77777777" w:rsidR="00E61678" w:rsidRDefault="000A5970" w:rsidP="003F2A67">
      <w:pPr>
        <w:pStyle w:val="Heading1"/>
      </w:pPr>
      <w:bookmarkStart w:id="267" w:name="_Ref457147510"/>
      <w:bookmarkStart w:id="268" w:name="_Toc458510013"/>
      <w:bookmarkStart w:id="269" w:name="_Toc458768481"/>
      <w:bookmarkStart w:id="270" w:name="_Toc458768661"/>
      <w:bookmarkStart w:id="271" w:name="_Toc478721522"/>
      <w:r>
        <w:lastRenderedPageBreak/>
        <w:t>Generic issues</w:t>
      </w:r>
      <w:bookmarkEnd w:id="267"/>
      <w:bookmarkEnd w:id="268"/>
      <w:bookmarkEnd w:id="269"/>
      <w:bookmarkEnd w:id="270"/>
      <w:bookmarkEnd w:id="271"/>
    </w:p>
    <w:p w14:paraId="2C67B244" w14:textId="77777777" w:rsidR="000A5970" w:rsidRDefault="000A5970" w:rsidP="00F56E64">
      <w:pPr>
        <w:rPr>
          <w:rFonts w:eastAsiaTheme="minorHAnsi"/>
          <w:lang w:val="en-US" w:eastAsia="en-US"/>
        </w:rPr>
      </w:pPr>
      <w:r>
        <w:rPr>
          <w:rFonts w:eastAsiaTheme="minorHAnsi"/>
          <w:lang w:val="en-US" w:eastAsia="en-US"/>
        </w:rPr>
        <w:t>The Committee identified a number of issues which were not specific to Thoracic Medicine.</w:t>
      </w:r>
      <w:r w:rsidR="00A403FC">
        <w:rPr>
          <w:rFonts w:eastAsiaTheme="minorHAnsi"/>
          <w:lang w:val="en-US" w:eastAsia="en-US"/>
        </w:rPr>
        <w:t xml:space="preserve"> </w:t>
      </w:r>
      <w:r>
        <w:rPr>
          <w:rFonts w:eastAsiaTheme="minorHAnsi"/>
          <w:lang w:val="en-US" w:eastAsia="en-US"/>
        </w:rPr>
        <w:t>These issues relate to low value care; services being undertaken out of Australia and undertaking a review of recommended changes.</w:t>
      </w:r>
      <w:r w:rsidR="00A403FC">
        <w:rPr>
          <w:rFonts w:eastAsiaTheme="minorHAnsi"/>
          <w:lang w:val="en-US" w:eastAsia="en-US"/>
        </w:rPr>
        <w:t xml:space="preserve"> </w:t>
      </w:r>
      <w:r>
        <w:rPr>
          <w:rFonts w:eastAsiaTheme="minorHAnsi"/>
          <w:lang w:val="en-US" w:eastAsia="en-US"/>
        </w:rPr>
        <w:t>These issues are being considered by the Taskforce.</w:t>
      </w:r>
      <w:r w:rsidR="00A403FC">
        <w:rPr>
          <w:rFonts w:eastAsiaTheme="minorHAnsi"/>
          <w:lang w:val="en-US" w:eastAsia="en-US"/>
        </w:rPr>
        <w:t xml:space="preserve"> </w:t>
      </w:r>
    </w:p>
    <w:p w14:paraId="212EA110" w14:textId="77777777" w:rsidR="000A5970" w:rsidRPr="00BC2064" w:rsidRDefault="000A5970" w:rsidP="000A5970">
      <w:pPr>
        <w:pStyle w:val="Rec"/>
        <w:rPr>
          <w:rFonts w:eastAsiaTheme="minorHAnsi"/>
        </w:rPr>
      </w:pPr>
      <w:bookmarkStart w:id="272" w:name="_Toc458510014"/>
      <w:bookmarkStart w:id="273" w:name="_Toc458768482"/>
      <w:bookmarkStart w:id="274" w:name="_Toc458768662"/>
      <w:bookmarkStart w:id="275" w:name="_Toc478721523"/>
      <w:r>
        <w:rPr>
          <w:rFonts w:eastAsiaTheme="minorHAnsi"/>
        </w:rPr>
        <w:t>Generic issues</w:t>
      </w:r>
      <w:bookmarkEnd w:id="272"/>
      <w:bookmarkEnd w:id="273"/>
      <w:bookmarkEnd w:id="274"/>
      <w:bookmarkEnd w:id="275"/>
    </w:p>
    <w:p w14:paraId="14E5ABCC" w14:textId="77777777" w:rsidR="000A5970" w:rsidRDefault="000A5970" w:rsidP="000A5970">
      <w:pPr>
        <w:pStyle w:val="NormalBulleted"/>
      </w:pPr>
      <w:r w:rsidRPr="00201E7F">
        <w:rPr>
          <w:b/>
        </w:rPr>
        <w:t>Low value care:</w:t>
      </w:r>
      <w:r w:rsidR="00A403FC">
        <w:rPr>
          <w:b/>
        </w:rPr>
        <w:t xml:space="preserve"> </w:t>
      </w:r>
      <w:r>
        <w:t xml:space="preserve">The Committee </w:t>
      </w:r>
      <w:r w:rsidRPr="00C35C25">
        <w:t>agree</w:t>
      </w:r>
      <w:r>
        <w:t>d</w:t>
      </w:r>
      <w:r w:rsidRPr="00C35C25">
        <w:t xml:space="preserve"> that identifying and reducing the use of health care interventions that deliver marginal benefit, be it through overuse, misuse or waste is important. Conversely, some MBS funded services are underused, which in turn may compromise patient care. </w:t>
      </w:r>
    </w:p>
    <w:p w14:paraId="49FC6170" w14:textId="77777777" w:rsidR="000A5970" w:rsidRPr="00201E7F" w:rsidRDefault="000A5970" w:rsidP="000A5970">
      <w:pPr>
        <w:pStyle w:val="NormalBulleted"/>
        <w:rPr>
          <w:b/>
        </w:rPr>
      </w:pPr>
      <w:r w:rsidRPr="00201E7F">
        <w:rPr>
          <w:b/>
        </w:rPr>
        <w:t>Services being undertaken out of Australia</w:t>
      </w:r>
      <w:r>
        <w:rPr>
          <w:b/>
        </w:rPr>
        <w:t>:</w:t>
      </w:r>
      <w:r w:rsidR="00A403FC">
        <w:rPr>
          <w:b/>
        </w:rPr>
        <w:t xml:space="preserve"> </w:t>
      </w:r>
      <w:r w:rsidRPr="00201E7F">
        <w:t xml:space="preserve">The Committee understands that data from unattended sleep studies (12250) is being processed outside of Australia and expressed concerns that this practice may compromise quality services provision. The </w:t>
      </w:r>
      <w:r w:rsidR="007B78B9">
        <w:t>Committee</w:t>
      </w:r>
      <w:r w:rsidRPr="00201E7F">
        <w:t xml:space="preserve"> noted that </w:t>
      </w:r>
      <w:r w:rsidRPr="00C35C25">
        <w:t xml:space="preserve">Section 10 of the </w:t>
      </w:r>
      <w:r w:rsidRPr="00201E7F">
        <w:rPr>
          <w:i/>
          <w:iCs/>
        </w:rPr>
        <w:t>Health Insurance Act 1973</w:t>
      </w:r>
      <w:r w:rsidRPr="00C35C25">
        <w:t xml:space="preserve"> (the Act) precludes the payment of a Medicare benefit where any component of a service is performed offshore.</w:t>
      </w:r>
      <w:r w:rsidRPr="00201E7F">
        <w:t xml:space="preserve"> The </w:t>
      </w:r>
      <w:r w:rsidR="007B78B9">
        <w:t>Committee</w:t>
      </w:r>
      <w:r w:rsidRPr="00201E7F">
        <w:t xml:space="preserve"> strongly supports the principle that underpins the legislation and in the case of sleep studies advise that the whole service, including the acquisition and reporting of data, should be performed in Australia to provide the necessary quality assurance.</w:t>
      </w:r>
      <w:r w:rsidR="00A403FC">
        <w:t xml:space="preserve"> </w:t>
      </w:r>
      <w:r w:rsidRPr="00201E7F">
        <w:t xml:space="preserve">The </w:t>
      </w:r>
      <w:r w:rsidR="007B78B9">
        <w:t>Committee</w:t>
      </w:r>
      <w:r w:rsidRPr="00201E7F">
        <w:t xml:space="preserve"> noted however that any concern about services being undertaken outside of Australia is a Medicare compliance issue and is outside their remit.</w:t>
      </w:r>
    </w:p>
    <w:p w14:paraId="7232E598" w14:textId="77777777" w:rsidR="000A5970" w:rsidRPr="00B83773" w:rsidRDefault="000A5970" w:rsidP="00B83773">
      <w:pPr>
        <w:pStyle w:val="NormalBulleted"/>
        <w:rPr>
          <w:lang w:val="en-US" w:eastAsia="en-US"/>
        </w:rPr>
      </w:pPr>
      <w:r w:rsidRPr="00B83773">
        <w:rPr>
          <w:b/>
        </w:rPr>
        <w:t>Review of the recommended changes:</w:t>
      </w:r>
      <w:r w:rsidR="00A403FC">
        <w:rPr>
          <w:b/>
        </w:rPr>
        <w:t xml:space="preserve"> </w:t>
      </w:r>
      <w:r w:rsidRPr="00201E7F">
        <w:t xml:space="preserve">The </w:t>
      </w:r>
      <w:r>
        <w:t>Committee suggests</w:t>
      </w:r>
      <w:r w:rsidRPr="00201E7F">
        <w:t xml:space="preserve"> that should its recommendations be endorsed by the MBS Review Taskforce and in turn adopted by government, then the impact of these changes should be evaluated and that a suitable time frame for review would be two to three years following implementation.</w:t>
      </w:r>
      <w:r>
        <w:br w:type="page"/>
      </w:r>
    </w:p>
    <w:p w14:paraId="259EE53E" w14:textId="77777777" w:rsidR="00885AEE" w:rsidRPr="009200D8" w:rsidRDefault="00BC209F" w:rsidP="003F2A67">
      <w:pPr>
        <w:pStyle w:val="Heading1"/>
      </w:pPr>
      <w:bookmarkStart w:id="276" w:name="_Toc457053438"/>
      <w:bookmarkStart w:id="277" w:name="_Toc458510015"/>
      <w:bookmarkStart w:id="278" w:name="_Toc458768483"/>
      <w:bookmarkStart w:id="279" w:name="_Toc458768663"/>
      <w:bookmarkStart w:id="280" w:name="_Toc478721524"/>
      <w:bookmarkEnd w:id="156"/>
      <w:r w:rsidRPr="003F2A67">
        <w:lastRenderedPageBreak/>
        <w:t>Recommendations</w:t>
      </w:r>
      <w:r>
        <w:t xml:space="preserve"> </w:t>
      </w:r>
      <w:r w:rsidR="007F178F" w:rsidRPr="009200D8">
        <w:t>Impact Statement</w:t>
      </w:r>
      <w:bookmarkEnd w:id="276"/>
      <w:bookmarkEnd w:id="277"/>
      <w:bookmarkEnd w:id="278"/>
      <w:bookmarkEnd w:id="279"/>
      <w:bookmarkEnd w:id="280"/>
    </w:p>
    <w:p w14:paraId="5BCD3A16" w14:textId="77777777" w:rsidR="00A66B73" w:rsidRPr="00B83773" w:rsidRDefault="00BC209F" w:rsidP="00B83773">
      <w:pPr>
        <w:rPr>
          <w:rFonts w:eastAsiaTheme="minorHAnsi"/>
        </w:rPr>
      </w:pPr>
      <w:r w:rsidRPr="00BC209F">
        <w:t xml:space="preserve">The recommendations relating to </w:t>
      </w:r>
      <w:r w:rsidR="009F47E0">
        <w:t xml:space="preserve">spirometry, complex respiratory function tests and sleep studies will </w:t>
      </w:r>
      <w:r w:rsidRPr="00BC209F">
        <w:t>ensure that patients have access to MBS services that reflect modern clinical practices.</w:t>
      </w:r>
      <w:r w:rsidR="00A403FC">
        <w:t xml:space="preserve"> </w:t>
      </w:r>
      <w:r w:rsidRPr="00BC209F">
        <w:t>They also update the MBS items to capture the current scope of the procedure being performed.</w:t>
      </w:r>
      <w:r w:rsidR="00A403FC">
        <w:t xml:space="preserve"> </w:t>
      </w:r>
      <w:r w:rsidRPr="00BC209F">
        <w:t>The removal of MBS items which are out dated and no longer reflect modern clinical practice will encourage practitioners to provide services that are recognised by the relevant profession as reflecting current clinical practice.</w:t>
      </w:r>
      <w:r w:rsidR="00A403FC">
        <w:t xml:space="preserve"> </w:t>
      </w:r>
      <w:r w:rsidRPr="00BC209F">
        <w:t>Practitioners will also benefit from the consolidation of some services which should minimise confusion when billing MBS items.</w:t>
      </w:r>
      <w:r w:rsidR="00A66B73" w:rsidRPr="00984BFF">
        <w:br w:type="page"/>
      </w:r>
    </w:p>
    <w:p w14:paraId="6B3A5188" w14:textId="77777777" w:rsidR="00686517" w:rsidRPr="009200D8" w:rsidRDefault="00A66B73" w:rsidP="003F2A67">
      <w:pPr>
        <w:pStyle w:val="Heading1"/>
      </w:pPr>
      <w:bookmarkStart w:id="281" w:name="_Toc457053439"/>
      <w:bookmarkStart w:id="282" w:name="_Toc458510016"/>
      <w:bookmarkStart w:id="283" w:name="_Toc458768484"/>
      <w:bookmarkStart w:id="284" w:name="_Toc458768664"/>
      <w:bookmarkStart w:id="285" w:name="_Toc478721525"/>
      <w:r w:rsidRPr="003F2A67">
        <w:lastRenderedPageBreak/>
        <w:t>References</w:t>
      </w:r>
      <w:bookmarkEnd w:id="281"/>
      <w:bookmarkEnd w:id="282"/>
      <w:bookmarkEnd w:id="283"/>
      <w:bookmarkEnd w:id="284"/>
      <w:bookmarkEnd w:id="285"/>
    </w:p>
    <w:p w14:paraId="3756ABB1" w14:textId="77777777" w:rsidR="00B964DD" w:rsidRPr="00DD112E" w:rsidRDefault="00B964DD" w:rsidP="00B83773">
      <w:pPr>
        <w:rPr>
          <w:rFonts w:cs="Arial"/>
        </w:rPr>
      </w:pPr>
      <w:r w:rsidRPr="00226A36">
        <w:t>This contains references to sources and materials referenced in this report.</w:t>
      </w:r>
    </w:p>
    <w:p w14:paraId="130584B0" w14:textId="77777777" w:rsidR="009B5D61" w:rsidRPr="009B5D61" w:rsidRDefault="009B5D61" w:rsidP="00CD3E1E">
      <w:pPr>
        <w:numPr>
          <w:ilvl w:val="0"/>
          <w:numId w:val="36"/>
        </w:numPr>
        <w:rPr>
          <w:rFonts w:eastAsiaTheme="minorHAnsi" w:cstheme="minorBidi"/>
          <w:sz w:val="20"/>
          <w:szCs w:val="22"/>
          <w:lang w:eastAsia="en-US"/>
        </w:rPr>
      </w:pPr>
      <w:r w:rsidRPr="009B5D61">
        <w:rPr>
          <w:rFonts w:eastAsiaTheme="minorHAnsi" w:cstheme="minorBidi"/>
          <w:sz w:val="20"/>
          <w:szCs w:val="22"/>
          <w:lang w:eastAsia="en-US"/>
        </w:rPr>
        <w:t>Elshaug AG, Watt AM, Mundy L, Willis CD. Over 150 potentially low-value health care practices: an Australian study. MJA. 2012;197(19):556-560.</w:t>
      </w:r>
    </w:p>
    <w:p w14:paraId="55C0102E" w14:textId="77777777" w:rsidR="009B5D61" w:rsidRPr="009B5D61" w:rsidRDefault="009B5D61" w:rsidP="00CD3E1E">
      <w:pPr>
        <w:numPr>
          <w:ilvl w:val="0"/>
          <w:numId w:val="36"/>
        </w:numPr>
        <w:rPr>
          <w:rFonts w:eastAsiaTheme="minorHAnsi" w:cstheme="minorBidi"/>
          <w:sz w:val="20"/>
          <w:szCs w:val="22"/>
          <w:lang w:eastAsia="en-US"/>
        </w:rPr>
      </w:pPr>
      <w:r w:rsidRPr="009B5D61">
        <w:rPr>
          <w:rFonts w:eastAsiaTheme="minorHAnsi" w:cstheme="minorBidi"/>
          <w:sz w:val="20"/>
          <w:szCs w:val="22"/>
          <w:lang w:eastAsia="en-US"/>
        </w:rPr>
        <w:t xml:space="preserve">National Institute for Health and Care Excellence (UK). Chronic obstructive pulmonary disease in over 16s: diagnosis and management (CG101). London: National Clinical Guideline Centre; Jun 2010. Available from: </w:t>
      </w:r>
      <w:r w:rsidR="001C53D8" w:rsidRPr="009B5D61">
        <w:rPr>
          <w:rFonts w:eastAsiaTheme="minorHAnsi" w:cstheme="minorBidi"/>
          <w:sz w:val="20"/>
          <w:szCs w:val="22"/>
          <w:lang w:eastAsia="en-US"/>
        </w:rPr>
        <w:t>https://www.nice.org.uk/guidance/cg101/resources/chronic-obstructive-pulmonary-disease-in-over-16s-diagnosis-and-management-35109323931589</w:t>
      </w:r>
      <w:r w:rsidRPr="009B5D61">
        <w:rPr>
          <w:rFonts w:eastAsiaTheme="minorHAnsi" w:cstheme="minorBidi"/>
          <w:sz w:val="20"/>
          <w:szCs w:val="22"/>
          <w:lang w:eastAsia="en-US"/>
        </w:rPr>
        <w:t>.</w:t>
      </w:r>
    </w:p>
    <w:p w14:paraId="4439900C" w14:textId="77777777" w:rsidR="009B5D61" w:rsidRPr="009B5D61" w:rsidRDefault="009B5D61" w:rsidP="00CD3E1E">
      <w:pPr>
        <w:numPr>
          <w:ilvl w:val="0"/>
          <w:numId w:val="36"/>
        </w:numPr>
        <w:rPr>
          <w:rFonts w:eastAsiaTheme="minorHAnsi" w:cstheme="minorBidi"/>
          <w:sz w:val="20"/>
          <w:szCs w:val="22"/>
          <w:lang w:eastAsia="en-US"/>
        </w:rPr>
      </w:pPr>
      <w:r w:rsidRPr="009B5D61">
        <w:rPr>
          <w:rFonts w:eastAsiaTheme="minorHAnsi" w:cstheme="minorBidi"/>
          <w:sz w:val="20"/>
          <w:szCs w:val="22"/>
          <w:lang w:eastAsia="en-US"/>
        </w:rPr>
        <w:t>Walters JA, Hansen E, Mudge P, Johns DP, Walters EH, Wood-Barker R. Barriers to the use of spirometry in general practice. Aust Fam Physician. 2005 Mar;34(3):201-3.</w:t>
      </w:r>
    </w:p>
    <w:p w14:paraId="6F58064E" w14:textId="77777777" w:rsidR="009B5D61" w:rsidRPr="009B5D61" w:rsidRDefault="009B5D61" w:rsidP="00CD3E1E">
      <w:pPr>
        <w:numPr>
          <w:ilvl w:val="0"/>
          <w:numId w:val="36"/>
        </w:numPr>
        <w:rPr>
          <w:rFonts w:eastAsiaTheme="minorHAnsi" w:cstheme="minorBidi"/>
          <w:sz w:val="20"/>
          <w:szCs w:val="22"/>
          <w:lang w:eastAsia="en-US"/>
        </w:rPr>
      </w:pPr>
      <w:r w:rsidRPr="009B5D61">
        <w:rPr>
          <w:rFonts w:eastAsiaTheme="minorHAnsi" w:cstheme="minorBidi"/>
          <w:sz w:val="20"/>
          <w:szCs w:val="22"/>
          <w:lang w:eastAsia="en-US"/>
        </w:rPr>
        <w:t>Zwar NA, Marks GB, Hermiz O, Middleton S, Comino EJ, Hasan I, et al. Predictors of accuracy of diagnosis of chronic obstructive pulmonary disease in general practice. Med J Aust. 2011 Aug;195(4):168-71.</w:t>
      </w:r>
    </w:p>
    <w:p w14:paraId="1EF6D865" w14:textId="77777777" w:rsidR="004913D3" w:rsidRPr="004913D3" w:rsidRDefault="004913D3" w:rsidP="00CD3E1E">
      <w:pPr>
        <w:numPr>
          <w:ilvl w:val="0"/>
          <w:numId w:val="36"/>
        </w:numPr>
        <w:rPr>
          <w:rFonts w:eastAsiaTheme="minorHAnsi" w:cstheme="minorBidi"/>
          <w:sz w:val="20"/>
          <w:szCs w:val="22"/>
          <w:lang w:eastAsia="en-US"/>
        </w:rPr>
      </w:pPr>
      <w:r w:rsidRPr="004913D3">
        <w:rPr>
          <w:rFonts w:eastAsiaTheme="minorHAnsi" w:cstheme="minorBidi"/>
          <w:sz w:val="20"/>
          <w:szCs w:val="22"/>
          <w:lang w:eastAsia="en-US"/>
        </w:rPr>
        <w:t>Cranston JM, Crockett AJ, Moss JR, Pegram RW, Stocks NP. Models of chronic disease management in primary care for patients with mild-to-moderate asthma or COPD: a narrative review. Med J Aust.2008 Apr;188(8 Suppl):S50-2.</w:t>
      </w:r>
    </w:p>
    <w:p w14:paraId="7ED8707B" w14:textId="77777777" w:rsidR="004913D3" w:rsidRPr="004913D3" w:rsidRDefault="004913D3" w:rsidP="00CD3E1E">
      <w:pPr>
        <w:numPr>
          <w:ilvl w:val="0"/>
          <w:numId w:val="36"/>
        </w:numPr>
        <w:rPr>
          <w:rFonts w:eastAsiaTheme="minorHAnsi" w:cstheme="minorBidi"/>
          <w:sz w:val="20"/>
          <w:szCs w:val="22"/>
          <w:lang w:eastAsia="en-US"/>
        </w:rPr>
      </w:pPr>
      <w:r w:rsidRPr="004913D3">
        <w:rPr>
          <w:rFonts w:eastAsiaTheme="minorHAnsi" w:cstheme="minorBidi"/>
          <w:sz w:val="20"/>
          <w:szCs w:val="22"/>
          <w:lang w:eastAsia="en-US"/>
        </w:rPr>
        <w:t>Mansfield DR, Hillman DR, Antic NA, McEvoy RD, Rajaratnam SM. Sleep loss and sleep disorders. Med J Aust. 2013 Oct; 199(8):S5-6.</w:t>
      </w:r>
    </w:p>
    <w:p w14:paraId="50601E10" w14:textId="77777777" w:rsidR="004913D3" w:rsidRPr="004913D3" w:rsidRDefault="004913D3" w:rsidP="00CD3E1E">
      <w:pPr>
        <w:numPr>
          <w:ilvl w:val="0"/>
          <w:numId w:val="36"/>
        </w:numPr>
        <w:rPr>
          <w:rFonts w:eastAsiaTheme="minorHAnsi" w:cstheme="minorBidi"/>
          <w:sz w:val="20"/>
          <w:szCs w:val="22"/>
          <w:lang w:eastAsia="en-US"/>
        </w:rPr>
      </w:pPr>
      <w:r w:rsidRPr="004913D3">
        <w:rPr>
          <w:rFonts w:eastAsiaTheme="minorHAnsi" w:cstheme="minorBidi"/>
          <w:sz w:val="20"/>
          <w:szCs w:val="22"/>
          <w:lang w:eastAsia="en-US"/>
        </w:rPr>
        <w:t>McArdle N, Singh B, Murphy M, Gain KR, Maquire C, Mutch S, Hillman DR. Continuous positive airway pressure titration for obstructive sleep apnoea: automatic versus manual titration. Thorax. 2010 Jul;65(7):606-11.</w:t>
      </w:r>
    </w:p>
    <w:p w14:paraId="126E1D90" w14:textId="77777777" w:rsidR="004913D3" w:rsidRPr="004913D3" w:rsidRDefault="004913D3" w:rsidP="00CD3E1E">
      <w:pPr>
        <w:numPr>
          <w:ilvl w:val="0"/>
          <w:numId w:val="36"/>
        </w:numPr>
        <w:rPr>
          <w:rFonts w:eastAsiaTheme="minorHAnsi" w:cstheme="minorBidi"/>
          <w:sz w:val="20"/>
          <w:szCs w:val="22"/>
          <w:lang w:eastAsia="en-US"/>
        </w:rPr>
      </w:pPr>
      <w:r w:rsidRPr="004913D3">
        <w:rPr>
          <w:rFonts w:eastAsiaTheme="minorHAnsi" w:cstheme="minorBidi"/>
          <w:sz w:val="20"/>
          <w:szCs w:val="22"/>
          <w:lang w:eastAsia="en-US"/>
        </w:rPr>
        <w:t>Littner MR, Kushida C, Wise M, Davila DG, Morgenthaler T, Lee-Chiong T, et al. Practice parameters for clinical use of the multiple sleep latency test and the maintenance of wakefulness test. Sleep. 2005 Jan;28(1):113-21.</w:t>
      </w:r>
    </w:p>
    <w:p w14:paraId="2570D74F" w14:textId="77777777" w:rsidR="009B5D61" w:rsidRPr="00DA5B19" w:rsidRDefault="009B5D61" w:rsidP="00DA5B19">
      <w:pPr>
        <w:sectPr w:rsidR="009B5D61" w:rsidRPr="00DA5B19" w:rsidSect="00374FA5">
          <w:footerReference w:type="default" r:id="rId13"/>
          <w:endnotePr>
            <w:numFmt w:val="decimal"/>
          </w:endnotePr>
          <w:pgSz w:w="11906" w:h="16838" w:code="9"/>
          <w:pgMar w:top="1021" w:right="1440" w:bottom="1276" w:left="1440" w:header="567" w:footer="567" w:gutter="0"/>
          <w:paperSrc w:first="2" w:other="2"/>
          <w:pgNumType w:start="1"/>
          <w:cols w:space="720"/>
          <w:docGrid w:linePitch="326"/>
        </w:sectPr>
      </w:pPr>
    </w:p>
    <w:p w14:paraId="7500BBCD" w14:textId="77777777" w:rsidR="00DD112E" w:rsidRPr="00AE7561" w:rsidRDefault="00DD112E" w:rsidP="003F2A67">
      <w:pPr>
        <w:pStyle w:val="Heading1"/>
      </w:pPr>
      <w:bookmarkStart w:id="286" w:name="_Toc456565026"/>
      <w:bookmarkStart w:id="287" w:name="_Toc457053440"/>
      <w:bookmarkStart w:id="288" w:name="_Toc458510017"/>
      <w:bookmarkStart w:id="289" w:name="_Toc458768485"/>
      <w:bookmarkStart w:id="290" w:name="_Toc458768665"/>
      <w:bookmarkStart w:id="291" w:name="_Toc478721526"/>
      <w:r w:rsidRPr="003F2A67">
        <w:lastRenderedPageBreak/>
        <w:t>Acronyms</w:t>
      </w:r>
      <w:r w:rsidRPr="00AE7561">
        <w:t xml:space="preserve"> and Abbreviation</w:t>
      </w:r>
      <w:bookmarkEnd w:id="286"/>
      <w:bookmarkEnd w:id="287"/>
      <w:bookmarkEnd w:id="288"/>
      <w:bookmarkEnd w:id="289"/>
      <w:bookmarkEnd w:id="290"/>
      <w:bookmarkEnd w:id="291"/>
    </w:p>
    <w:tbl>
      <w:tblPr>
        <w:tblStyle w:val="TableGrid"/>
        <w:tblW w:w="9242"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cronyms used in the text and their meanings."/>
      </w:tblPr>
      <w:tblGrid>
        <w:gridCol w:w="2019"/>
        <w:gridCol w:w="7223"/>
      </w:tblGrid>
      <w:tr w:rsidR="00B83773" w:rsidRPr="00B83773" w14:paraId="44593AB7" w14:textId="77777777" w:rsidTr="00B83773">
        <w:trPr>
          <w:tblHeader/>
        </w:trPr>
        <w:tc>
          <w:tcPr>
            <w:tcW w:w="2019" w:type="dxa"/>
          </w:tcPr>
          <w:p w14:paraId="383199F7" w14:textId="77777777" w:rsidR="00B83773" w:rsidRPr="00B83773" w:rsidRDefault="00B83773" w:rsidP="006775B1">
            <w:pPr>
              <w:pStyle w:val="Tableheading"/>
            </w:pPr>
            <w:r w:rsidRPr="00B83773">
              <w:t>Term</w:t>
            </w:r>
          </w:p>
        </w:tc>
        <w:tc>
          <w:tcPr>
            <w:tcW w:w="7223" w:type="dxa"/>
          </w:tcPr>
          <w:p w14:paraId="61EC612F" w14:textId="77777777" w:rsidR="00B83773" w:rsidRPr="00B83773" w:rsidRDefault="00B83773" w:rsidP="006775B1">
            <w:pPr>
              <w:pStyle w:val="Tableheading"/>
            </w:pPr>
            <w:r w:rsidRPr="00B83773">
              <w:t>Description</w:t>
            </w:r>
          </w:p>
        </w:tc>
      </w:tr>
      <w:tr w:rsidR="00827382" w:rsidRPr="00DF47A1" w14:paraId="7DF36848" w14:textId="77777777" w:rsidTr="00AE7561">
        <w:tc>
          <w:tcPr>
            <w:tcW w:w="2019" w:type="dxa"/>
          </w:tcPr>
          <w:p w14:paraId="2E2E54E0" w14:textId="77777777" w:rsidR="00827382" w:rsidRPr="00846242" w:rsidRDefault="00827382" w:rsidP="006775B1">
            <w:pPr>
              <w:pStyle w:val="Tabletext"/>
            </w:pPr>
            <w:bookmarkStart w:id="292" w:name="_Toc456565027"/>
            <w:r>
              <w:t>6MWT</w:t>
            </w:r>
          </w:p>
        </w:tc>
        <w:tc>
          <w:tcPr>
            <w:tcW w:w="7223" w:type="dxa"/>
          </w:tcPr>
          <w:p w14:paraId="427AD969" w14:textId="77777777" w:rsidR="00827382" w:rsidRDefault="00827382" w:rsidP="006775B1">
            <w:pPr>
              <w:pStyle w:val="Tabletext"/>
            </w:pPr>
            <w:r w:rsidRPr="000F7084">
              <w:t>Six Minute Walk Test</w:t>
            </w:r>
          </w:p>
        </w:tc>
      </w:tr>
      <w:tr w:rsidR="00827382" w:rsidRPr="00DF47A1" w14:paraId="7E81AB09" w14:textId="77777777" w:rsidTr="00AE7561">
        <w:tc>
          <w:tcPr>
            <w:tcW w:w="2019" w:type="dxa"/>
          </w:tcPr>
          <w:p w14:paraId="7DF49BDF" w14:textId="77777777" w:rsidR="00827382" w:rsidRDefault="00827382" w:rsidP="006775B1">
            <w:pPr>
              <w:pStyle w:val="Tabletext"/>
            </w:pPr>
            <w:r w:rsidRPr="00846242">
              <w:t>AAH</w:t>
            </w:r>
          </w:p>
        </w:tc>
        <w:tc>
          <w:tcPr>
            <w:tcW w:w="7223" w:type="dxa"/>
          </w:tcPr>
          <w:p w14:paraId="2C0CB4D2" w14:textId="77777777" w:rsidR="00827382" w:rsidRDefault="00827382" w:rsidP="006775B1">
            <w:pPr>
              <w:pStyle w:val="Tabletext"/>
            </w:pPr>
            <w:r>
              <w:t>Australian Asthma Handbook</w:t>
            </w:r>
          </w:p>
        </w:tc>
      </w:tr>
      <w:tr w:rsidR="00827382" w:rsidRPr="00DF47A1" w14:paraId="6619F3F9" w14:textId="77777777" w:rsidTr="00AE7561">
        <w:tc>
          <w:tcPr>
            <w:tcW w:w="2019" w:type="dxa"/>
          </w:tcPr>
          <w:p w14:paraId="4F8B74CD" w14:textId="77777777" w:rsidR="00827382" w:rsidRPr="004948FB" w:rsidRDefault="00827382" w:rsidP="006775B1">
            <w:pPr>
              <w:pStyle w:val="Tabletext"/>
            </w:pPr>
            <w:r>
              <w:t>ABS</w:t>
            </w:r>
          </w:p>
        </w:tc>
        <w:tc>
          <w:tcPr>
            <w:tcW w:w="7223" w:type="dxa"/>
          </w:tcPr>
          <w:p w14:paraId="340CB21E" w14:textId="77777777" w:rsidR="00827382" w:rsidRPr="00956C02" w:rsidRDefault="00827382" w:rsidP="006775B1">
            <w:pPr>
              <w:pStyle w:val="Tabletext"/>
            </w:pPr>
            <w:r>
              <w:t>Australian Bureau of Statistics</w:t>
            </w:r>
          </w:p>
        </w:tc>
      </w:tr>
      <w:tr w:rsidR="00827382" w:rsidRPr="00DF47A1" w14:paraId="3AE03959" w14:textId="77777777" w:rsidTr="00AE7561">
        <w:tc>
          <w:tcPr>
            <w:tcW w:w="2019" w:type="dxa"/>
          </w:tcPr>
          <w:p w14:paraId="0CB197D0" w14:textId="77777777" w:rsidR="00827382" w:rsidRDefault="00827382" w:rsidP="006775B1">
            <w:pPr>
              <w:pStyle w:val="Tabletext"/>
            </w:pPr>
            <w:r w:rsidRPr="00956C02">
              <w:t>APAP</w:t>
            </w:r>
          </w:p>
        </w:tc>
        <w:tc>
          <w:tcPr>
            <w:tcW w:w="7223" w:type="dxa"/>
          </w:tcPr>
          <w:p w14:paraId="1419BFD0" w14:textId="77777777" w:rsidR="00827382" w:rsidRDefault="00827382" w:rsidP="006775B1">
            <w:pPr>
              <w:pStyle w:val="Tabletext"/>
            </w:pPr>
            <w:r w:rsidRPr="00E27203">
              <w:t>Automatic Positive Airway Pressure</w:t>
            </w:r>
          </w:p>
        </w:tc>
      </w:tr>
      <w:tr w:rsidR="00827382" w:rsidRPr="00DF47A1" w14:paraId="17CFFE47" w14:textId="77777777" w:rsidTr="00AE7561">
        <w:tc>
          <w:tcPr>
            <w:tcW w:w="2019" w:type="dxa"/>
          </w:tcPr>
          <w:p w14:paraId="4704DA4E" w14:textId="77777777" w:rsidR="00827382" w:rsidRDefault="00827382" w:rsidP="006775B1">
            <w:pPr>
              <w:pStyle w:val="Tabletext"/>
            </w:pPr>
            <w:r w:rsidRPr="00956C02">
              <w:t>ASA</w:t>
            </w:r>
          </w:p>
        </w:tc>
        <w:tc>
          <w:tcPr>
            <w:tcW w:w="7223" w:type="dxa"/>
          </w:tcPr>
          <w:p w14:paraId="2037CD69" w14:textId="77777777" w:rsidR="00827382" w:rsidRDefault="00827382" w:rsidP="006775B1">
            <w:pPr>
              <w:pStyle w:val="Tabletext"/>
            </w:pPr>
            <w:r w:rsidRPr="0077061B">
              <w:t>Australasian Sleep Association</w:t>
            </w:r>
          </w:p>
        </w:tc>
      </w:tr>
      <w:tr w:rsidR="00827382" w:rsidRPr="00DF47A1" w14:paraId="232C894F" w14:textId="77777777" w:rsidTr="00AE7561">
        <w:tc>
          <w:tcPr>
            <w:tcW w:w="2019" w:type="dxa"/>
          </w:tcPr>
          <w:p w14:paraId="215AA810" w14:textId="77777777" w:rsidR="00827382" w:rsidRDefault="00827382" w:rsidP="006775B1">
            <w:pPr>
              <w:pStyle w:val="Tabletext"/>
            </w:pPr>
            <w:r w:rsidRPr="000F4FF9">
              <w:t>ACOS</w:t>
            </w:r>
          </w:p>
        </w:tc>
        <w:tc>
          <w:tcPr>
            <w:tcW w:w="7223" w:type="dxa"/>
          </w:tcPr>
          <w:p w14:paraId="2DEE1F1E" w14:textId="77777777" w:rsidR="00827382" w:rsidRDefault="00827382" w:rsidP="006775B1">
            <w:pPr>
              <w:pStyle w:val="Tabletext"/>
            </w:pPr>
            <w:r w:rsidRPr="000F4FF9">
              <w:t>Asthma-COPD Overlap Syndrome</w:t>
            </w:r>
          </w:p>
        </w:tc>
      </w:tr>
      <w:tr w:rsidR="00827382" w:rsidRPr="00DF47A1" w14:paraId="6D29DC7C" w14:textId="77777777" w:rsidTr="00AE7561">
        <w:tc>
          <w:tcPr>
            <w:tcW w:w="2019" w:type="dxa"/>
          </w:tcPr>
          <w:p w14:paraId="7E9C5325" w14:textId="77777777" w:rsidR="00827382" w:rsidRDefault="00827382" w:rsidP="006775B1">
            <w:pPr>
              <w:pStyle w:val="Tabletext"/>
            </w:pPr>
            <w:r w:rsidRPr="004948FB">
              <w:t>COPD</w:t>
            </w:r>
          </w:p>
        </w:tc>
        <w:tc>
          <w:tcPr>
            <w:tcW w:w="7223" w:type="dxa"/>
          </w:tcPr>
          <w:p w14:paraId="4E2E9C2A" w14:textId="77777777" w:rsidR="00827382" w:rsidRPr="00956C02" w:rsidRDefault="00827382" w:rsidP="006775B1">
            <w:pPr>
              <w:pStyle w:val="Tabletext"/>
            </w:pPr>
            <w:r w:rsidRPr="0077061B">
              <w:t xml:space="preserve">Chronic </w:t>
            </w:r>
            <w:r>
              <w:t>Obstructive Pulmonary Disease</w:t>
            </w:r>
          </w:p>
        </w:tc>
      </w:tr>
      <w:tr w:rsidR="00827382" w:rsidRPr="00DF47A1" w14:paraId="1C4A37BA" w14:textId="77777777" w:rsidTr="00AE7561">
        <w:tc>
          <w:tcPr>
            <w:tcW w:w="2019" w:type="dxa"/>
          </w:tcPr>
          <w:p w14:paraId="79FC6A18" w14:textId="77777777" w:rsidR="00827382" w:rsidRPr="0051585E" w:rsidRDefault="00827382" w:rsidP="006775B1">
            <w:pPr>
              <w:pStyle w:val="Tabletext"/>
            </w:pPr>
            <w:r w:rsidRPr="00956C02">
              <w:t>CPAP</w:t>
            </w:r>
          </w:p>
        </w:tc>
        <w:tc>
          <w:tcPr>
            <w:tcW w:w="7223" w:type="dxa"/>
          </w:tcPr>
          <w:p w14:paraId="637F0E08" w14:textId="77777777" w:rsidR="00827382" w:rsidRPr="0051585E" w:rsidRDefault="00827382" w:rsidP="006775B1">
            <w:pPr>
              <w:pStyle w:val="Tabletext"/>
            </w:pPr>
            <w:r w:rsidRPr="00E27203">
              <w:t>Continuous Positive Airway Pressure</w:t>
            </w:r>
          </w:p>
        </w:tc>
      </w:tr>
      <w:tr w:rsidR="00827382" w:rsidRPr="00DF47A1" w14:paraId="01A9DA1C" w14:textId="77777777" w:rsidTr="00AE7561">
        <w:tc>
          <w:tcPr>
            <w:tcW w:w="2019" w:type="dxa"/>
          </w:tcPr>
          <w:p w14:paraId="6648A6D8" w14:textId="77777777" w:rsidR="00827382" w:rsidRDefault="00827382" w:rsidP="006775B1">
            <w:pPr>
              <w:pStyle w:val="Tabletext"/>
            </w:pPr>
            <w:r w:rsidRPr="0051585E">
              <w:t>CPET</w:t>
            </w:r>
          </w:p>
        </w:tc>
        <w:tc>
          <w:tcPr>
            <w:tcW w:w="7223" w:type="dxa"/>
          </w:tcPr>
          <w:p w14:paraId="0C35A93A" w14:textId="77777777" w:rsidR="00827382" w:rsidRPr="00956C02" w:rsidRDefault="00827382" w:rsidP="006775B1">
            <w:pPr>
              <w:pStyle w:val="Tabletext"/>
            </w:pPr>
            <w:r w:rsidRPr="0051585E">
              <w:t>Cardiopulmonary Exercise Testing</w:t>
            </w:r>
          </w:p>
        </w:tc>
      </w:tr>
      <w:tr w:rsidR="00827382" w:rsidRPr="00DF47A1" w14:paraId="0B38D3B0" w14:textId="77777777" w:rsidTr="00AE7561">
        <w:tc>
          <w:tcPr>
            <w:tcW w:w="2019" w:type="dxa"/>
          </w:tcPr>
          <w:p w14:paraId="6C2114F3" w14:textId="77777777" w:rsidR="00827382" w:rsidRDefault="00827382" w:rsidP="006775B1">
            <w:pPr>
              <w:pStyle w:val="Tabletext"/>
            </w:pPr>
            <w:r>
              <w:t>CPG</w:t>
            </w:r>
          </w:p>
        </w:tc>
        <w:tc>
          <w:tcPr>
            <w:tcW w:w="7223" w:type="dxa"/>
          </w:tcPr>
          <w:p w14:paraId="4C2D91A2" w14:textId="77777777" w:rsidR="00827382" w:rsidRPr="00956C02" w:rsidRDefault="00827382" w:rsidP="006775B1">
            <w:pPr>
              <w:pStyle w:val="Tabletext"/>
            </w:pPr>
            <w:r w:rsidRPr="001116B4">
              <w:t>Clinical Practice Guidelines</w:t>
            </w:r>
          </w:p>
        </w:tc>
      </w:tr>
      <w:tr w:rsidR="00827382" w:rsidRPr="00DF47A1" w14:paraId="4BB79847" w14:textId="77777777" w:rsidTr="00AE7561">
        <w:tc>
          <w:tcPr>
            <w:tcW w:w="2019" w:type="dxa"/>
          </w:tcPr>
          <w:p w14:paraId="1E1DC6A1" w14:textId="77777777" w:rsidR="00827382" w:rsidRPr="004948FB" w:rsidRDefault="00827382" w:rsidP="006775B1">
            <w:pPr>
              <w:pStyle w:val="Tabletext"/>
            </w:pPr>
            <w:r w:rsidRPr="0051585E">
              <w:t>ECG</w:t>
            </w:r>
          </w:p>
        </w:tc>
        <w:tc>
          <w:tcPr>
            <w:tcW w:w="7223" w:type="dxa"/>
          </w:tcPr>
          <w:p w14:paraId="7759D119" w14:textId="77777777" w:rsidR="00827382" w:rsidRPr="00956C02" w:rsidRDefault="00827382" w:rsidP="006775B1">
            <w:pPr>
              <w:pStyle w:val="Tabletext"/>
            </w:pPr>
            <w:r w:rsidRPr="00CF2914">
              <w:t>Continuous Electro-Cardiogram</w:t>
            </w:r>
          </w:p>
        </w:tc>
      </w:tr>
      <w:tr w:rsidR="00827382" w:rsidRPr="00DF47A1" w14:paraId="4AEFFAE3" w14:textId="77777777" w:rsidTr="00AE7561">
        <w:tc>
          <w:tcPr>
            <w:tcW w:w="2019" w:type="dxa"/>
          </w:tcPr>
          <w:p w14:paraId="5D59C0B8" w14:textId="77777777" w:rsidR="00827382" w:rsidRPr="0051585E" w:rsidRDefault="00827382" w:rsidP="006775B1">
            <w:pPr>
              <w:pStyle w:val="Tabletext"/>
            </w:pPr>
            <w:r>
              <w:t>EOG</w:t>
            </w:r>
          </w:p>
        </w:tc>
        <w:tc>
          <w:tcPr>
            <w:tcW w:w="7223" w:type="dxa"/>
          </w:tcPr>
          <w:p w14:paraId="57434662" w14:textId="77777777" w:rsidR="00827382" w:rsidRPr="00CF2914" w:rsidRDefault="00827382" w:rsidP="006775B1">
            <w:pPr>
              <w:pStyle w:val="Tabletext"/>
            </w:pPr>
            <w:r w:rsidRPr="00CF2914">
              <w:t>Electro-Oculogram</w:t>
            </w:r>
          </w:p>
        </w:tc>
      </w:tr>
      <w:tr w:rsidR="00827382" w:rsidRPr="00DF47A1" w14:paraId="1C06C236" w14:textId="77777777" w:rsidTr="00AE7561">
        <w:tc>
          <w:tcPr>
            <w:tcW w:w="2019" w:type="dxa"/>
          </w:tcPr>
          <w:p w14:paraId="7378B5C5" w14:textId="77777777" w:rsidR="00827382" w:rsidRDefault="00827382" w:rsidP="006775B1">
            <w:pPr>
              <w:pStyle w:val="Tabletext"/>
            </w:pPr>
            <w:r>
              <w:t>EMG</w:t>
            </w:r>
          </w:p>
        </w:tc>
        <w:tc>
          <w:tcPr>
            <w:tcW w:w="7223" w:type="dxa"/>
          </w:tcPr>
          <w:p w14:paraId="78E24890" w14:textId="77777777" w:rsidR="00827382" w:rsidRPr="00956C02" w:rsidRDefault="00827382" w:rsidP="006775B1">
            <w:pPr>
              <w:pStyle w:val="Tabletext"/>
            </w:pPr>
            <w:r w:rsidRPr="00CF2914">
              <w:t>Anterior Tibial Electro-Myogram</w:t>
            </w:r>
          </w:p>
        </w:tc>
      </w:tr>
      <w:tr w:rsidR="00827382" w:rsidRPr="00DF47A1" w14:paraId="1F50437B" w14:textId="77777777" w:rsidTr="00AE7561">
        <w:tc>
          <w:tcPr>
            <w:tcW w:w="2019" w:type="dxa"/>
          </w:tcPr>
          <w:p w14:paraId="4A555BDF" w14:textId="77777777" w:rsidR="00827382" w:rsidRPr="00CF2914" w:rsidRDefault="00827382" w:rsidP="006775B1">
            <w:pPr>
              <w:pStyle w:val="Tabletext"/>
            </w:pPr>
            <w:r w:rsidRPr="00CF2914">
              <w:t>FeNO</w:t>
            </w:r>
          </w:p>
        </w:tc>
        <w:tc>
          <w:tcPr>
            <w:tcW w:w="7223" w:type="dxa"/>
          </w:tcPr>
          <w:p w14:paraId="47B25413" w14:textId="77777777" w:rsidR="00827382" w:rsidRDefault="00827382" w:rsidP="006775B1">
            <w:pPr>
              <w:pStyle w:val="Tabletext"/>
            </w:pPr>
            <w:r w:rsidRPr="001116B4">
              <w:t>Fraction of Exhaled Nitric Oxide</w:t>
            </w:r>
          </w:p>
        </w:tc>
      </w:tr>
      <w:tr w:rsidR="00827382" w:rsidRPr="00DF47A1" w14:paraId="54C9FFC8" w14:textId="77777777" w:rsidTr="00AE7561">
        <w:tc>
          <w:tcPr>
            <w:tcW w:w="2019" w:type="dxa"/>
          </w:tcPr>
          <w:p w14:paraId="653992B5" w14:textId="77777777" w:rsidR="00827382" w:rsidRPr="00CF2914" w:rsidRDefault="00827382" w:rsidP="006775B1">
            <w:pPr>
              <w:pStyle w:val="Tabletext"/>
            </w:pPr>
            <w:r w:rsidRPr="00CF2914">
              <w:t>FEV1</w:t>
            </w:r>
          </w:p>
        </w:tc>
        <w:tc>
          <w:tcPr>
            <w:tcW w:w="7223" w:type="dxa"/>
          </w:tcPr>
          <w:p w14:paraId="6CBE1F77" w14:textId="77777777" w:rsidR="00827382" w:rsidRDefault="00827382" w:rsidP="006775B1">
            <w:pPr>
              <w:pStyle w:val="Tabletext"/>
            </w:pPr>
            <w:r w:rsidRPr="004948FB">
              <w:t>Forced Expiratory Volume</w:t>
            </w:r>
          </w:p>
        </w:tc>
      </w:tr>
      <w:tr w:rsidR="00827382" w:rsidRPr="00DF47A1" w14:paraId="582D2ED7" w14:textId="77777777" w:rsidTr="00AE7561">
        <w:tc>
          <w:tcPr>
            <w:tcW w:w="2019" w:type="dxa"/>
          </w:tcPr>
          <w:p w14:paraId="646676B1" w14:textId="77777777" w:rsidR="00827382" w:rsidRPr="00CF2914" w:rsidRDefault="00827382" w:rsidP="006775B1">
            <w:pPr>
              <w:pStyle w:val="Tabletext"/>
            </w:pPr>
            <w:r w:rsidRPr="00CF2914">
              <w:t>FEV1%</w:t>
            </w:r>
          </w:p>
        </w:tc>
        <w:tc>
          <w:tcPr>
            <w:tcW w:w="7223" w:type="dxa"/>
          </w:tcPr>
          <w:p w14:paraId="49E458BD" w14:textId="77777777" w:rsidR="00827382" w:rsidRPr="004948FB" w:rsidRDefault="00827382" w:rsidP="006775B1">
            <w:pPr>
              <w:pStyle w:val="Tabletext"/>
            </w:pPr>
            <w:r>
              <w:t>FEV1/FVC Ratio</w:t>
            </w:r>
          </w:p>
        </w:tc>
      </w:tr>
      <w:tr w:rsidR="00827382" w:rsidRPr="00DF47A1" w14:paraId="30362E15" w14:textId="77777777" w:rsidTr="00AE7561">
        <w:tc>
          <w:tcPr>
            <w:tcW w:w="2019" w:type="dxa"/>
          </w:tcPr>
          <w:p w14:paraId="586AC253" w14:textId="77777777" w:rsidR="00827382" w:rsidRPr="00CF2914" w:rsidRDefault="00827382" w:rsidP="006775B1">
            <w:pPr>
              <w:pStyle w:val="Tabletext"/>
            </w:pPr>
            <w:r w:rsidRPr="00CF2914">
              <w:t>GOLD</w:t>
            </w:r>
          </w:p>
        </w:tc>
        <w:tc>
          <w:tcPr>
            <w:tcW w:w="7223" w:type="dxa"/>
          </w:tcPr>
          <w:p w14:paraId="12ADCA4A" w14:textId="77777777" w:rsidR="00827382" w:rsidRDefault="00827382" w:rsidP="006775B1">
            <w:pPr>
              <w:pStyle w:val="Tabletext"/>
            </w:pPr>
            <w:r>
              <w:t>Global Initiative for Obstructive Lung Disease</w:t>
            </w:r>
          </w:p>
        </w:tc>
      </w:tr>
      <w:tr w:rsidR="00827382" w:rsidRPr="00DF47A1" w14:paraId="45932E10" w14:textId="77777777" w:rsidTr="00AE7561">
        <w:tc>
          <w:tcPr>
            <w:tcW w:w="2019" w:type="dxa"/>
          </w:tcPr>
          <w:p w14:paraId="2992B41F" w14:textId="77777777" w:rsidR="00827382" w:rsidRPr="00956C02" w:rsidRDefault="00827382" w:rsidP="006775B1">
            <w:pPr>
              <w:pStyle w:val="Tabletext"/>
            </w:pPr>
            <w:r>
              <w:t>GP</w:t>
            </w:r>
          </w:p>
        </w:tc>
        <w:tc>
          <w:tcPr>
            <w:tcW w:w="7223" w:type="dxa"/>
          </w:tcPr>
          <w:p w14:paraId="7C14D097" w14:textId="77777777" w:rsidR="00827382" w:rsidRPr="00956C02" w:rsidRDefault="00827382" w:rsidP="006775B1">
            <w:pPr>
              <w:pStyle w:val="Tabletext"/>
            </w:pPr>
            <w:r>
              <w:t>General Practitioner</w:t>
            </w:r>
          </w:p>
        </w:tc>
      </w:tr>
      <w:tr w:rsidR="00827382" w:rsidRPr="00DF47A1" w14:paraId="3E17CAAC" w14:textId="77777777" w:rsidTr="00AE7561">
        <w:tc>
          <w:tcPr>
            <w:tcW w:w="2019" w:type="dxa"/>
          </w:tcPr>
          <w:p w14:paraId="3A5AE35F" w14:textId="77777777" w:rsidR="00827382" w:rsidRPr="00956C02" w:rsidRDefault="00827382" w:rsidP="006775B1">
            <w:pPr>
              <w:pStyle w:val="Tabletext"/>
            </w:pPr>
            <w:r w:rsidRPr="00956C02">
              <w:t>MBS</w:t>
            </w:r>
          </w:p>
        </w:tc>
        <w:tc>
          <w:tcPr>
            <w:tcW w:w="7223" w:type="dxa"/>
          </w:tcPr>
          <w:p w14:paraId="4BD178E5" w14:textId="77777777" w:rsidR="00827382" w:rsidRPr="00956C02" w:rsidRDefault="00827382" w:rsidP="006775B1">
            <w:pPr>
              <w:pStyle w:val="Tabletext"/>
            </w:pPr>
            <w:r w:rsidRPr="00956C02">
              <w:t>Medicare Benefits Schedule</w:t>
            </w:r>
          </w:p>
        </w:tc>
      </w:tr>
      <w:tr w:rsidR="00827382" w:rsidRPr="00DF47A1" w14:paraId="0D023F71" w14:textId="77777777" w:rsidTr="00AE7561">
        <w:tc>
          <w:tcPr>
            <w:tcW w:w="2019" w:type="dxa"/>
          </w:tcPr>
          <w:p w14:paraId="31C70E63" w14:textId="77777777" w:rsidR="00827382" w:rsidRPr="00956C02" w:rsidRDefault="00827382" w:rsidP="006775B1">
            <w:pPr>
              <w:pStyle w:val="Tabletext"/>
            </w:pPr>
            <w:r>
              <w:t>MSAC</w:t>
            </w:r>
          </w:p>
        </w:tc>
        <w:tc>
          <w:tcPr>
            <w:tcW w:w="7223" w:type="dxa"/>
          </w:tcPr>
          <w:p w14:paraId="3C7FC701" w14:textId="77777777" w:rsidR="00827382" w:rsidRPr="00956C02" w:rsidRDefault="00827382" w:rsidP="006775B1">
            <w:pPr>
              <w:pStyle w:val="Tabletext"/>
            </w:pPr>
            <w:r>
              <w:t>Medical Services Advisory Committee</w:t>
            </w:r>
          </w:p>
        </w:tc>
      </w:tr>
      <w:tr w:rsidR="00827382" w:rsidRPr="00DF47A1" w14:paraId="480823C8" w14:textId="77777777" w:rsidTr="00AE7561">
        <w:tc>
          <w:tcPr>
            <w:tcW w:w="2019" w:type="dxa"/>
          </w:tcPr>
          <w:p w14:paraId="2A488FDE" w14:textId="77777777" w:rsidR="00827382" w:rsidRPr="00956C02" w:rsidRDefault="00827382" w:rsidP="006775B1">
            <w:pPr>
              <w:pStyle w:val="Tabletext"/>
            </w:pPr>
            <w:r w:rsidRPr="0051585E">
              <w:t>NAC</w:t>
            </w:r>
          </w:p>
        </w:tc>
        <w:tc>
          <w:tcPr>
            <w:tcW w:w="7223" w:type="dxa"/>
          </w:tcPr>
          <w:p w14:paraId="3CC40BDE" w14:textId="77777777" w:rsidR="00827382" w:rsidRPr="00956C02" w:rsidRDefault="00827382" w:rsidP="006775B1">
            <w:pPr>
              <w:pStyle w:val="Tabletext"/>
            </w:pPr>
            <w:r w:rsidRPr="006C27BC">
              <w:t>National Asthma Council</w:t>
            </w:r>
          </w:p>
        </w:tc>
      </w:tr>
      <w:tr w:rsidR="00827382" w:rsidRPr="00DF47A1" w14:paraId="5470C826" w14:textId="77777777" w:rsidTr="00AE7561">
        <w:tc>
          <w:tcPr>
            <w:tcW w:w="2019" w:type="dxa"/>
          </w:tcPr>
          <w:p w14:paraId="7B518B37" w14:textId="77777777" w:rsidR="00827382" w:rsidRPr="00956C02" w:rsidRDefault="00827382" w:rsidP="006775B1">
            <w:pPr>
              <w:pStyle w:val="Tabletext"/>
            </w:pPr>
            <w:r>
              <w:t>NICE</w:t>
            </w:r>
          </w:p>
        </w:tc>
        <w:tc>
          <w:tcPr>
            <w:tcW w:w="7223" w:type="dxa"/>
          </w:tcPr>
          <w:p w14:paraId="0256BBD7" w14:textId="77777777" w:rsidR="00827382" w:rsidRPr="00956C02" w:rsidRDefault="00827382" w:rsidP="006775B1">
            <w:pPr>
              <w:pStyle w:val="Tabletext"/>
            </w:pPr>
            <w:r w:rsidRPr="004948FB">
              <w:t>National Institute for Health and Care Excellence</w:t>
            </w:r>
          </w:p>
        </w:tc>
      </w:tr>
      <w:tr w:rsidR="00827382" w:rsidRPr="00DF47A1" w14:paraId="24124EEE" w14:textId="77777777" w:rsidTr="00AE7561">
        <w:tc>
          <w:tcPr>
            <w:tcW w:w="2019" w:type="dxa"/>
          </w:tcPr>
          <w:p w14:paraId="05BB379F" w14:textId="77777777" w:rsidR="00827382" w:rsidRPr="00956C02" w:rsidRDefault="00827382" w:rsidP="006775B1">
            <w:pPr>
              <w:pStyle w:val="Tabletext"/>
            </w:pPr>
            <w:r>
              <w:t>OOH</w:t>
            </w:r>
          </w:p>
        </w:tc>
        <w:tc>
          <w:tcPr>
            <w:tcW w:w="7223" w:type="dxa"/>
          </w:tcPr>
          <w:p w14:paraId="7A5182C2" w14:textId="77777777" w:rsidR="00827382" w:rsidRDefault="00827382" w:rsidP="006775B1">
            <w:pPr>
              <w:pStyle w:val="Tabletext"/>
            </w:pPr>
            <w:r>
              <w:t>Out of Hospital</w:t>
            </w:r>
          </w:p>
        </w:tc>
      </w:tr>
      <w:tr w:rsidR="00827382" w:rsidRPr="00DF47A1" w14:paraId="03127AFA" w14:textId="77777777" w:rsidTr="00AE7561">
        <w:tc>
          <w:tcPr>
            <w:tcW w:w="2019" w:type="dxa"/>
          </w:tcPr>
          <w:p w14:paraId="6D6ABD13" w14:textId="77777777" w:rsidR="00827382" w:rsidRDefault="00827382" w:rsidP="006775B1">
            <w:pPr>
              <w:pStyle w:val="Tabletext"/>
            </w:pPr>
            <w:r w:rsidRPr="00956C02">
              <w:t>OSA</w:t>
            </w:r>
          </w:p>
        </w:tc>
        <w:tc>
          <w:tcPr>
            <w:tcW w:w="7223" w:type="dxa"/>
          </w:tcPr>
          <w:p w14:paraId="32E48015" w14:textId="77777777" w:rsidR="00827382" w:rsidRPr="004948FB" w:rsidRDefault="00827382" w:rsidP="006775B1">
            <w:pPr>
              <w:pStyle w:val="Tabletext"/>
            </w:pPr>
            <w:r>
              <w:t>Obstructive Sleep Apnoea</w:t>
            </w:r>
          </w:p>
        </w:tc>
      </w:tr>
      <w:tr w:rsidR="00827382" w:rsidRPr="00DF47A1" w14:paraId="4324C3C8" w14:textId="77777777" w:rsidTr="00AE7561">
        <w:tc>
          <w:tcPr>
            <w:tcW w:w="2019" w:type="dxa"/>
          </w:tcPr>
          <w:p w14:paraId="77047806" w14:textId="77777777" w:rsidR="00827382" w:rsidRPr="00956C02" w:rsidRDefault="00827382" w:rsidP="006775B1">
            <w:pPr>
              <w:pStyle w:val="Tabletext"/>
            </w:pPr>
            <w:r>
              <w:t>PAP</w:t>
            </w:r>
          </w:p>
        </w:tc>
        <w:tc>
          <w:tcPr>
            <w:tcW w:w="7223" w:type="dxa"/>
          </w:tcPr>
          <w:p w14:paraId="017D68A9" w14:textId="77777777" w:rsidR="00827382" w:rsidRDefault="00827382" w:rsidP="006775B1">
            <w:pPr>
              <w:pStyle w:val="Tabletext"/>
            </w:pPr>
            <w:r>
              <w:t>Positive Airway Pressure</w:t>
            </w:r>
          </w:p>
        </w:tc>
      </w:tr>
      <w:tr w:rsidR="00827382" w:rsidRPr="00DF47A1" w14:paraId="76E9EC4E" w14:textId="77777777" w:rsidTr="00AE7561">
        <w:tc>
          <w:tcPr>
            <w:tcW w:w="2019" w:type="dxa"/>
          </w:tcPr>
          <w:p w14:paraId="7477A5D2" w14:textId="77777777" w:rsidR="00827382" w:rsidRDefault="00827382" w:rsidP="006775B1">
            <w:pPr>
              <w:pStyle w:val="Tabletext"/>
            </w:pPr>
            <w:r w:rsidRPr="0051585E">
              <w:t>PIP</w:t>
            </w:r>
          </w:p>
        </w:tc>
        <w:tc>
          <w:tcPr>
            <w:tcW w:w="7223" w:type="dxa"/>
          </w:tcPr>
          <w:p w14:paraId="2D21709C" w14:textId="77777777" w:rsidR="00827382" w:rsidRPr="004948FB" w:rsidRDefault="00827382" w:rsidP="006775B1">
            <w:pPr>
              <w:pStyle w:val="Tabletext"/>
            </w:pPr>
            <w:r w:rsidRPr="0051585E">
              <w:t>Practice Incentive Program</w:t>
            </w:r>
          </w:p>
        </w:tc>
      </w:tr>
      <w:tr w:rsidR="00827382" w:rsidRPr="00DF47A1" w14:paraId="251B6CC5" w14:textId="77777777" w:rsidTr="00AE7561">
        <w:tc>
          <w:tcPr>
            <w:tcW w:w="2019" w:type="dxa"/>
          </w:tcPr>
          <w:p w14:paraId="071B7229" w14:textId="77777777" w:rsidR="00827382" w:rsidRDefault="00827382" w:rsidP="006775B1">
            <w:pPr>
              <w:pStyle w:val="Tabletext"/>
            </w:pPr>
            <w:r w:rsidRPr="0051585E">
              <w:t>PNIP</w:t>
            </w:r>
          </w:p>
        </w:tc>
        <w:tc>
          <w:tcPr>
            <w:tcW w:w="7223" w:type="dxa"/>
          </w:tcPr>
          <w:p w14:paraId="42F75241" w14:textId="77777777" w:rsidR="00827382" w:rsidRPr="004948FB" w:rsidRDefault="00827382" w:rsidP="006775B1">
            <w:pPr>
              <w:pStyle w:val="Tabletext"/>
            </w:pPr>
            <w:r w:rsidRPr="0051585E">
              <w:t>Practice Nurse Incentive Program</w:t>
            </w:r>
          </w:p>
        </w:tc>
      </w:tr>
      <w:tr w:rsidR="00827382" w:rsidRPr="00DF47A1" w14:paraId="2878117C" w14:textId="77777777" w:rsidTr="00AE7561">
        <w:tc>
          <w:tcPr>
            <w:tcW w:w="2019" w:type="dxa"/>
          </w:tcPr>
          <w:p w14:paraId="28287D49" w14:textId="77777777" w:rsidR="00827382" w:rsidRPr="0051585E" w:rsidRDefault="00827382" w:rsidP="006775B1">
            <w:pPr>
              <w:pStyle w:val="Tabletext"/>
            </w:pPr>
            <w:r w:rsidRPr="00956C02">
              <w:t>RACGP</w:t>
            </w:r>
          </w:p>
        </w:tc>
        <w:tc>
          <w:tcPr>
            <w:tcW w:w="7223" w:type="dxa"/>
          </w:tcPr>
          <w:p w14:paraId="345B2A71" w14:textId="77777777" w:rsidR="00827382" w:rsidRPr="0051585E" w:rsidRDefault="00827382" w:rsidP="006775B1">
            <w:pPr>
              <w:pStyle w:val="Tabletext"/>
            </w:pPr>
            <w:r>
              <w:t>Royal Australian College of General Practitioners</w:t>
            </w:r>
          </w:p>
        </w:tc>
      </w:tr>
      <w:tr w:rsidR="00827382" w:rsidRPr="00DF47A1" w14:paraId="352F23E6" w14:textId="77777777" w:rsidTr="00AE7561">
        <w:tc>
          <w:tcPr>
            <w:tcW w:w="2019" w:type="dxa"/>
          </w:tcPr>
          <w:p w14:paraId="2143931F" w14:textId="77777777" w:rsidR="00827382" w:rsidRPr="00956C02" w:rsidRDefault="00827382" w:rsidP="006775B1">
            <w:pPr>
              <w:pStyle w:val="Tabletext"/>
            </w:pPr>
            <w:r>
              <w:t>TMCC</w:t>
            </w:r>
          </w:p>
        </w:tc>
        <w:tc>
          <w:tcPr>
            <w:tcW w:w="7223" w:type="dxa"/>
          </w:tcPr>
          <w:p w14:paraId="386FD445" w14:textId="77777777" w:rsidR="00827382" w:rsidRPr="00956C02" w:rsidRDefault="00827382" w:rsidP="006775B1">
            <w:pPr>
              <w:pStyle w:val="Tabletext"/>
            </w:pPr>
            <w:r w:rsidRPr="00962FD2">
              <w:t>Thoracic Medicine Clinical Committee</w:t>
            </w:r>
          </w:p>
        </w:tc>
      </w:tr>
      <w:tr w:rsidR="00827382" w:rsidRPr="00DF47A1" w14:paraId="4FFB6641" w14:textId="77777777" w:rsidTr="00AE7561">
        <w:tc>
          <w:tcPr>
            <w:tcW w:w="2019" w:type="dxa"/>
          </w:tcPr>
          <w:p w14:paraId="6C80F74F" w14:textId="77777777" w:rsidR="00827382" w:rsidRDefault="00827382" w:rsidP="006775B1">
            <w:pPr>
              <w:pStyle w:val="Tabletext"/>
            </w:pPr>
            <w:r w:rsidRPr="00DF47A1">
              <w:t>VCO</w:t>
            </w:r>
            <w:r w:rsidRPr="00DF47A1">
              <w:rPr>
                <w:vertAlign w:val="subscript"/>
              </w:rPr>
              <w:t>2</w:t>
            </w:r>
          </w:p>
        </w:tc>
        <w:tc>
          <w:tcPr>
            <w:tcW w:w="7223" w:type="dxa"/>
          </w:tcPr>
          <w:p w14:paraId="2A9C79DA" w14:textId="77777777" w:rsidR="00827382" w:rsidRPr="00962FD2" w:rsidRDefault="00827382" w:rsidP="006775B1">
            <w:pPr>
              <w:pStyle w:val="Tabletext"/>
            </w:pPr>
            <w:r w:rsidRPr="00CF2914">
              <w:t>Carbon Dioxide Output</w:t>
            </w:r>
          </w:p>
        </w:tc>
      </w:tr>
      <w:tr w:rsidR="00827382" w:rsidRPr="00DF47A1" w14:paraId="7825F051" w14:textId="77777777" w:rsidTr="00AE7561">
        <w:tc>
          <w:tcPr>
            <w:tcW w:w="2019" w:type="dxa"/>
          </w:tcPr>
          <w:p w14:paraId="7A8E9F15" w14:textId="77777777" w:rsidR="00827382" w:rsidRDefault="00827382" w:rsidP="006775B1">
            <w:pPr>
              <w:pStyle w:val="Tabletext"/>
            </w:pPr>
            <w:r w:rsidRPr="00DF47A1">
              <w:t>VE</w:t>
            </w:r>
          </w:p>
        </w:tc>
        <w:tc>
          <w:tcPr>
            <w:tcW w:w="7223" w:type="dxa"/>
          </w:tcPr>
          <w:p w14:paraId="4C79CFCE" w14:textId="77777777" w:rsidR="00827382" w:rsidRPr="00962FD2" w:rsidRDefault="00827382" w:rsidP="006775B1">
            <w:pPr>
              <w:pStyle w:val="Tabletext"/>
            </w:pPr>
            <w:r w:rsidRPr="00DF47A1">
              <w:t>Minute Ventilation</w:t>
            </w:r>
          </w:p>
        </w:tc>
      </w:tr>
      <w:tr w:rsidR="00827382" w:rsidRPr="00DF47A1" w14:paraId="771C6A8C" w14:textId="77777777" w:rsidTr="00AE7561">
        <w:tc>
          <w:tcPr>
            <w:tcW w:w="2019" w:type="dxa"/>
          </w:tcPr>
          <w:p w14:paraId="62815580" w14:textId="77777777" w:rsidR="00827382" w:rsidRDefault="00827382" w:rsidP="006775B1">
            <w:pPr>
              <w:pStyle w:val="Tabletext"/>
            </w:pPr>
            <w:r w:rsidRPr="00A2291A">
              <w:t>VO</w:t>
            </w:r>
            <w:r w:rsidRPr="00DF47A1">
              <w:rPr>
                <w:vertAlign w:val="subscript"/>
              </w:rPr>
              <w:t>2</w:t>
            </w:r>
          </w:p>
        </w:tc>
        <w:tc>
          <w:tcPr>
            <w:tcW w:w="7223" w:type="dxa"/>
          </w:tcPr>
          <w:p w14:paraId="16B9F5EE" w14:textId="77777777" w:rsidR="00827382" w:rsidRPr="00962FD2" w:rsidRDefault="00827382" w:rsidP="006775B1">
            <w:pPr>
              <w:pStyle w:val="Tabletext"/>
            </w:pPr>
            <w:r w:rsidRPr="00A2291A">
              <w:t>Oxygen Uptake</w:t>
            </w:r>
          </w:p>
        </w:tc>
      </w:tr>
      <w:tr w:rsidR="00827382" w:rsidRPr="00DF47A1" w14:paraId="52EE0596" w14:textId="77777777" w:rsidTr="00AE7561">
        <w:tc>
          <w:tcPr>
            <w:tcW w:w="2019" w:type="dxa"/>
          </w:tcPr>
          <w:p w14:paraId="18307AD1" w14:textId="77777777" w:rsidR="00827382" w:rsidRDefault="00827382" w:rsidP="006775B1">
            <w:pPr>
              <w:pStyle w:val="Tabletext"/>
            </w:pPr>
            <w:r w:rsidRPr="0051585E">
              <w:t>VT</w:t>
            </w:r>
          </w:p>
        </w:tc>
        <w:tc>
          <w:tcPr>
            <w:tcW w:w="7223" w:type="dxa"/>
          </w:tcPr>
          <w:p w14:paraId="16E46471" w14:textId="77777777" w:rsidR="00827382" w:rsidRPr="00962FD2" w:rsidRDefault="00827382" w:rsidP="006775B1">
            <w:pPr>
              <w:pStyle w:val="Tabletext"/>
            </w:pPr>
            <w:r w:rsidRPr="00CF2914">
              <w:t>Tidal Volume</w:t>
            </w:r>
          </w:p>
        </w:tc>
      </w:tr>
    </w:tbl>
    <w:p w14:paraId="105930B9" w14:textId="77777777" w:rsidR="00DD112E" w:rsidRDefault="00DD112E" w:rsidP="00B83773">
      <w:pPr>
        <w:rPr>
          <w:rFonts w:eastAsiaTheme="minorHAnsi"/>
          <w:lang w:val="en-US" w:eastAsia="en-US"/>
        </w:rPr>
      </w:pPr>
      <w:r>
        <w:br w:type="page"/>
      </w:r>
    </w:p>
    <w:p w14:paraId="48AEEBE5" w14:textId="77777777" w:rsidR="00DD112E" w:rsidRPr="00350202" w:rsidRDefault="00DD112E" w:rsidP="003F2A67">
      <w:pPr>
        <w:pStyle w:val="Heading1"/>
      </w:pPr>
      <w:bookmarkStart w:id="293" w:name="_Toc457053441"/>
      <w:bookmarkStart w:id="294" w:name="_Toc458510018"/>
      <w:bookmarkStart w:id="295" w:name="_Toc458768486"/>
      <w:bookmarkStart w:id="296" w:name="_Toc458768666"/>
      <w:bookmarkStart w:id="297" w:name="_Toc478721527"/>
      <w:r w:rsidRPr="003F2A67">
        <w:lastRenderedPageBreak/>
        <w:t>Glossary</w:t>
      </w:r>
      <w:bookmarkEnd w:id="292"/>
      <w:bookmarkEnd w:id="293"/>
      <w:bookmarkEnd w:id="294"/>
      <w:bookmarkEnd w:id="295"/>
      <w:bookmarkEnd w:id="296"/>
      <w:bookmarkEnd w:id="297"/>
    </w:p>
    <w:tbl>
      <w:tblPr>
        <w:tblStyle w:val="TableGrid3"/>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erms used in the text and their meanings."/>
      </w:tblPr>
      <w:tblGrid>
        <w:gridCol w:w="2754"/>
        <w:gridCol w:w="6272"/>
      </w:tblGrid>
      <w:tr w:rsidR="00B83773" w:rsidRPr="00350202" w14:paraId="13C0DC2F" w14:textId="77777777" w:rsidTr="00B83773">
        <w:trPr>
          <w:tblHeader/>
        </w:trPr>
        <w:tc>
          <w:tcPr>
            <w:tcW w:w="2802" w:type="dxa"/>
          </w:tcPr>
          <w:p w14:paraId="799C7CFD" w14:textId="77777777" w:rsidR="00B83773" w:rsidRDefault="00B83773" w:rsidP="006775B1">
            <w:pPr>
              <w:pStyle w:val="Tableheading"/>
            </w:pPr>
            <w:r>
              <w:t>Term</w:t>
            </w:r>
          </w:p>
        </w:tc>
        <w:tc>
          <w:tcPr>
            <w:tcW w:w="6440" w:type="dxa"/>
          </w:tcPr>
          <w:p w14:paraId="0373FD16" w14:textId="77777777" w:rsidR="00B83773" w:rsidRPr="00B83773" w:rsidRDefault="00B83773" w:rsidP="006775B1">
            <w:pPr>
              <w:pStyle w:val="Tableheading"/>
            </w:pPr>
            <w:r w:rsidRPr="00B83773">
              <w:t>Description</w:t>
            </w:r>
          </w:p>
        </w:tc>
      </w:tr>
      <w:tr w:rsidR="00FB16DE" w:rsidRPr="00350202" w14:paraId="0C9424B2" w14:textId="77777777" w:rsidTr="00350202">
        <w:tc>
          <w:tcPr>
            <w:tcW w:w="2802" w:type="dxa"/>
          </w:tcPr>
          <w:p w14:paraId="68CBAA79" w14:textId="77777777" w:rsidR="00FB16DE" w:rsidRPr="006775B1" w:rsidRDefault="00FB16DE" w:rsidP="006775B1">
            <w:pPr>
              <w:pStyle w:val="Tabletext"/>
              <w:rPr>
                <w:b/>
              </w:rPr>
            </w:pPr>
            <w:r w:rsidRPr="006775B1">
              <w:rPr>
                <w:b/>
              </w:rPr>
              <w:t>ACSQHC</w:t>
            </w:r>
          </w:p>
        </w:tc>
        <w:tc>
          <w:tcPr>
            <w:tcW w:w="6440" w:type="dxa"/>
          </w:tcPr>
          <w:p w14:paraId="6857D506" w14:textId="77777777" w:rsidR="00FB16DE" w:rsidRPr="006775B1" w:rsidRDefault="001955B3" w:rsidP="006775B1">
            <w:pPr>
              <w:pStyle w:val="Tabletext"/>
            </w:pPr>
            <w:r w:rsidRPr="006775B1">
              <w:t>Australian Commission on Safety and Quality in Health Care</w:t>
            </w:r>
          </w:p>
        </w:tc>
      </w:tr>
      <w:tr w:rsidR="00827382" w:rsidRPr="00350202" w14:paraId="639822A2" w14:textId="77777777" w:rsidTr="00350202">
        <w:tc>
          <w:tcPr>
            <w:tcW w:w="2802" w:type="dxa"/>
          </w:tcPr>
          <w:p w14:paraId="2A506827" w14:textId="77777777" w:rsidR="00827382" w:rsidRPr="006775B1" w:rsidRDefault="00827382" w:rsidP="006775B1">
            <w:pPr>
              <w:pStyle w:val="Tabletext"/>
              <w:rPr>
                <w:rFonts w:ascii="Arial" w:hAnsi="Arial"/>
                <w:b/>
              </w:rPr>
            </w:pPr>
            <w:r w:rsidRPr="006775B1">
              <w:rPr>
                <w:b/>
              </w:rPr>
              <w:t>COPD-X</w:t>
            </w:r>
          </w:p>
        </w:tc>
        <w:tc>
          <w:tcPr>
            <w:tcW w:w="6440" w:type="dxa"/>
          </w:tcPr>
          <w:p w14:paraId="69B86F71" w14:textId="77777777" w:rsidR="00827382" w:rsidRPr="006775B1" w:rsidRDefault="00827382" w:rsidP="006775B1">
            <w:pPr>
              <w:pStyle w:val="Tabletext"/>
            </w:pPr>
            <w:r w:rsidRPr="006775B1">
              <w:t>Australian and New Zealand Guidelines for the management of Chronic Obstructive Pulmonary Disease</w:t>
            </w:r>
          </w:p>
        </w:tc>
      </w:tr>
      <w:tr w:rsidR="00827382" w:rsidRPr="00350202" w14:paraId="73B0194D" w14:textId="77777777" w:rsidTr="00350202">
        <w:tc>
          <w:tcPr>
            <w:tcW w:w="2802" w:type="dxa"/>
          </w:tcPr>
          <w:p w14:paraId="5E757FDC" w14:textId="77777777" w:rsidR="00827382" w:rsidRPr="006775B1" w:rsidRDefault="00827382" w:rsidP="006775B1">
            <w:pPr>
              <w:pStyle w:val="Tabletext"/>
              <w:rPr>
                <w:rFonts w:ascii="Arial" w:hAnsi="Arial"/>
                <w:b/>
              </w:rPr>
            </w:pPr>
            <w:r w:rsidRPr="006775B1">
              <w:rPr>
                <w:b/>
              </w:rPr>
              <w:t>Department, The</w:t>
            </w:r>
          </w:p>
        </w:tc>
        <w:tc>
          <w:tcPr>
            <w:tcW w:w="6440" w:type="dxa"/>
          </w:tcPr>
          <w:p w14:paraId="5CB7010C" w14:textId="77777777" w:rsidR="00827382" w:rsidRPr="006775B1" w:rsidRDefault="00827382" w:rsidP="006775B1">
            <w:pPr>
              <w:pStyle w:val="Tabletext"/>
            </w:pPr>
            <w:r w:rsidRPr="006775B1">
              <w:t>Australian Government Department of Health</w:t>
            </w:r>
          </w:p>
        </w:tc>
      </w:tr>
      <w:tr w:rsidR="00827382" w:rsidRPr="00350202" w14:paraId="6F196F48" w14:textId="77777777" w:rsidTr="00350202">
        <w:tc>
          <w:tcPr>
            <w:tcW w:w="2802" w:type="dxa"/>
          </w:tcPr>
          <w:p w14:paraId="45C7870C" w14:textId="77777777" w:rsidR="00827382" w:rsidRPr="006775B1" w:rsidRDefault="00827382" w:rsidP="006775B1">
            <w:pPr>
              <w:pStyle w:val="Tabletext"/>
              <w:rPr>
                <w:rFonts w:ascii="Arial" w:hAnsi="Arial"/>
                <w:b/>
              </w:rPr>
            </w:pPr>
            <w:r w:rsidRPr="006775B1">
              <w:rPr>
                <w:b/>
              </w:rPr>
              <w:t>DHS</w:t>
            </w:r>
          </w:p>
        </w:tc>
        <w:tc>
          <w:tcPr>
            <w:tcW w:w="6440" w:type="dxa"/>
          </w:tcPr>
          <w:p w14:paraId="1294BCBE" w14:textId="77777777" w:rsidR="00827382" w:rsidRPr="006775B1" w:rsidRDefault="00827382" w:rsidP="006775B1">
            <w:pPr>
              <w:pStyle w:val="Tabletext"/>
            </w:pPr>
            <w:r w:rsidRPr="006775B1">
              <w:t>Australian Government Department of Human Services</w:t>
            </w:r>
          </w:p>
        </w:tc>
      </w:tr>
      <w:tr w:rsidR="00827382" w:rsidRPr="00350202" w14:paraId="23A8ED08" w14:textId="77777777" w:rsidTr="00350202">
        <w:tc>
          <w:tcPr>
            <w:tcW w:w="2802" w:type="dxa"/>
          </w:tcPr>
          <w:p w14:paraId="3DCF0814" w14:textId="77777777" w:rsidR="00827382" w:rsidRPr="006775B1" w:rsidRDefault="00827382" w:rsidP="006775B1">
            <w:pPr>
              <w:pStyle w:val="Tabletext"/>
              <w:rPr>
                <w:b/>
              </w:rPr>
            </w:pPr>
            <w:r w:rsidRPr="006775B1">
              <w:rPr>
                <w:b/>
              </w:rPr>
              <w:t>GP</w:t>
            </w:r>
          </w:p>
        </w:tc>
        <w:tc>
          <w:tcPr>
            <w:tcW w:w="6440" w:type="dxa"/>
          </w:tcPr>
          <w:p w14:paraId="4A75C8E6" w14:textId="77777777" w:rsidR="00827382" w:rsidRPr="006775B1" w:rsidRDefault="00827382" w:rsidP="006775B1">
            <w:pPr>
              <w:pStyle w:val="Tabletext"/>
            </w:pPr>
            <w:r w:rsidRPr="006775B1">
              <w:t>General practitioner</w:t>
            </w:r>
          </w:p>
        </w:tc>
      </w:tr>
      <w:tr w:rsidR="00827382" w:rsidRPr="00350202" w14:paraId="3560511E" w14:textId="77777777" w:rsidTr="00350202">
        <w:tc>
          <w:tcPr>
            <w:tcW w:w="2802" w:type="dxa"/>
          </w:tcPr>
          <w:p w14:paraId="229A1EB4" w14:textId="77777777" w:rsidR="00827382" w:rsidRPr="006775B1" w:rsidRDefault="00827382" w:rsidP="006775B1">
            <w:pPr>
              <w:pStyle w:val="Tabletext"/>
              <w:rPr>
                <w:rFonts w:ascii="Arial" w:hAnsi="Arial"/>
                <w:b/>
              </w:rPr>
            </w:pPr>
            <w:r w:rsidRPr="006775B1">
              <w:rPr>
                <w:rFonts w:eastAsiaTheme="minorHAnsi"/>
                <w:b/>
                <w:lang w:eastAsia="en-US"/>
              </w:rPr>
              <w:t>High-value care</w:t>
            </w:r>
          </w:p>
        </w:tc>
        <w:tc>
          <w:tcPr>
            <w:tcW w:w="6440" w:type="dxa"/>
          </w:tcPr>
          <w:p w14:paraId="0D98AE38" w14:textId="77777777" w:rsidR="00827382" w:rsidRPr="006775B1" w:rsidRDefault="00827382" w:rsidP="006775B1">
            <w:pPr>
              <w:pStyle w:val="Tabletext"/>
            </w:pPr>
            <w:r w:rsidRPr="006775B1">
              <w:t>Services of proven efficacy reflecting current best medical practice, or for which the potential benefit to consumers exceeds the risk and costs</w:t>
            </w:r>
            <w:r w:rsidRPr="006775B1">
              <w:rPr>
                <w:rFonts w:eastAsiaTheme="minorHAnsi"/>
              </w:rPr>
              <w:t>.</w:t>
            </w:r>
          </w:p>
        </w:tc>
      </w:tr>
      <w:tr w:rsidR="00827382" w:rsidRPr="00350202" w14:paraId="2B0E99A0" w14:textId="77777777" w:rsidTr="00350202">
        <w:tc>
          <w:tcPr>
            <w:tcW w:w="2802" w:type="dxa"/>
          </w:tcPr>
          <w:p w14:paraId="4B14BD45" w14:textId="77777777" w:rsidR="00827382" w:rsidRPr="006775B1" w:rsidRDefault="00827382" w:rsidP="006775B1">
            <w:pPr>
              <w:pStyle w:val="Tabletext"/>
              <w:rPr>
                <w:b/>
              </w:rPr>
            </w:pPr>
            <w:r w:rsidRPr="006775B1">
              <w:rPr>
                <w:rFonts w:eastAsiaTheme="minorHAnsi"/>
                <w:b/>
                <w:lang w:eastAsia="en-US"/>
              </w:rPr>
              <w:t>Inappropriate use / misuse</w:t>
            </w:r>
          </w:p>
        </w:tc>
        <w:tc>
          <w:tcPr>
            <w:tcW w:w="6440" w:type="dxa"/>
          </w:tcPr>
          <w:p w14:paraId="75ADE3F1" w14:textId="77777777" w:rsidR="00827382" w:rsidRPr="006775B1" w:rsidRDefault="00827382" w:rsidP="006775B1">
            <w:pPr>
              <w:pStyle w:val="Tabletext"/>
            </w:pPr>
            <w:r w:rsidRPr="006775B1">
              <w:rPr>
                <w:rFonts w:eastAsiaTheme="minorHAnsi"/>
              </w:rPr>
              <w:t>The use of MBS services for purposes other than those intended. This includes a range of behaviours ranging from failing to adhere to particular item descriptors or rules, through to deliberate fraud.</w:t>
            </w:r>
          </w:p>
        </w:tc>
      </w:tr>
      <w:tr w:rsidR="00827382" w:rsidRPr="00350202" w14:paraId="0F20488E" w14:textId="77777777" w:rsidTr="00350202">
        <w:tc>
          <w:tcPr>
            <w:tcW w:w="2802" w:type="dxa"/>
          </w:tcPr>
          <w:p w14:paraId="6A285960" w14:textId="77777777" w:rsidR="00827382" w:rsidRPr="006775B1" w:rsidRDefault="00827382" w:rsidP="006775B1">
            <w:pPr>
              <w:pStyle w:val="Tabletext"/>
              <w:rPr>
                <w:rFonts w:ascii="Arial" w:hAnsi="Arial"/>
                <w:b/>
              </w:rPr>
            </w:pPr>
            <w:r w:rsidRPr="006775B1">
              <w:rPr>
                <w:rFonts w:eastAsiaTheme="minorHAnsi"/>
                <w:b/>
                <w:lang w:eastAsia="en-US"/>
              </w:rPr>
              <w:t>Low-value care</w:t>
            </w:r>
          </w:p>
        </w:tc>
        <w:tc>
          <w:tcPr>
            <w:tcW w:w="6440" w:type="dxa"/>
          </w:tcPr>
          <w:p w14:paraId="28F9B84E" w14:textId="77777777" w:rsidR="00827382" w:rsidRPr="006775B1" w:rsidRDefault="00827382" w:rsidP="006775B1">
            <w:pPr>
              <w:pStyle w:val="Tabletext"/>
            </w:pPr>
            <w:r w:rsidRPr="006775B1">
              <w:t>The use of an intervention which evidence suggests confers no or very little benefit on patients, or that the risk of harm exceeds the likely benefit, or, more broadly, that the added costs of the intervention do not provide proportional added benefits.</w:t>
            </w:r>
          </w:p>
        </w:tc>
      </w:tr>
      <w:tr w:rsidR="00827382" w:rsidRPr="00350202" w14:paraId="0DA62923" w14:textId="77777777" w:rsidTr="00350202">
        <w:tc>
          <w:tcPr>
            <w:tcW w:w="2802" w:type="dxa"/>
          </w:tcPr>
          <w:p w14:paraId="648C163F" w14:textId="77777777" w:rsidR="00827382" w:rsidRPr="006775B1" w:rsidRDefault="00827382" w:rsidP="006775B1">
            <w:pPr>
              <w:pStyle w:val="Tabletext"/>
              <w:rPr>
                <w:rFonts w:ascii="Arial" w:hAnsi="Arial"/>
                <w:b/>
              </w:rPr>
            </w:pPr>
            <w:r w:rsidRPr="006775B1">
              <w:rPr>
                <w:b/>
              </w:rPr>
              <w:t>MBS item</w:t>
            </w:r>
          </w:p>
        </w:tc>
        <w:tc>
          <w:tcPr>
            <w:tcW w:w="6440" w:type="dxa"/>
          </w:tcPr>
          <w:p w14:paraId="6D3E6499" w14:textId="77777777" w:rsidR="00827382" w:rsidRPr="006775B1" w:rsidRDefault="00827382" w:rsidP="006775B1">
            <w:pPr>
              <w:pStyle w:val="Tabletext"/>
            </w:pPr>
            <w:r w:rsidRPr="006775B1">
              <w:t>An administrative object listed in the MBS and used for the purposes of claiming and paying Medicare benefits, comprising an item number, service descriptor and supporting information, Schedule fee and Medicare benefits.</w:t>
            </w:r>
          </w:p>
        </w:tc>
      </w:tr>
      <w:tr w:rsidR="00827382" w:rsidRPr="00350202" w14:paraId="41F64D99" w14:textId="77777777" w:rsidTr="00350202">
        <w:tc>
          <w:tcPr>
            <w:tcW w:w="2802" w:type="dxa"/>
          </w:tcPr>
          <w:p w14:paraId="3A84D864" w14:textId="77777777" w:rsidR="00827382" w:rsidRPr="006775B1" w:rsidRDefault="00827382" w:rsidP="006775B1">
            <w:pPr>
              <w:pStyle w:val="Tabletext"/>
              <w:rPr>
                <w:b/>
              </w:rPr>
            </w:pPr>
            <w:r w:rsidRPr="006775B1">
              <w:rPr>
                <w:b/>
              </w:rPr>
              <w:t>MBS service</w:t>
            </w:r>
          </w:p>
        </w:tc>
        <w:tc>
          <w:tcPr>
            <w:tcW w:w="6440" w:type="dxa"/>
          </w:tcPr>
          <w:p w14:paraId="156E4268" w14:textId="77777777" w:rsidR="00827382" w:rsidRPr="006775B1" w:rsidRDefault="00827382" w:rsidP="006775B1">
            <w:pPr>
              <w:pStyle w:val="Tabletext"/>
            </w:pPr>
            <w:r w:rsidRPr="006775B1">
              <w:t>The actual medical consultation, procedure, test to which the relevant MBS item refers.</w:t>
            </w:r>
          </w:p>
        </w:tc>
      </w:tr>
      <w:tr w:rsidR="00827382" w:rsidRPr="00350202" w14:paraId="531157DF" w14:textId="77777777" w:rsidTr="00350202">
        <w:tc>
          <w:tcPr>
            <w:tcW w:w="2802" w:type="dxa"/>
          </w:tcPr>
          <w:p w14:paraId="210BBACE" w14:textId="77777777" w:rsidR="00827382" w:rsidRPr="006775B1" w:rsidRDefault="00827382" w:rsidP="006775B1">
            <w:pPr>
              <w:pStyle w:val="Tabletext"/>
              <w:rPr>
                <w:rFonts w:ascii="Arial" w:hAnsi="Arial"/>
                <w:b/>
              </w:rPr>
            </w:pPr>
            <w:r w:rsidRPr="006775B1">
              <w:rPr>
                <w:rFonts w:eastAsiaTheme="minorHAnsi"/>
                <w:b/>
                <w:lang w:eastAsia="en-US"/>
              </w:rPr>
              <w:t>MSAC</w:t>
            </w:r>
          </w:p>
        </w:tc>
        <w:tc>
          <w:tcPr>
            <w:tcW w:w="6440" w:type="dxa"/>
          </w:tcPr>
          <w:p w14:paraId="5A0A2A9B" w14:textId="77777777" w:rsidR="00827382" w:rsidRPr="006775B1" w:rsidRDefault="00827382" w:rsidP="006775B1">
            <w:pPr>
              <w:pStyle w:val="Tabletext"/>
            </w:pPr>
            <w:r w:rsidRPr="006775B1">
              <w:rPr>
                <w:rFonts w:eastAsiaTheme="minorHAnsi"/>
              </w:rPr>
              <w:t>Medical Services Advisory Committee</w:t>
            </w:r>
          </w:p>
        </w:tc>
      </w:tr>
      <w:tr w:rsidR="00827382" w:rsidRPr="00350202" w14:paraId="771E9595" w14:textId="77777777" w:rsidTr="00DA5B19">
        <w:trPr>
          <w:trHeight w:val="2105"/>
        </w:trPr>
        <w:tc>
          <w:tcPr>
            <w:tcW w:w="2802" w:type="dxa"/>
          </w:tcPr>
          <w:p w14:paraId="5B64DE80" w14:textId="77777777" w:rsidR="00827382" w:rsidRPr="006775B1" w:rsidRDefault="00827382" w:rsidP="006775B1">
            <w:pPr>
              <w:pStyle w:val="Tabletext"/>
              <w:rPr>
                <w:rFonts w:ascii="Arial" w:hAnsi="Arial"/>
                <w:b/>
              </w:rPr>
            </w:pPr>
            <w:r w:rsidRPr="006775B1">
              <w:rPr>
                <w:b/>
              </w:rPr>
              <w:t>Multiple operation rule</w:t>
            </w:r>
          </w:p>
        </w:tc>
        <w:tc>
          <w:tcPr>
            <w:tcW w:w="6440" w:type="dxa"/>
          </w:tcPr>
          <w:p w14:paraId="47B8C232" w14:textId="77777777" w:rsidR="00827382" w:rsidRPr="00350202" w:rsidRDefault="00827382" w:rsidP="006775B1">
            <w:pPr>
              <w:pStyle w:val="Tabletext"/>
            </w:pPr>
            <w:r w:rsidRPr="00350202">
              <w:t xml:space="preserve">A rule governing the amount of Medicare benefit payable for multiple operations performed on a patient on the one occasion. In general, the fees for two or more operations </w:t>
            </w:r>
            <w:r w:rsidRPr="006775B1">
              <w:t>are</w:t>
            </w:r>
            <w:r w:rsidRPr="00350202">
              <w:t xml:space="preserve"> calculated by the following rule:</w:t>
            </w:r>
          </w:p>
          <w:p w14:paraId="15FECF02" w14:textId="77777777" w:rsidR="00827382" w:rsidRPr="00350202" w:rsidRDefault="00827382" w:rsidP="004C3F50">
            <w:pPr>
              <w:pStyle w:val="NormalBulleted"/>
            </w:pPr>
            <w:r w:rsidRPr="00350202">
              <w:t>100% for the item with the greatest Schedule fee</w:t>
            </w:r>
          </w:p>
          <w:p w14:paraId="6B584735" w14:textId="77777777" w:rsidR="00827382" w:rsidRPr="00350202" w:rsidRDefault="00827382" w:rsidP="004C3F50">
            <w:pPr>
              <w:pStyle w:val="NormalBulleted"/>
            </w:pPr>
            <w:r w:rsidRPr="00350202">
              <w:t>plus 50% for the item with the next greatest Schedule fee</w:t>
            </w:r>
          </w:p>
          <w:p w14:paraId="34B0A109" w14:textId="77777777" w:rsidR="00827382" w:rsidRPr="00350202" w:rsidRDefault="00827382" w:rsidP="004C3F50">
            <w:pPr>
              <w:pStyle w:val="NormalBulleted"/>
              <w:rPr>
                <w:rFonts w:ascii="Arial" w:hAnsi="Arial"/>
              </w:rPr>
            </w:pPr>
            <w:r w:rsidRPr="00350202">
              <w:t>plus 25% for each other item.</w:t>
            </w:r>
          </w:p>
        </w:tc>
      </w:tr>
      <w:tr w:rsidR="00827382" w:rsidRPr="00350202" w14:paraId="0AE9A472" w14:textId="77777777" w:rsidTr="00350202">
        <w:tc>
          <w:tcPr>
            <w:tcW w:w="2802" w:type="dxa"/>
          </w:tcPr>
          <w:p w14:paraId="6B5D619F" w14:textId="77777777" w:rsidR="00827382" w:rsidRPr="006775B1" w:rsidRDefault="00827382" w:rsidP="006775B1">
            <w:pPr>
              <w:pStyle w:val="Tabletext"/>
              <w:rPr>
                <w:b/>
              </w:rPr>
            </w:pPr>
            <w:r w:rsidRPr="006775B1">
              <w:rPr>
                <w:b/>
              </w:rPr>
              <w:t>Multiple services rules (diagnostic imaging)</w:t>
            </w:r>
          </w:p>
        </w:tc>
        <w:tc>
          <w:tcPr>
            <w:tcW w:w="6440" w:type="dxa"/>
          </w:tcPr>
          <w:p w14:paraId="7877118F" w14:textId="77777777" w:rsidR="00827382" w:rsidRPr="00350202" w:rsidRDefault="00827382" w:rsidP="00DA5B19">
            <w:pPr>
              <w:pStyle w:val="Tabletext"/>
              <w:rPr>
                <w:rFonts w:ascii="Arial" w:hAnsi="Arial"/>
              </w:rPr>
            </w:pPr>
            <w:r w:rsidRPr="00350202">
              <w:t>A set of rules governing the amount of Medicare benefit payable for multiple diagnostic imaging services provided to a patient at the same attendance (same day). See MBS Explanatory Note DIJ for more information.</w:t>
            </w:r>
          </w:p>
        </w:tc>
      </w:tr>
      <w:tr w:rsidR="00827382" w:rsidRPr="00350202" w14:paraId="4A55FE65" w14:textId="77777777" w:rsidTr="00350202">
        <w:tc>
          <w:tcPr>
            <w:tcW w:w="2802" w:type="dxa"/>
          </w:tcPr>
          <w:p w14:paraId="405668E1" w14:textId="77777777" w:rsidR="00827382" w:rsidRPr="006775B1" w:rsidRDefault="00827382" w:rsidP="006775B1">
            <w:pPr>
              <w:pStyle w:val="Tabletext"/>
              <w:rPr>
                <w:rFonts w:ascii="Arial" w:hAnsi="Arial"/>
                <w:b/>
              </w:rPr>
            </w:pPr>
            <w:r w:rsidRPr="006775B1">
              <w:rPr>
                <w:rFonts w:eastAsiaTheme="minorHAnsi"/>
                <w:b/>
                <w:lang w:eastAsia="en-US"/>
              </w:rPr>
              <w:t>Obsolete services</w:t>
            </w:r>
          </w:p>
        </w:tc>
        <w:tc>
          <w:tcPr>
            <w:tcW w:w="6440" w:type="dxa"/>
          </w:tcPr>
          <w:p w14:paraId="4E0253CF" w14:textId="77777777" w:rsidR="00827382" w:rsidRPr="00350202" w:rsidRDefault="00827382" w:rsidP="00DA5B19">
            <w:pPr>
              <w:pStyle w:val="Tabletext"/>
              <w:rPr>
                <w:rFonts w:ascii="Arial" w:hAnsi="Arial"/>
              </w:rPr>
            </w:pPr>
            <w:r w:rsidRPr="00350202">
              <w:t>Services that should no longer be performed as they do not represent current clinical best practice and have been superseded by superior tests or procedures.</w:t>
            </w:r>
          </w:p>
        </w:tc>
      </w:tr>
      <w:tr w:rsidR="00827382" w:rsidRPr="00350202" w14:paraId="2069351E" w14:textId="77777777" w:rsidTr="00350202">
        <w:tc>
          <w:tcPr>
            <w:tcW w:w="2802" w:type="dxa"/>
          </w:tcPr>
          <w:p w14:paraId="600D4C7F" w14:textId="77777777" w:rsidR="00827382" w:rsidRPr="006775B1" w:rsidRDefault="00827382" w:rsidP="006775B1">
            <w:pPr>
              <w:pStyle w:val="Tabletext"/>
              <w:rPr>
                <w:rFonts w:ascii="Arial" w:hAnsi="Arial"/>
                <w:b/>
              </w:rPr>
            </w:pPr>
            <w:r w:rsidRPr="006775B1">
              <w:rPr>
                <w:b/>
              </w:rPr>
              <w:t>Pathology episode coning</w:t>
            </w:r>
          </w:p>
        </w:tc>
        <w:tc>
          <w:tcPr>
            <w:tcW w:w="6440" w:type="dxa"/>
          </w:tcPr>
          <w:p w14:paraId="793C7BE0" w14:textId="77777777" w:rsidR="00827382" w:rsidRPr="00350202" w:rsidRDefault="00827382" w:rsidP="00DA5B19">
            <w:pPr>
              <w:pStyle w:val="Tabletext"/>
              <w:rPr>
                <w:rFonts w:ascii="Arial" w:hAnsi="Arial"/>
              </w:rPr>
            </w:pPr>
            <w:r w:rsidRPr="00350202">
              <w:t>An arrangement governing the amount of Medicare benefit payable for multiple pathology services performed in a single patient episode. When more than three pathology services are requested by a general practitioner in a patient episode, the benefits payable are equivalent to the sum of the benefits for the three items with the highest Schedule fees.</w:t>
            </w:r>
          </w:p>
        </w:tc>
      </w:tr>
      <w:tr w:rsidR="00827382" w:rsidRPr="00350202" w14:paraId="409C0366" w14:textId="77777777" w:rsidTr="00350202">
        <w:tc>
          <w:tcPr>
            <w:tcW w:w="2802" w:type="dxa"/>
          </w:tcPr>
          <w:p w14:paraId="7F27735F" w14:textId="77777777" w:rsidR="00827382" w:rsidRPr="006775B1" w:rsidRDefault="00827382" w:rsidP="006775B1">
            <w:pPr>
              <w:pStyle w:val="Tabletext"/>
              <w:rPr>
                <w:b/>
              </w:rPr>
            </w:pPr>
            <w:r w:rsidRPr="006775B1">
              <w:rPr>
                <w:b/>
              </w:rPr>
              <w:t>PBS</w:t>
            </w:r>
          </w:p>
        </w:tc>
        <w:tc>
          <w:tcPr>
            <w:tcW w:w="6440" w:type="dxa"/>
          </w:tcPr>
          <w:p w14:paraId="2781FB8C" w14:textId="77777777" w:rsidR="00827382" w:rsidRPr="00350202" w:rsidRDefault="00827382" w:rsidP="00DA5B19">
            <w:pPr>
              <w:pStyle w:val="Tabletext"/>
              <w:rPr>
                <w:b/>
              </w:rPr>
            </w:pPr>
            <w:r w:rsidRPr="00350202">
              <w:t>Pharmaceutical Benefits Scheme</w:t>
            </w:r>
          </w:p>
        </w:tc>
      </w:tr>
    </w:tbl>
    <w:p w14:paraId="3C3B3C38" w14:textId="77777777" w:rsidR="00E2464D" w:rsidRPr="0099709F" w:rsidRDefault="00E2464D" w:rsidP="0099709F">
      <w:pPr>
        <w:pStyle w:val="AppendixStyle1"/>
        <w:sectPr w:rsidR="00E2464D" w:rsidRPr="0099709F" w:rsidSect="004F5FA8">
          <w:endnotePr>
            <w:numFmt w:val="decimal"/>
          </w:endnotePr>
          <w:pgSz w:w="11906" w:h="16838" w:code="9"/>
          <w:pgMar w:top="1021" w:right="1440" w:bottom="1021" w:left="1440" w:header="567" w:footer="567" w:gutter="0"/>
          <w:paperSrc w:first="2" w:other="2"/>
          <w:cols w:space="720"/>
          <w:docGrid w:linePitch="326"/>
        </w:sectPr>
      </w:pPr>
    </w:p>
    <w:p w14:paraId="4781F3DB" w14:textId="77777777" w:rsidR="00F85147" w:rsidRDefault="00F85147" w:rsidP="0071472F">
      <w:pPr>
        <w:pStyle w:val="AppendixStyle1"/>
      </w:pPr>
      <w:bookmarkStart w:id="298" w:name="_Toc457053442"/>
      <w:bookmarkStart w:id="299" w:name="_Toc458510019"/>
      <w:bookmarkStart w:id="300" w:name="_Toc458768487"/>
      <w:bookmarkStart w:id="301" w:name="_Toc458768667"/>
      <w:bookmarkStart w:id="302" w:name="_Toc478721528"/>
      <w:r w:rsidRPr="00606186">
        <w:lastRenderedPageBreak/>
        <w:t>MBS items, Descriptors and Explanatory Notes</w:t>
      </w:r>
      <w:bookmarkEnd w:id="298"/>
      <w:bookmarkEnd w:id="299"/>
      <w:bookmarkEnd w:id="300"/>
      <w:bookmarkEnd w:id="301"/>
      <w:bookmarkEnd w:id="302"/>
    </w:p>
    <w:p w14:paraId="5F74E549" w14:textId="77777777" w:rsidR="003F2A67" w:rsidRDefault="003F2A67" w:rsidP="00253B22">
      <w:pPr>
        <w:pStyle w:val="Heading2a"/>
      </w:pPr>
      <w:bookmarkStart w:id="303" w:name="_Toc458510020"/>
      <w:r>
        <w:t xml:space="preserve">Respiratory </w:t>
      </w:r>
      <w:r w:rsidRPr="00253B22">
        <w:t>function</w:t>
      </w:r>
      <w:r>
        <w:t xml:space="preserve"> tests</w:t>
      </w:r>
      <w:bookmarkEnd w:id="303"/>
    </w:p>
    <w:p w14:paraId="228CFB5C" w14:textId="77777777" w:rsidR="00137205" w:rsidRDefault="00DD77BD" w:rsidP="00DD77BD">
      <w:pPr>
        <w:pStyle w:val="Heading3a"/>
      </w:pPr>
      <w:bookmarkStart w:id="304" w:name="_Toc458768488"/>
      <w:r>
        <w:t>115</w:t>
      </w:r>
      <w:r w:rsidRPr="00893447">
        <w:t>00</w:t>
      </w:r>
      <w:bookmarkEnd w:id="304"/>
      <w:r w:rsidRPr="00DD77BD">
        <w:t xml:space="preserve"> </w:t>
      </w:r>
    </w:p>
    <w:p w14:paraId="1593CA19" w14:textId="77777777" w:rsidR="00DD77BD" w:rsidRDefault="00DD77BD" w:rsidP="00137205">
      <w:r w:rsidRPr="00DD77BD">
        <w:t>BRONCHOSPIROMETRY</w:t>
      </w:r>
      <w:r w:rsidRPr="00A73C80">
        <w:t>, including gas analysis</w:t>
      </w:r>
    </w:p>
    <w:p w14:paraId="61BCD41B" w14:textId="77777777" w:rsidR="00DD77BD" w:rsidRDefault="00DD77BD" w:rsidP="00DD77BD">
      <w:pPr>
        <w:rPr>
          <w:rFonts w:cstheme="minorHAnsi"/>
          <w:szCs w:val="22"/>
        </w:rPr>
      </w:pPr>
      <w:r w:rsidRPr="00A73C80">
        <w:rPr>
          <w:rFonts w:cstheme="minorHAnsi"/>
          <w:b/>
          <w:szCs w:val="22"/>
        </w:rPr>
        <w:t>Fee:</w:t>
      </w:r>
      <w:r w:rsidRPr="00A73C80">
        <w:rPr>
          <w:rFonts w:cstheme="minorHAnsi"/>
          <w:szCs w:val="22"/>
        </w:rPr>
        <w:t xml:space="preserve"> $167.00</w:t>
      </w:r>
    </w:p>
    <w:p w14:paraId="24220466" w14:textId="77777777" w:rsidR="00DD77BD" w:rsidRDefault="00DD77BD" w:rsidP="00DD77BD">
      <w:pPr>
        <w:rPr>
          <w:rFonts w:cstheme="minorHAnsi"/>
          <w:szCs w:val="22"/>
        </w:rPr>
      </w:pPr>
      <w:r w:rsidRPr="00A73C80">
        <w:rPr>
          <w:rFonts w:cstheme="minorHAnsi"/>
          <w:b/>
          <w:szCs w:val="22"/>
        </w:rPr>
        <w:t>Benefit:</w:t>
      </w:r>
      <w:r w:rsidRPr="00A73C80">
        <w:rPr>
          <w:rFonts w:cstheme="minorHAnsi"/>
          <w:szCs w:val="22"/>
        </w:rPr>
        <w:t xml:space="preserve"> 75% = $125.25</w:t>
      </w:r>
      <w:r>
        <w:rPr>
          <w:rFonts w:cstheme="minorHAnsi"/>
          <w:szCs w:val="22"/>
        </w:rPr>
        <w:t xml:space="preserve">; </w:t>
      </w:r>
      <w:r w:rsidRPr="00A73C80">
        <w:rPr>
          <w:rFonts w:cstheme="minorHAnsi"/>
          <w:szCs w:val="22"/>
        </w:rPr>
        <w:t>85% = $141.95</w:t>
      </w:r>
    </w:p>
    <w:p w14:paraId="480F88CF" w14:textId="77777777" w:rsidR="00DD77BD" w:rsidRDefault="00DD77BD" w:rsidP="00DD77BD">
      <w:pPr>
        <w:pStyle w:val="Heading3a"/>
        <w:rPr>
          <w:rFonts w:cstheme="minorHAnsi"/>
          <w:szCs w:val="22"/>
        </w:rPr>
      </w:pPr>
      <w:bookmarkStart w:id="305" w:name="_Toc458768489"/>
      <w:r>
        <w:t>11503</w:t>
      </w:r>
      <w:bookmarkEnd w:id="305"/>
    </w:p>
    <w:p w14:paraId="1700392E" w14:textId="77777777" w:rsidR="00DD77BD" w:rsidRPr="00A73C80" w:rsidRDefault="00DD77BD" w:rsidP="00137205">
      <w:r w:rsidRPr="00A73C80">
        <w:t>Measurement of the:</w:t>
      </w:r>
    </w:p>
    <w:p w14:paraId="7E9E543A" w14:textId="77777777" w:rsidR="00DD77BD" w:rsidRPr="00A73C80" w:rsidRDefault="00DD77BD" w:rsidP="00137205">
      <w:pPr>
        <w:pStyle w:val="NormalBulleteda"/>
      </w:pPr>
      <w:r w:rsidRPr="00A73C80">
        <w:t xml:space="preserve">(a) mechanical or gas exchange function of the respiratory system; or </w:t>
      </w:r>
    </w:p>
    <w:p w14:paraId="1B122FF5" w14:textId="77777777" w:rsidR="00DD77BD" w:rsidRPr="00A73C80" w:rsidRDefault="00DD77BD" w:rsidP="00137205">
      <w:pPr>
        <w:pStyle w:val="NormalBulleteda"/>
      </w:pPr>
      <w:r w:rsidRPr="00A73C80">
        <w:t xml:space="preserve">(b) respiratory muscle function; or </w:t>
      </w:r>
    </w:p>
    <w:p w14:paraId="23C67949" w14:textId="77777777" w:rsidR="00DD77BD" w:rsidRPr="00A73C80" w:rsidRDefault="00DD77BD" w:rsidP="00137205">
      <w:pPr>
        <w:pStyle w:val="NormalBulleteda"/>
      </w:pPr>
      <w:r w:rsidRPr="00A73C80">
        <w:t>(c) ventilatory control mechanisms.</w:t>
      </w:r>
    </w:p>
    <w:p w14:paraId="1027B09A" w14:textId="77777777" w:rsidR="00DD77BD" w:rsidRPr="00A73C80" w:rsidRDefault="00DD77BD" w:rsidP="00137205">
      <w:r w:rsidRPr="00A73C80">
        <w:t xml:space="preserve">Various measurement parameters may be used including any of the following: </w:t>
      </w:r>
    </w:p>
    <w:p w14:paraId="5DAEB792" w14:textId="77777777" w:rsidR="00DD77BD" w:rsidRPr="00A73C80" w:rsidRDefault="00DD77BD" w:rsidP="00137205">
      <w:pPr>
        <w:pStyle w:val="NormalBulleteda"/>
      </w:pPr>
      <w:r w:rsidRPr="00A73C80">
        <w:t xml:space="preserve">(a) pressures; </w:t>
      </w:r>
    </w:p>
    <w:p w14:paraId="12C53BA7" w14:textId="77777777" w:rsidR="00DD77BD" w:rsidRPr="00A73C80" w:rsidRDefault="00DD77BD" w:rsidP="00137205">
      <w:pPr>
        <w:pStyle w:val="NormalBulleteda"/>
      </w:pPr>
      <w:r w:rsidRPr="00A73C80">
        <w:t xml:space="preserve">(b) volumes; </w:t>
      </w:r>
    </w:p>
    <w:p w14:paraId="338E2074" w14:textId="77777777" w:rsidR="00DD77BD" w:rsidRPr="00A73C80" w:rsidRDefault="00DD77BD" w:rsidP="00137205">
      <w:pPr>
        <w:pStyle w:val="NormalBulleteda"/>
      </w:pPr>
      <w:r w:rsidRPr="00A73C80">
        <w:t xml:space="preserve">(c) flow; </w:t>
      </w:r>
    </w:p>
    <w:p w14:paraId="6E7FD11D" w14:textId="77777777" w:rsidR="00DD77BD" w:rsidRPr="00A73C80" w:rsidRDefault="00DD77BD" w:rsidP="00137205">
      <w:pPr>
        <w:pStyle w:val="NormalBulleteda"/>
      </w:pPr>
      <w:r w:rsidRPr="00A73C80">
        <w:t xml:space="preserve">(d) gas concentrations in inspired or expired air; </w:t>
      </w:r>
    </w:p>
    <w:p w14:paraId="3886309C" w14:textId="77777777" w:rsidR="00DD77BD" w:rsidRPr="00A73C80" w:rsidRDefault="00DD77BD" w:rsidP="00137205">
      <w:pPr>
        <w:pStyle w:val="NormalBulleteda"/>
      </w:pPr>
      <w:r w:rsidRPr="00A73C80">
        <w:t xml:space="preserve">(e) alveolar gas or blood; </w:t>
      </w:r>
    </w:p>
    <w:p w14:paraId="0F0399E1" w14:textId="77777777" w:rsidR="00DD77BD" w:rsidRPr="00A73C80" w:rsidRDefault="00DD77BD" w:rsidP="00137205">
      <w:pPr>
        <w:pStyle w:val="NormalBulleteda"/>
      </w:pPr>
      <w:r w:rsidRPr="00A73C80">
        <w:t xml:space="preserve">(f) electrical activity of muscles. </w:t>
      </w:r>
    </w:p>
    <w:p w14:paraId="183311FA" w14:textId="77777777" w:rsidR="00DD77BD" w:rsidRPr="00A73C80" w:rsidRDefault="00DD77BD" w:rsidP="00137205">
      <w:r w:rsidRPr="00A73C80">
        <w:t>The tests being performed under the supervision of a specialist or consultant physician or in the respiratory laboratory of a hospital. Each occasion at which 1 or more such tests are performed, not being a service associated with a service to which item 22018 applies.</w:t>
      </w:r>
    </w:p>
    <w:p w14:paraId="7A455100" w14:textId="77777777" w:rsidR="00DD77BD" w:rsidRPr="00A403FC" w:rsidRDefault="00DD77BD" w:rsidP="00DD77BD">
      <w:pPr>
        <w:spacing w:before="20" w:after="20" w:line="240" w:lineRule="auto"/>
        <w:rPr>
          <w:i/>
        </w:rPr>
      </w:pPr>
      <w:r w:rsidRPr="00A403FC">
        <w:rPr>
          <w:i/>
        </w:rPr>
        <w:t>(See para D1.14 of explanatory notes to this Category)</w:t>
      </w:r>
    </w:p>
    <w:p w14:paraId="50415B25" w14:textId="77777777" w:rsidR="00137205" w:rsidRDefault="00DD77BD" w:rsidP="00DD77BD">
      <w:pPr>
        <w:rPr>
          <w:rFonts w:cstheme="minorHAnsi"/>
          <w:szCs w:val="22"/>
        </w:rPr>
      </w:pPr>
      <w:r w:rsidRPr="00A73C80">
        <w:rPr>
          <w:rFonts w:cstheme="minorHAnsi"/>
          <w:b/>
          <w:szCs w:val="22"/>
        </w:rPr>
        <w:t>Fee:</w:t>
      </w:r>
      <w:r w:rsidRPr="00A73C80">
        <w:rPr>
          <w:rFonts w:cstheme="minorHAnsi"/>
          <w:szCs w:val="22"/>
        </w:rPr>
        <w:t xml:space="preserve"> $138.65</w:t>
      </w:r>
    </w:p>
    <w:p w14:paraId="765274E0" w14:textId="77777777" w:rsidR="00DD77BD" w:rsidRDefault="00DD77BD" w:rsidP="00DD77BD">
      <w:pPr>
        <w:rPr>
          <w:rFonts w:cstheme="minorHAnsi"/>
          <w:szCs w:val="22"/>
        </w:rPr>
      </w:pPr>
      <w:r w:rsidRPr="00A73C80">
        <w:rPr>
          <w:rFonts w:cstheme="minorHAnsi"/>
          <w:b/>
          <w:szCs w:val="22"/>
        </w:rPr>
        <w:t>Benefit:</w:t>
      </w:r>
      <w:r w:rsidRPr="00A73C80">
        <w:rPr>
          <w:rFonts w:cstheme="minorHAnsi"/>
          <w:szCs w:val="22"/>
        </w:rPr>
        <w:t xml:space="preserve"> 75% = $104.00</w:t>
      </w:r>
      <w:r w:rsidR="00137205">
        <w:rPr>
          <w:rFonts w:cstheme="minorHAnsi"/>
          <w:szCs w:val="22"/>
        </w:rPr>
        <w:t xml:space="preserve">; </w:t>
      </w:r>
      <w:r w:rsidRPr="00A73C80">
        <w:rPr>
          <w:rFonts w:cstheme="minorHAnsi"/>
          <w:szCs w:val="22"/>
        </w:rPr>
        <w:t>85% = $117.90</w:t>
      </w:r>
    </w:p>
    <w:p w14:paraId="545ABECB" w14:textId="77777777" w:rsidR="00137205" w:rsidRDefault="00137205" w:rsidP="00137205">
      <w:pPr>
        <w:pStyle w:val="Heading4"/>
        <w:rPr>
          <w:rStyle w:val="IntenseReference"/>
          <w:b w:val="0"/>
          <w:bCs/>
          <w:i/>
          <w:smallCaps w:val="0"/>
          <w:color w:val="B56012"/>
          <w:spacing w:val="0"/>
        </w:rPr>
      </w:pPr>
      <w:r w:rsidRPr="003D2E37">
        <w:rPr>
          <w:rStyle w:val="IntenseReference"/>
          <w:b w:val="0"/>
          <w:bCs/>
          <w:i/>
          <w:smallCaps w:val="0"/>
          <w:color w:val="B56012"/>
          <w:spacing w:val="0"/>
        </w:rPr>
        <w:t>Explanatory note for Respiratory Function Test Item 11503</w:t>
      </w:r>
    </w:p>
    <w:p w14:paraId="385650AE" w14:textId="77777777" w:rsidR="00137205" w:rsidRPr="001A1859" w:rsidRDefault="00137205" w:rsidP="00137205">
      <w:pPr>
        <w:rPr>
          <w:rFonts w:eastAsiaTheme="minorHAnsi"/>
        </w:rPr>
      </w:pPr>
      <w:bookmarkStart w:id="306" w:name="_Toc449077739"/>
      <w:r w:rsidRPr="001A1859">
        <w:rPr>
          <w:rFonts w:eastAsiaTheme="minorHAnsi"/>
        </w:rPr>
        <w:t>D.1.14.</w:t>
      </w:r>
      <w:bookmarkEnd w:id="306"/>
    </w:p>
    <w:p w14:paraId="6262025E" w14:textId="77777777" w:rsidR="00137205" w:rsidRPr="001A1859" w:rsidRDefault="00137205" w:rsidP="00137205">
      <w:pPr>
        <w:rPr>
          <w:rFonts w:eastAsiaTheme="minorHAnsi"/>
        </w:rPr>
      </w:pPr>
      <w:r w:rsidRPr="001A1859">
        <w:rPr>
          <w:rFonts w:eastAsiaTheme="minorHAnsi"/>
        </w:rPr>
        <w:t>The investigations listed hereunder would attract benefits under Item 11503. This list has been prepared in consultation with the Thoracic Society of Australia and New Zealand.</w:t>
      </w:r>
    </w:p>
    <w:p w14:paraId="6501C436" w14:textId="77777777" w:rsidR="00137205" w:rsidRPr="003D2E37" w:rsidRDefault="00137205" w:rsidP="00137205">
      <w:pPr>
        <w:pStyle w:val="NormalBulleteda"/>
        <w:rPr>
          <w:rFonts w:eastAsiaTheme="minorHAnsi"/>
        </w:rPr>
      </w:pPr>
      <w:r>
        <w:rPr>
          <w:rFonts w:eastAsiaTheme="minorHAnsi"/>
        </w:rPr>
        <w:t>(a)</w:t>
      </w:r>
      <w:r>
        <w:rPr>
          <w:rFonts w:eastAsiaTheme="minorHAnsi"/>
        </w:rPr>
        <w:tab/>
      </w:r>
      <w:r w:rsidRPr="003D2E37">
        <w:rPr>
          <w:rFonts w:eastAsiaTheme="minorHAnsi"/>
        </w:rPr>
        <w:t>Carbon monoxide diffusing capacity by any method</w:t>
      </w:r>
    </w:p>
    <w:p w14:paraId="0FD13352" w14:textId="77777777" w:rsidR="00137205" w:rsidRPr="003D2E37" w:rsidRDefault="00137205" w:rsidP="00137205">
      <w:pPr>
        <w:pStyle w:val="NormalBulleteda"/>
        <w:rPr>
          <w:rFonts w:eastAsiaTheme="minorHAnsi"/>
        </w:rPr>
      </w:pPr>
      <w:r>
        <w:rPr>
          <w:rFonts w:eastAsiaTheme="minorHAnsi"/>
        </w:rPr>
        <w:t>(b)</w:t>
      </w:r>
      <w:r>
        <w:rPr>
          <w:rFonts w:eastAsiaTheme="minorHAnsi"/>
        </w:rPr>
        <w:tab/>
      </w:r>
      <w:r w:rsidRPr="003D2E37">
        <w:rPr>
          <w:rFonts w:eastAsiaTheme="minorHAnsi"/>
        </w:rPr>
        <w:t>Absolute lung volumes by any method</w:t>
      </w:r>
    </w:p>
    <w:p w14:paraId="67AA9340" w14:textId="77777777" w:rsidR="00137205" w:rsidRPr="003D2E37" w:rsidRDefault="00137205" w:rsidP="00137205">
      <w:pPr>
        <w:pStyle w:val="NormalBulleteda"/>
        <w:rPr>
          <w:rFonts w:eastAsiaTheme="minorHAnsi"/>
        </w:rPr>
      </w:pPr>
      <w:r>
        <w:rPr>
          <w:rFonts w:eastAsiaTheme="minorHAnsi"/>
        </w:rPr>
        <w:lastRenderedPageBreak/>
        <w:t>(c)</w:t>
      </w:r>
      <w:r>
        <w:rPr>
          <w:rFonts w:eastAsiaTheme="minorHAnsi"/>
        </w:rPr>
        <w:tab/>
      </w:r>
      <w:r w:rsidRPr="003D2E37">
        <w:rPr>
          <w:rFonts w:eastAsiaTheme="minorHAnsi"/>
        </w:rPr>
        <w:t xml:space="preserve">Assessment of arterial carbon dioxide tension or cardiac output </w:t>
      </w:r>
      <w:r w:rsidRPr="003D2E37">
        <w:rPr>
          <w:rFonts w:eastAsiaTheme="minorHAnsi"/>
        </w:rPr>
        <w:noBreakHyphen/>
        <w:t xml:space="preserve"> re breathing method</w:t>
      </w:r>
    </w:p>
    <w:p w14:paraId="15DFDC83" w14:textId="77777777" w:rsidR="00137205" w:rsidRPr="003D2E37" w:rsidRDefault="00137205" w:rsidP="00137205">
      <w:pPr>
        <w:pStyle w:val="NormalBulleteda"/>
        <w:rPr>
          <w:rFonts w:eastAsiaTheme="minorHAnsi"/>
        </w:rPr>
      </w:pPr>
      <w:r>
        <w:rPr>
          <w:rFonts w:eastAsiaTheme="minorHAnsi"/>
        </w:rPr>
        <w:t>(d)</w:t>
      </w:r>
      <w:r>
        <w:rPr>
          <w:rFonts w:eastAsiaTheme="minorHAnsi"/>
        </w:rPr>
        <w:tab/>
      </w:r>
      <w:r w:rsidRPr="003D2E37">
        <w:rPr>
          <w:rFonts w:eastAsiaTheme="minorHAnsi"/>
        </w:rPr>
        <w:t>Assessment of pulmonary distensibility involving measurement of lung volumes and oesophageal pressure</w:t>
      </w:r>
    </w:p>
    <w:p w14:paraId="481B5466" w14:textId="77777777" w:rsidR="00137205" w:rsidRPr="003D2E37" w:rsidRDefault="00137205" w:rsidP="00137205">
      <w:pPr>
        <w:pStyle w:val="NormalBulleteda"/>
        <w:rPr>
          <w:rFonts w:eastAsiaTheme="minorHAnsi"/>
        </w:rPr>
      </w:pPr>
      <w:r>
        <w:rPr>
          <w:rFonts w:eastAsiaTheme="minorHAnsi"/>
        </w:rPr>
        <w:t>(e)</w:t>
      </w:r>
      <w:r>
        <w:rPr>
          <w:rFonts w:eastAsiaTheme="minorHAnsi"/>
        </w:rPr>
        <w:tab/>
      </w:r>
      <w:r w:rsidRPr="003D2E37">
        <w:rPr>
          <w:rFonts w:eastAsiaTheme="minorHAnsi"/>
        </w:rPr>
        <w:t>Measurement of airway or pulmonary resistance by any method</w:t>
      </w:r>
    </w:p>
    <w:p w14:paraId="5B81997B" w14:textId="77777777" w:rsidR="00137205" w:rsidRPr="003D2E37" w:rsidRDefault="00137205" w:rsidP="00137205">
      <w:pPr>
        <w:pStyle w:val="NormalBulleteda"/>
        <w:rPr>
          <w:rFonts w:eastAsiaTheme="minorHAnsi"/>
        </w:rPr>
      </w:pPr>
      <w:r>
        <w:rPr>
          <w:rFonts w:eastAsiaTheme="minorHAnsi"/>
        </w:rPr>
        <w:t>(f)</w:t>
      </w:r>
      <w:r>
        <w:rPr>
          <w:rFonts w:eastAsiaTheme="minorHAnsi"/>
        </w:rPr>
        <w:tab/>
      </w:r>
      <w:r w:rsidRPr="003D2E37">
        <w:rPr>
          <w:rFonts w:eastAsiaTheme="minorHAnsi"/>
        </w:rPr>
        <w:t>Measurement of respiratory muscle strength involving the measurement of trans</w:t>
      </w:r>
      <w:r w:rsidRPr="003D2E37">
        <w:rPr>
          <w:rFonts w:eastAsiaTheme="minorHAnsi"/>
        </w:rPr>
        <w:noBreakHyphen/>
        <w:t>diaphragmatic or oesophageal pressures</w:t>
      </w:r>
    </w:p>
    <w:p w14:paraId="15E9E804" w14:textId="77777777" w:rsidR="00137205" w:rsidRPr="003D2E37" w:rsidRDefault="00137205" w:rsidP="00137205">
      <w:pPr>
        <w:pStyle w:val="NormalBulleteda"/>
        <w:rPr>
          <w:rFonts w:eastAsiaTheme="minorHAnsi"/>
        </w:rPr>
      </w:pPr>
      <w:r>
        <w:rPr>
          <w:rFonts w:eastAsiaTheme="minorHAnsi"/>
        </w:rPr>
        <w:t>(g)</w:t>
      </w:r>
      <w:r>
        <w:rPr>
          <w:rFonts w:eastAsiaTheme="minorHAnsi"/>
        </w:rPr>
        <w:tab/>
      </w:r>
      <w:r w:rsidRPr="003D2E37">
        <w:rPr>
          <w:rFonts w:eastAsiaTheme="minorHAnsi"/>
        </w:rPr>
        <w:t>Assessment of phrenic nerve function involving percutaneous stimulation and measurement of the compound action potential of the diaphragm</w:t>
      </w:r>
    </w:p>
    <w:p w14:paraId="49769D3F" w14:textId="77777777" w:rsidR="00137205" w:rsidRPr="003D2E37" w:rsidRDefault="00137205" w:rsidP="00137205">
      <w:pPr>
        <w:pStyle w:val="NormalBulleteda"/>
        <w:rPr>
          <w:rFonts w:eastAsiaTheme="minorHAnsi"/>
        </w:rPr>
      </w:pPr>
      <w:r>
        <w:rPr>
          <w:rFonts w:eastAsiaTheme="minorHAnsi"/>
        </w:rPr>
        <w:t>(h)</w:t>
      </w:r>
      <w:r>
        <w:rPr>
          <w:rFonts w:eastAsiaTheme="minorHAnsi"/>
        </w:rPr>
        <w:tab/>
      </w:r>
      <w:r w:rsidRPr="003D2E37">
        <w:rPr>
          <w:rFonts w:eastAsiaTheme="minorHAnsi"/>
        </w:rPr>
        <w:t>Measurement of the resistance of the anterior nares or pharynx</w:t>
      </w:r>
    </w:p>
    <w:p w14:paraId="667B51C7" w14:textId="77777777" w:rsidR="00137205" w:rsidRPr="003D2E37" w:rsidRDefault="00137205" w:rsidP="00137205">
      <w:pPr>
        <w:pStyle w:val="NormalBulleteda"/>
        <w:rPr>
          <w:rFonts w:eastAsiaTheme="minorHAnsi"/>
        </w:rPr>
      </w:pPr>
      <w:r>
        <w:rPr>
          <w:rFonts w:eastAsiaTheme="minorHAnsi"/>
        </w:rPr>
        <w:t>(i)</w:t>
      </w:r>
      <w:r>
        <w:rPr>
          <w:rFonts w:eastAsiaTheme="minorHAnsi"/>
        </w:rPr>
        <w:tab/>
      </w:r>
      <w:r w:rsidRPr="003D2E37">
        <w:rPr>
          <w:rFonts w:eastAsiaTheme="minorHAnsi"/>
        </w:rPr>
        <w:t>Inhalation provocation testing, including pre</w:t>
      </w:r>
      <w:r w:rsidRPr="003D2E37">
        <w:rPr>
          <w:rFonts w:eastAsiaTheme="minorHAnsi"/>
        </w:rPr>
        <w:noBreakHyphen/>
        <w:t>provocation spirometry, the construction of a dose response curve, using histamine, cholinergic agents, non</w:t>
      </w:r>
      <w:r w:rsidRPr="003D2E37">
        <w:rPr>
          <w:rFonts w:eastAsiaTheme="minorHAnsi"/>
        </w:rPr>
        <w:noBreakHyphen/>
        <w:t>isotonic fluids or powder and post</w:t>
      </w:r>
      <w:r w:rsidRPr="003D2E37">
        <w:rPr>
          <w:rFonts w:eastAsiaTheme="minorHAnsi"/>
        </w:rPr>
        <w:noBreakHyphen/>
        <w:t>bronchodilator spirometry</w:t>
      </w:r>
    </w:p>
    <w:p w14:paraId="23FD1B9B" w14:textId="77777777" w:rsidR="00137205" w:rsidRPr="003D2E37" w:rsidRDefault="00137205" w:rsidP="00137205">
      <w:pPr>
        <w:pStyle w:val="NormalBulleteda"/>
        <w:rPr>
          <w:rFonts w:eastAsiaTheme="minorHAnsi"/>
        </w:rPr>
      </w:pPr>
      <w:r>
        <w:rPr>
          <w:rFonts w:eastAsiaTheme="minorHAnsi"/>
        </w:rPr>
        <w:t>(j)</w:t>
      </w:r>
      <w:r>
        <w:rPr>
          <w:rFonts w:eastAsiaTheme="minorHAnsi"/>
        </w:rPr>
        <w:tab/>
      </w:r>
      <w:r w:rsidRPr="003D2E37">
        <w:rPr>
          <w:rFonts w:eastAsiaTheme="minorHAnsi"/>
        </w:rPr>
        <w:t>Exercise testing using incremental workloads with monitoring of ventilatory and cardiac responses at rest, during exercise and recovery on premises equipped with a mechanical ventilator and defibrillator</w:t>
      </w:r>
    </w:p>
    <w:p w14:paraId="4018DAC2" w14:textId="77777777" w:rsidR="00137205" w:rsidRPr="003D2E37" w:rsidRDefault="00137205" w:rsidP="00137205">
      <w:pPr>
        <w:pStyle w:val="NormalBulleteda"/>
        <w:rPr>
          <w:rFonts w:eastAsiaTheme="minorHAnsi"/>
        </w:rPr>
      </w:pPr>
      <w:r>
        <w:rPr>
          <w:rFonts w:eastAsiaTheme="minorHAnsi"/>
        </w:rPr>
        <w:t>(k)</w:t>
      </w:r>
      <w:r>
        <w:rPr>
          <w:rFonts w:eastAsiaTheme="minorHAnsi"/>
        </w:rPr>
        <w:tab/>
      </w:r>
      <w:r w:rsidRPr="003D2E37">
        <w:rPr>
          <w:rFonts w:eastAsiaTheme="minorHAnsi"/>
        </w:rPr>
        <w:t>Tests of distribution of ventilation involving inhalation of inert gases</w:t>
      </w:r>
    </w:p>
    <w:p w14:paraId="148D08F7" w14:textId="77777777" w:rsidR="00137205" w:rsidRPr="003D2E37" w:rsidRDefault="00137205" w:rsidP="00137205">
      <w:pPr>
        <w:pStyle w:val="NormalBulleteda"/>
        <w:rPr>
          <w:rFonts w:eastAsiaTheme="minorHAnsi"/>
        </w:rPr>
      </w:pPr>
      <w:r>
        <w:rPr>
          <w:rFonts w:eastAsiaTheme="minorHAnsi"/>
        </w:rPr>
        <w:t>(l)</w:t>
      </w:r>
      <w:r>
        <w:rPr>
          <w:rFonts w:eastAsiaTheme="minorHAnsi"/>
        </w:rPr>
        <w:tab/>
      </w:r>
      <w:r w:rsidRPr="003D2E37">
        <w:rPr>
          <w:rFonts w:eastAsiaTheme="minorHAnsi"/>
        </w:rPr>
        <w:t>Measurement of gas exchange involving simultaneous collection of arterial blood and expired air with measurements of the partial pressures of oxygen and carbon dioxide in gas and blood</w:t>
      </w:r>
    </w:p>
    <w:p w14:paraId="019D9FF6" w14:textId="77777777" w:rsidR="00137205" w:rsidRPr="003D2E37" w:rsidRDefault="00137205" w:rsidP="00137205">
      <w:pPr>
        <w:pStyle w:val="NormalBulleteda"/>
        <w:rPr>
          <w:rFonts w:eastAsiaTheme="minorHAnsi"/>
        </w:rPr>
      </w:pPr>
      <w:r>
        <w:rPr>
          <w:rFonts w:eastAsiaTheme="minorHAnsi"/>
        </w:rPr>
        <w:t>(m)</w:t>
      </w:r>
      <w:r>
        <w:rPr>
          <w:rFonts w:eastAsiaTheme="minorHAnsi"/>
        </w:rPr>
        <w:tab/>
      </w:r>
      <w:r w:rsidRPr="003D2E37">
        <w:rPr>
          <w:rFonts w:eastAsiaTheme="minorHAnsi"/>
        </w:rPr>
        <w:t>Multiple inert gas elimination techniques for measuring ventilation perfusion ratios in the lung</w:t>
      </w:r>
    </w:p>
    <w:p w14:paraId="170E44A3" w14:textId="77777777" w:rsidR="00137205" w:rsidRPr="003D2E37" w:rsidRDefault="00137205" w:rsidP="00137205">
      <w:pPr>
        <w:pStyle w:val="NormalBulleteda"/>
        <w:rPr>
          <w:rFonts w:eastAsiaTheme="minorHAnsi"/>
        </w:rPr>
      </w:pPr>
      <w:r>
        <w:rPr>
          <w:rFonts w:eastAsiaTheme="minorHAnsi"/>
        </w:rPr>
        <w:t>(n)</w:t>
      </w:r>
      <w:r>
        <w:rPr>
          <w:rFonts w:eastAsiaTheme="minorHAnsi"/>
        </w:rPr>
        <w:tab/>
      </w:r>
      <w:r w:rsidRPr="003D2E37">
        <w:rPr>
          <w:rFonts w:eastAsiaTheme="minorHAnsi"/>
        </w:rPr>
        <w:t>Continuous monitoring of pulmonary function other than spirometry, tidal breathing and minute ventilation, of at least 6 hours duration</w:t>
      </w:r>
    </w:p>
    <w:p w14:paraId="196BD166" w14:textId="77777777" w:rsidR="00137205" w:rsidRPr="003D2E37" w:rsidRDefault="00137205" w:rsidP="00137205">
      <w:pPr>
        <w:pStyle w:val="NormalBulleteda"/>
        <w:rPr>
          <w:rFonts w:eastAsiaTheme="minorHAnsi"/>
        </w:rPr>
      </w:pPr>
      <w:r>
        <w:rPr>
          <w:rFonts w:eastAsiaTheme="minorHAnsi"/>
        </w:rPr>
        <w:t>(o)</w:t>
      </w:r>
      <w:r>
        <w:rPr>
          <w:rFonts w:eastAsiaTheme="minorHAnsi"/>
        </w:rPr>
        <w:tab/>
      </w:r>
      <w:r w:rsidRPr="003D2E37">
        <w:rPr>
          <w:rFonts w:eastAsiaTheme="minorHAnsi"/>
        </w:rPr>
        <w:t>Ventilatory and/or occlusion pressure responses to progressive hypercapnia and progressive hypoxia</w:t>
      </w:r>
    </w:p>
    <w:p w14:paraId="584CED2A" w14:textId="77777777" w:rsidR="00137205" w:rsidRPr="003D2E37" w:rsidRDefault="00137205" w:rsidP="00137205">
      <w:pPr>
        <w:pStyle w:val="NormalBulleteda"/>
        <w:rPr>
          <w:rFonts w:eastAsiaTheme="minorHAnsi"/>
        </w:rPr>
      </w:pPr>
      <w:r>
        <w:rPr>
          <w:rFonts w:eastAsiaTheme="minorHAnsi"/>
        </w:rPr>
        <w:t>(p)</w:t>
      </w:r>
      <w:r>
        <w:rPr>
          <w:rFonts w:eastAsiaTheme="minorHAnsi"/>
        </w:rPr>
        <w:tab/>
      </w:r>
      <w:r w:rsidRPr="003D2E37">
        <w:rPr>
          <w:rFonts w:eastAsiaTheme="minorHAnsi"/>
        </w:rPr>
        <w:t>Monitoring pulmonary arterial pressure at rest or during exercise</w:t>
      </w:r>
    </w:p>
    <w:p w14:paraId="1A3341CF" w14:textId="77777777" w:rsidR="00137205" w:rsidRPr="003D2E37" w:rsidRDefault="00137205" w:rsidP="00137205">
      <w:pPr>
        <w:pStyle w:val="NormalBulleteda"/>
        <w:rPr>
          <w:rFonts w:eastAsiaTheme="minorHAnsi"/>
        </w:rPr>
      </w:pPr>
      <w:r>
        <w:rPr>
          <w:rFonts w:eastAsiaTheme="minorHAnsi"/>
        </w:rPr>
        <w:t>(q)</w:t>
      </w:r>
      <w:r>
        <w:rPr>
          <w:rFonts w:eastAsiaTheme="minorHAnsi"/>
        </w:rPr>
        <w:tab/>
      </w:r>
      <w:r w:rsidRPr="003D2E37">
        <w:rPr>
          <w:rFonts w:eastAsiaTheme="minorHAnsi"/>
        </w:rPr>
        <w:t>Measurement of the strength of inspiratory and expiratory muscles at multiple lung volumes</w:t>
      </w:r>
    </w:p>
    <w:p w14:paraId="3B706064" w14:textId="77777777" w:rsidR="00137205" w:rsidRPr="003D2E37" w:rsidRDefault="00137205" w:rsidP="00137205">
      <w:pPr>
        <w:pStyle w:val="NormalBulleteda"/>
        <w:rPr>
          <w:rFonts w:eastAsiaTheme="minorHAnsi"/>
        </w:rPr>
      </w:pPr>
      <w:r>
        <w:rPr>
          <w:rFonts w:eastAsiaTheme="minorHAnsi"/>
        </w:rPr>
        <w:t>(r)</w:t>
      </w:r>
      <w:r>
        <w:rPr>
          <w:rFonts w:eastAsiaTheme="minorHAnsi"/>
        </w:rPr>
        <w:tab/>
      </w:r>
      <w:r w:rsidRPr="003D2E37">
        <w:rPr>
          <w:rFonts w:eastAsiaTheme="minorHAnsi"/>
        </w:rPr>
        <w:t>Measurement of the respiratory muscle endurance/fatigability by any technique</w:t>
      </w:r>
    </w:p>
    <w:p w14:paraId="612EAD06" w14:textId="77777777" w:rsidR="00137205" w:rsidRPr="003D2E37" w:rsidRDefault="00137205" w:rsidP="00137205">
      <w:pPr>
        <w:pStyle w:val="NormalBulleteda"/>
        <w:rPr>
          <w:rFonts w:eastAsiaTheme="minorHAnsi"/>
        </w:rPr>
      </w:pPr>
      <w:r>
        <w:rPr>
          <w:rFonts w:eastAsiaTheme="minorHAnsi"/>
        </w:rPr>
        <w:t>(s)</w:t>
      </w:r>
      <w:r>
        <w:rPr>
          <w:rFonts w:eastAsiaTheme="minorHAnsi"/>
        </w:rPr>
        <w:tab/>
      </w:r>
      <w:r w:rsidRPr="003D2E37">
        <w:rPr>
          <w:rFonts w:eastAsiaTheme="minorHAnsi"/>
        </w:rPr>
        <w:t>Measurement of respiratory muscle strength before and after intravenous injection of placebo and anticholinesterase drugs</w:t>
      </w:r>
    </w:p>
    <w:p w14:paraId="56B0B112" w14:textId="77777777" w:rsidR="00137205" w:rsidRPr="003D2E37" w:rsidRDefault="00137205" w:rsidP="00137205">
      <w:pPr>
        <w:pStyle w:val="NormalBulleteda"/>
        <w:rPr>
          <w:rFonts w:eastAsiaTheme="minorHAnsi"/>
        </w:rPr>
      </w:pPr>
      <w:r>
        <w:rPr>
          <w:rFonts w:eastAsiaTheme="minorHAnsi"/>
        </w:rPr>
        <w:t>(t)</w:t>
      </w:r>
      <w:r>
        <w:rPr>
          <w:rFonts w:eastAsiaTheme="minorHAnsi"/>
        </w:rPr>
        <w:tab/>
      </w:r>
      <w:r w:rsidRPr="003D2E37">
        <w:rPr>
          <w:rFonts w:eastAsiaTheme="minorHAnsi"/>
        </w:rPr>
        <w:t>Simulated altitude test involving exposure to hypoxic gas mixtures and measurement of ventilation, heart rate and oxygen saturation at rest and/or during exercise and observation of the effect of supplemental oxygen</w:t>
      </w:r>
    </w:p>
    <w:p w14:paraId="5385DCF9" w14:textId="77777777" w:rsidR="00137205" w:rsidRDefault="00137205" w:rsidP="00137205">
      <w:pPr>
        <w:pStyle w:val="NormalBulleteda"/>
        <w:rPr>
          <w:rFonts w:eastAsiaTheme="minorHAnsi"/>
        </w:rPr>
      </w:pPr>
      <w:r>
        <w:rPr>
          <w:rFonts w:eastAsiaTheme="minorHAnsi"/>
        </w:rPr>
        <w:t>(u)</w:t>
      </w:r>
      <w:r>
        <w:rPr>
          <w:rFonts w:eastAsiaTheme="minorHAnsi"/>
        </w:rPr>
        <w:tab/>
      </w:r>
      <w:r w:rsidRPr="003D2E37">
        <w:rPr>
          <w:rFonts w:eastAsiaTheme="minorHAnsi"/>
        </w:rPr>
        <w:t>Inhalation provocation testing to specific sensitising agents</w:t>
      </w:r>
    </w:p>
    <w:p w14:paraId="517B29B4" w14:textId="77777777" w:rsidR="00137205" w:rsidRDefault="00137205" w:rsidP="00137205">
      <w:pPr>
        <w:pStyle w:val="NormalBulleteda"/>
      </w:pPr>
      <w:r>
        <w:rPr>
          <w:rFonts w:eastAsiaTheme="minorHAnsi"/>
        </w:rPr>
        <w:t>(v)</w:t>
      </w:r>
      <w:r>
        <w:rPr>
          <w:rFonts w:eastAsiaTheme="minorHAnsi"/>
        </w:rPr>
        <w:tab/>
      </w:r>
      <w:r w:rsidRPr="00DD77BD">
        <w:rPr>
          <w:rFonts w:eastAsiaTheme="minorHAnsi"/>
        </w:rPr>
        <w:t>Spirometry performed before and after simple exercise testing undertaken as a provocation test for the investigation of asthma, in premises capable of performing complex lung function tests and equipped with a mechanical ventilator and defibrillator</w:t>
      </w:r>
    </w:p>
    <w:p w14:paraId="7CFBB1C8" w14:textId="77777777" w:rsidR="00DD77BD" w:rsidRDefault="00DD77BD" w:rsidP="00DD77BD">
      <w:pPr>
        <w:pStyle w:val="Heading3a"/>
        <w:rPr>
          <w:rFonts w:cstheme="minorHAnsi"/>
          <w:szCs w:val="22"/>
        </w:rPr>
      </w:pPr>
      <w:bookmarkStart w:id="307" w:name="_Toc458768490"/>
      <w:r>
        <w:lastRenderedPageBreak/>
        <w:t>11506</w:t>
      </w:r>
      <w:bookmarkEnd w:id="307"/>
    </w:p>
    <w:p w14:paraId="5EE04C3A" w14:textId="77777777" w:rsidR="00DD77BD" w:rsidRPr="00A73C80" w:rsidRDefault="00DD77BD" w:rsidP="00137205">
      <w:r w:rsidRPr="00A73C80">
        <w:t>MEASUREMENT OF RESPIRATORY FUNCTION involving a permanently recorded tracing performed before and after inhalation of bronchodilator - each occasion at which 1 or more such tests are performed</w:t>
      </w:r>
    </w:p>
    <w:p w14:paraId="5DD92F99" w14:textId="77777777" w:rsidR="00137205" w:rsidRDefault="00DD77BD" w:rsidP="00DD77BD">
      <w:pPr>
        <w:rPr>
          <w:rFonts w:cstheme="minorHAnsi"/>
          <w:szCs w:val="22"/>
        </w:rPr>
      </w:pPr>
      <w:r w:rsidRPr="00A73C80">
        <w:rPr>
          <w:rFonts w:cstheme="minorHAnsi"/>
          <w:b/>
          <w:szCs w:val="22"/>
        </w:rPr>
        <w:t>Fee:</w:t>
      </w:r>
      <w:r w:rsidRPr="00A73C80">
        <w:rPr>
          <w:rFonts w:cstheme="minorHAnsi"/>
          <w:szCs w:val="22"/>
        </w:rPr>
        <w:t xml:space="preserve"> $20.55</w:t>
      </w:r>
    </w:p>
    <w:p w14:paraId="7003FB50" w14:textId="77777777" w:rsidR="00DD77BD" w:rsidRDefault="00DD77BD" w:rsidP="00DD77BD">
      <w:pPr>
        <w:rPr>
          <w:rFonts w:cstheme="minorHAnsi"/>
          <w:szCs w:val="22"/>
        </w:rPr>
      </w:pPr>
      <w:r w:rsidRPr="00A73C80">
        <w:rPr>
          <w:rFonts w:cstheme="minorHAnsi"/>
          <w:b/>
          <w:szCs w:val="22"/>
        </w:rPr>
        <w:t>Benefit:</w:t>
      </w:r>
      <w:r w:rsidRPr="00A73C80">
        <w:rPr>
          <w:rFonts w:cstheme="minorHAnsi"/>
          <w:szCs w:val="22"/>
        </w:rPr>
        <w:t xml:space="preserve"> 75% = $15.45</w:t>
      </w:r>
      <w:r w:rsidR="00137205">
        <w:rPr>
          <w:rFonts w:cstheme="minorHAnsi"/>
          <w:szCs w:val="22"/>
        </w:rPr>
        <w:t xml:space="preserve">; </w:t>
      </w:r>
      <w:r w:rsidRPr="00A73C80">
        <w:rPr>
          <w:rFonts w:cstheme="minorHAnsi"/>
          <w:szCs w:val="22"/>
        </w:rPr>
        <w:t>85% = $17.50</w:t>
      </w:r>
    </w:p>
    <w:p w14:paraId="63CD1A21" w14:textId="77777777" w:rsidR="00DD77BD" w:rsidRDefault="00DD77BD" w:rsidP="00137205">
      <w:pPr>
        <w:pStyle w:val="Heading3a"/>
        <w:rPr>
          <w:rFonts w:cstheme="minorHAnsi"/>
          <w:szCs w:val="22"/>
        </w:rPr>
      </w:pPr>
      <w:bookmarkStart w:id="308" w:name="_Toc458768491"/>
      <w:r>
        <w:t>11509</w:t>
      </w:r>
      <w:bookmarkEnd w:id="308"/>
    </w:p>
    <w:p w14:paraId="4E705DBF" w14:textId="77777777" w:rsidR="00DD77BD" w:rsidRDefault="00DD77BD" w:rsidP="00137205">
      <w:r w:rsidRPr="00A73C80">
        <w:t>MEASUREMENT OF RESPIRATORY FUNCTION involving a permanently recorded tracing and written report, performed before and after inhalation of bronchodilator, with continuous technician attendance in a laboratory equipped to perform complex respiratory function tests (the tests being performed under the supervision of a specialist or consultant physician or in the respiratory laboratory of a hospital) - each occasion at which 1 or more such tests are performed</w:t>
      </w:r>
    </w:p>
    <w:p w14:paraId="47C94898" w14:textId="77777777" w:rsidR="00137205" w:rsidRDefault="00DD77BD" w:rsidP="00DD77BD">
      <w:pPr>
        <w:rPr>
          <w:rFonts w:cstheme="minorHAnsi"/>
          <w:szCs w:val="22"/>
        </w:rPr>
      </w:pPr>
      <w:r w:rsidRPr="00A73C80">
        <w:rPr>
          <w:rFonts w:cstheme="minorHAnsi"/>
          <w:b/>
          <w:szCs w:val="22"/>
        </w:rPr>
        <w:t>Fee:</w:t>
      </w:r>
      <w:r w:rsidRPr="00A73C80">
        <w:rPr>
          <w:rFonts w:cstheme="minorHAnsi"/>
          <w:szCs w:val="22"/>
        </w:rPr>
        <w:t xml:space="preserve"> $35.65</w:t>
      </w:r>
    </w:p>
    <w:p w14:paraId="0FF2D1C1" w14:textId="77777777" w:rsidR="00DD77BD" w:rsidRDefault="00DD77BD" w:rsidP="00DD77BD">
      <w:pPr>
        <w:rPr>
          <w:rFonts w:cstheme="minorHAnsi"/>
          <w:szCs w:val="22"/>
        </w:rPr>
      </w:pPr>
      <w:r w:rsidRPr="00A73C80">
        <w:rPr>
          <w:rFonts w:cstheme="minorHAnsi"/>
          <w:b/>
          <w:szCs w:val="22"/>
        </w:rPr>
        <w:t>Benefit:</w:t>
      </w:r>
      <w:r w:rsidRPr="00A73C80">
        <w:rPr>
          <w:rFonts w:cstheme="minorHAnsi"/>
          <w:szCs w:val="22"/>
        </w:rPr>
        <w:t xml:space="preserve"> 75% = $26.75</w:t>
      </w:r>
      <w:r w:rsidR="00137205">
        <w:rPr>
          <w:rFonts w:cstheme="minorHAnsi"/>
          <w:szCs w:val="22"/>
        </w:rPr>
        <w:t xml:space="preserve">; </w:t>
      </w:r>
      <w:r w:rsidRPr="00A73C80">
        <w:rPr>
          <w:rFonts w:cstheme="minorHAnsi"/>
          <w:szCs w:val="22"/>
        </w:rPr>
        <w:t>85% = $30.35</w:t>
      </w:r>
    </w:p>
    <w:p w14:paraId="7165871E" w14:textId="77777777" w:rsidR="00DD77BD" w:rsidRDefault="00DD77BD" w:rsidP="00137205">
      <w:pPr>
        <w:pStyle w:val="Heading3a"/>
        <w:rPr>
          <w:rFonts w:cstheme="minorHAnsi"/>
          <w:szCs w:val="22"/>
        </w:rPr>
      </w:pPr>
      <w:bookmarkStart w:id="309" w:name="_Toc458768492"/>
      <w:r>
        <w:t>11512</w:t>
      </w:r>
      <w:bookmarkEnd w:id="309"/>
    </w:p>
    <w:p w14:paraId="5EFD77F7" w14:textId="77777777" w:rsidR="00DD77BD" w:rsidRPr="00A73C80" w:rsidRDefault="00DD77BD" w:rsidP="00137205">
      <w:r w:rsidRPr="00A73C80">
        <w:t>CONTINUOUS MEASUREMENT OF THE RELATIONSHIP BETWEEN FLOW AND VOLUME DURING EXPIRATION OR INSPIRATION involving a permanently recorded tracing and written report, performed before and after inhalation of bronchodilator, with continuous technician attendance in a laboratory equipped to perform complex lung function tests (the tests being performed under the supervision of a specialist or consultant physician or in the respiratory laboratory of a hospital) - each occasion at which 1 or more such tests are performed</w:t>
      </w:r>
    </w:p>
    <w:p w14:paraId="3CF0387D" w14:textId="77777777" w:rsidR="00137205" w:rsidRDefault="00DD77BD" w:rsidP="00DD77BD">
      <w:pPr>
        <w:rPr>
          <w:rFonts w:cstheme="minorHAnsi"/>
          <w:szCs w:val="22"/>
        </w:rPr>
      </w:pPr>
      <w:r w:rsidRPr="00A73C80">
        <w:rPr>
          <w:rFonts w:cstheme="minorHAnsi"/>
          <w:b/>
          <w:szCs w:val="22"/>
        </w:rPr>
        <w:t>Fee:</w:t>
      </w:r>
      <w:r w:rsidRPr="00A73C80">
        <w:rPr>
          <w:rFonts w:cstheme="minorHAnsi"/>
          <w:szCs w:val="22"/>
        </w:rPr>
        <w:t xml:space="preserve"> $61.75</w:t>
      </w:r>
    </w:p>
    <w:p w14:paraId="66B3F39E" w14:textId="77777777" w:rsidR="00DD77BD" w:rsidRDefault="00DD77BD" w:rsidP="00DD77BD">
      <w:pPr>
        <w:rPr>
          <w:rFonts w:cstheme="minorHAnsi"/>
          <w:szCs w:val="22"/>
        </w:rPr>
      </w:pPr>
      <w:r w:rsidRPr="00A73C80">
        <w:rPr>
          <w:rFonts w:cstheme="minorHAnsi"/>
          <w:b/>
          <w:szCs w:val="22"/>
        </w:rPr>
        <w:t>Benefit:</w:t>
      </w:r>
      <w:r w:rsidRPr="00A73C80">
        <w:rPr>
          <w:rFonts w:cstheme="minorHAnsi"/>
          <w:szCs w:val="22"/>
        </w:rPr>
        <w:t xml:space="preserve"> 75% = $46.35</w:t>
      </w:r>
      <w:r w:rsidR="00137205">
        <w:rPr>
          <w:rFonts w:cstheme="minorHAnsi"/>
          <w:szCs w:val="22"/>
        </w:rPr>
        <w:t xml:space="preserve">; </w:t>
      </w:r>
      <w:r w:rsidRPr="00A73C80">
        <w:rPr>
          <w:rFonts w:cstheme="minorHAnsi"/>
          <w:szCs w:val="22"/>
        </w:rPr>
        <w:t>85% = $52.50</w:t>
      </w:r>
    </w:p>
    <w:p w14:paraId="2095D6EE" w14:textId="77777777" w:rsidR="00DD77BD" w:rsidRDefault="00DD77BD" w:rsidP="00DD77BD">
      <w:pPr>
        <w:pStyle w:val="Heading2a"/>
      </w:pPr>
      <w:r>
        <w:t>Sleep studies</w:t>
      </w:r>
    </w:p>
    <w:p w14:paraId="2F633CD5" w14:textId="77777777" w:rsidR="00DD77BD" w:rsidRDefault="00DD77BD" w:rsidP="00DD77BD">
      <w:pPr>
        <w:pStyle w:val="Heading3a"/>
      </w:pPr>
      <w:bookmarkStart w:id="310" w:name="_Toc458768493"/>
      <w:r>
        <w:t>12203</w:t>
      </w:r>
      <w:bookmarkEnd w:id="310"/>
    </w:p>
    <w:p w14:paraId="0D217F17" w14:textId="77777777" w:rsidR="00DD77BD" w:rsidRPr="00263085" w:rsidRDefault="00DD77BD" w:rsidP="00E65A79">
      <w:r w:rsidRPr="00263085">
        <w:t>Overnight investigation for sleep apnoea for a period of at least 8 hours duration, for an adult aged 18 years and over where:</w:t>
      </w:r>
    </w:p>
    <w:p w14:paraId="59154250" w14:textId="77777777" w:rsidR="00DD77BD" w:rsidRPr="00263085" w:rsidRDefault="00E65A79" w:rsidP="00E65A79">
      <w:pPr>
        <w:pStyle w:val="NormalBulleteda"/>
      </w:pPr>
      <w:r>
        <w:t>(</w:t>
      </w:r>
      <w:r w:rsidR="00DD77BD" w:rsidRPr="00263085">
        <w:t>a)</w:t>
      </w:r>
      <w:r>
        <w:tab/>
      </w:r>
      <w:r w:rsidR="00DD77BD" w:rsidRPr="00263085">
        <w:t>continuous monitoring of oxygen saturation and breathing using a multi-channel polygraph, and recording of EEG, EOG, submental EMG, anterior tibial EMG, respiratory movement, airflow, oxygen saturation and ECG are performed;</w:t>
      </w:r>
    </w:p>
    <w:p w14:paraId="1F9DD04E" w14:textId="77777777" w:rsidR="00DD77BD" w:rsidRPr="00263085" w:rsidRDefault="00E65A79" w:rsidP="00E65A79">
      <w:pPr>
        <w:pStyle w:val="NormalBulleteda"/>
      </w:pPr>
      <w:r>
        <w:t>(b)</w:t>
      </w:r>
      <w:r>
        <w:tab/>
      </w:r>
      <w:r w:rsidR="00DD77BD" w:rsidRPr="00263085">
        <w:t>a technician is in continuous attendance under the supervision of a qualified sleep medicine practitioner;</w:t>
      </w:r>
    </w:p>
    <w:p w14:paraId="044D00A1" w14:textId="77777777" w:rsidR="00DD77BD" w:rsidRPr="00263085" w:rsidRDefault="00E65A79" w:rsidP="00E65A79">
      <w:pPr>
        <w:pStyle w:val="NormalBulleteda"/>
      </w:pPr>
      <w:r>
        <w:lastRenderedPageBreak/>
        <w:t>(</w:t>
      </w:r>
      <w:r w:rsidR="00DD77BD" w:rsidRPr="00263085">
        <w:t>c)</w:t>
      </w:r>
      <w:r>
        <w:tab/>
      </w:r>
      <w:r w:rsidR="00DD77BD" w:rsidRPr="00263085">
        <w:t>the patient is referred by a medical practitioner;</w:t>
      </w:r>
    </w:p>
    <w:p w14:paraId="191DCE1F" w14:textId="77777777" w:rsidR="00DD77BD" w:rsidRPr="00263085" w:rsidRDefault="00E65A79" w:rsidP="00E65A79">
      <w:pPr>
        <w:pStyle w:val="NormalBulleteda"/>
      </w:pPr>
      <w:r>
        <w:t>(</w:t>
      </w:r>
      <w:r w:rsidR="00DD77BD" w:rsidRPr="00263085">
        <w:t>d)</w:t>
      </w:r>
      <w:r>
        <w:tab/>
      </w:r>
      <w:r w:rsidR="00DD77BD" w:rsidRPr="00263085">
        <w:t>the necessity for the investigation is determined by a qualified adult sleep medicine practitioner prior to the investigation;</w:t>
      </w:r>
    </w:p>
    <w:p w14:paraId="2779467E" w14:textId="77777777" w:rsidR="00DD77BD" w:rsidRPr="00263085" w:rsidRDefault="00E65A79" w:rsidP="00E65A79">
      <w:pPr>
        <w:pStyle w:val="NormalBulleteda"/>
      </w:pPr>
      <w:r>
        <w:t>(</w:t>
      </w:r>
      <w:r w:rsidR="00DD77BD" w:rsidRPr="00263085">
        <w:t>e)</w:t>
      </w:r>
      <w:r>
        <w:tab/>
      </w:r>
      <w:r w:rsidR="00DD77BD" w:rsidRPr="00263085">
        <w:t xml:space="preserve">polygraphic records are analysed (for assessment of sleep stage, arousals, respiratory events and assessment of clinically significant alterations in heart rate and limb movement) with manual scoring, or manual correction of computerised scoring in </w:t>
      </w:r>
      <w:r w:rsidR="00DD77BD">
        <w:t>e</w:t>
      </w:r>
      <w:r w:rsidR="00DD77BD" w:rsidRPr="00263085">
        <w:t>pochs of not more than 1 minute, and stored for interpretation and preparation of report ; and</w:t>
      </w:r>
    </w:p>
    <w:p w14:paraId="72921155" w14:textId="77777777" w:rsidR="00DD77BD" w:rsidRPr="00263085" w:rsidRDefault="00E65A79" w:rsidP="00E65A79">
      <w:pPr>
        <w:pStyle w:val="NormalBulleteda"/>
      </w:pPr>
      <w:r>
        <w:t>(</w:t>
      </w:r>
      <w:r w:rsidR="00DD77BD" w:rsidRPr="00263085">
        <w:t>f)</w:t>
      </w:r>
      <w:r>
        <w:tab/>
      </w:r>
      <w:r w:rsidR="00DD77BD" w:rsidRPr="00263085">
        <w:t>interpretation and report are provided by a qualified adult sleep medicine practitioner based on reviewing the direct original recording of polygraphic data from the patient</w:t>
      </w:r>
    </w:p>
    <w:p w14:paraId="68AFE79B" w14:textId="77777777" w:rsidR="00DD77BD" w:rsidRPr="00263085" w:rsidRDefault="00DD77BD" w:rsidP="00E65A79">
      <w:r w:rsidRPr="00263085">
        <w:t>payable only in relation to each of the first 3 occasions the investigation is performed in any 12 month period.</w:t>
      </w:r>
    </w:p>
    <w:p w14:paraId="3F551DB8" w14:textId="77777777" w:rsidR="00DD77BD" w:rsidRPr="00263085" w:rsidRDefault="00DD77BD" w:rsidP="00DD77BD">
      <w:pPr>
        <w:spacing w:beforeLines="60" w:before="144" w:afterLines="60" w:after="144" w:line="240" w:lineRule="auto"/>
        <w:rPr>
          <w:rFonts w:cstheme="minorHAnsi"/>
          <w:szCs w:val="22"/>
        </w:rPr>
      </w:pPr>
      <w:r w:rsidRPr="00263085">
        <w:rPr>
          <w:rFonts w:cstheme="minorHAnsi"/>
          <w:i/>
          <w:szCs w:val="22"/>
        </w:rPr>
        <w:t>(See para D1.18 of explanatory notes to this Category)</w:t>
      </w:r>
    </w:p>
    <w:p w14:paraId="3F61F1B6" w14:textId="77777777" w:rsidR="00DD77BD" w:rsidRDefault="00DD77BD" w:rsidP="00DD77BD">
      <w:r w:rsidRPr="00E65A79">
        <w:rPr>
          <w:b/>
        </w:rPr>
        <w:t>Fee</w:t>
      </w:r>
      <w:r w:rsidRPr="00DD77BD">
        <w:t>: $588.00</w:t>
      </w:r>
    </w:p>
    <w:p w14:paraId="2B82B31A" w14:textId="77777777" w:rsidR="00DD77BD" w:rsidRDefault="00DD77BD" w:rsidP="00DD77BD">
      <w:r w:rsidRPr="00E65A79">
        <w:rPr>
          <w:b/>
        </w:rPr>
        <w:t>Benefit</w:t>
      </w:r>
      <w:r w:rsidRPr="00DD77BD">
        <w:t>: 75% = $441.00</w:t>
      </w:r>
      <w:r>
        <w:t xml:space="preserve">; </w:t>
      </w:r>
      <w:r w:rsidRPr="00DD77BD">
        <w:t>85% = $509.60</w:t>
      </w:r>
    </w:p>
    <w:p w14:paraId="501DBA12" w14:textId="77777777" w:rsidR="00DD77BD" w:rsidRDefault="00DD77BD" w:rsidP="00DD77BD">
      <w:pPr>
        <w:pStyle w:val="Heading3a"/>
      </w:pPr>
      <w:bookmarkStart w:id="311" w:name="_Toc458768494"/>
      <w:r>
        <w:t>12250</w:t>
      </w:r>
      <w:bookmarkEnd w:id="311"/>
    </w:p>
    <w:p w14:paraId="1F782546" w14:textId="77777777" w:rsidR="00DD77BD" w:rsidRPr="0048282E" w:rsidRDefault="00DD77BD" w:rsidP="00DD77BD">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Lines="60" w:before="144" w:afterLines="60" w:after="144" w:line="240" w:lineRule="auto"/>
        <w:rPr>
          <w:rFonts w:cstheme="minorHAnsi"/>
          <w:color w:val="000000"/>
          <w:szCs w:val="22"/>
        </w:rPr>
      </w:pPr>
      <w:r w:rsidRPr="00263085">
        <w:rPr>
          <w:rFonts w:cstheme="minorHAnsi"/>
          <w:color w:val="000000"/>
          <w:szCs w:val="22"/>
        </w:rPr>
        <w:t xml:space="preserve">Overnight investigation for sleep apnoea for a period of at least 8 hours duration for </w:t>
      </w:r>
      <w:r w:rsidRPr="0048282E">
        <w:rPr>
          <w:rFonts w:cstheme="minorHAnsi"/>
          <w:color w:val="000000"/>
          <w:szCs w:val="22"/>
        </w:rPr>
        <w:t>a patient aged 18 years or more, if all of the following requirements are met:</w:t>
      </w:r>
    </w:p>
    <w:p w14:paraId="5F3AB503" w14:textId="77777777" w:rsidR="00DD77BD" w:rsidRPr="0048282E" w:rsidRDefault="00DD77BD" w:rsidP="00E65A79">
      <w:pPr>
        <w:pStyle w:val="NormalBulleteda"/>
      </w:pPr>
      <w:r w:rsidRPr="0048282E">
        <w:t>(a)</w:t>
      </w:r>
      <w:r w:rsidRPr="0048282E">
        <w:tab/>
        <w:t>the patient has, before the overnight investigation, been referred to a qualified adult sleep medicine practitioner by a medical practitioner whose clinical opinion is that there is a high probability that the patient has obstructive sleep apnoea; and</w:t>
      </w:r>
    </w:p>
    <w:p w14:paraId="6A3F11F9" w14:textId="77777777" w:rsidR="00DD77BD" w:rsidRPr="0048282E" w:rsidRDefault="00DD77BD" w:rsidP="00E65A79">
      <w:pPr>
        <w:pStyle w:val="NormalBulleteda"/>
      </w:pPr>
      <w:r w:rsidRPr="0048282E">
        <w:t>(b)</w:t>
      </w:r>
      <w:r w:rsidR="00E65A79">
        <w:tab/>
      </w:r>
      <w:r w:rsidRPr="0048282E">
        <w:t>the investigation takes place after the qualified adult sleep medicine practitioner has:</w:t>
      </w:r>
    </w:p>
    <w:p w14:paraId="10A16E27" w14:textId="77777777" w:rsidR="00DD77BD" w:rsidRPr="0048282E" w:rsidRDefault="00DD77BD" w:rsidP="00E65A79">
      <w:pPr>
        <w:pStyle w:val="NormalBulletedrom"/>
      </w:pPr>
      <w:r w:rsidRPr="0048282E">
        <w:t>(i)</w:t>
      </w:r>
      <w:r>
        <w:t xml:space="preserve"> </w:t>
      </w:r>
      <w:r w:rsidRPr="0048282E">
        <w:t xml:space="preserve">confirmed the necessity for the investigation; and </w:t>
      </w:r>
    </w:p>
    <w:p w14:paraId="1C0B88D7" w14:textId="77777777" w:rsidR="00DD77BD" w:rsidRDefault="00DD77BD" w:rsidP="00E65A79">
      <w:pPr>
        <w:pStyle w:val="NormalBulletedrom"/>
      </w:pPr>
      <w:r w:rsidRPr="0048282E">
        <w:t xml:space="preserve">(ii) communicated this confirmation to the referring medical practitioner; </w:t>
      </w:r>
    </w:p>
    <w:p w14:paraId="018D5C34" w14:textId="77777777" w:rsidR="00DD77BD" w:rsidRPr="0048282E" w:rsidRDefault="00DD77BD" w:rsidP="00E65A79">
      <w:pPr>
        <w:pStyle w:val="NormalBulletedrom"/>
      </w:pPr>
      <w:r w:rsidRPr="0048282E">
        <w:t>and</w:t>
      </w:r>
    </w:p>
    <w:p w14:paraId="2716DDEE" w14:textId="77777777" w:rsidR="00DD77BD" w:rsidRPr="0048282E" w:rsidRDefault="00DD77BD" w:rsidP="00E65A79">
      <w:pPr>
        <w:pStyle w:val="NormalBulleteda"/>
      </w:pPr>
      <w:r w:rsidRPr="0048282E">
        <w:t>(c)</w:t>
      </w:r>
      <w:r w:rsidR="00E65A79">
        <w:tab/>
      </w:r>
      <w:r w:rsidRPr="0048282E">
        <w:t>during a period of sleep, the investigation involves recording a minimum of seven physiological parameters which must include:</w:t>
      </w:r>
    </w:p>
    <w:p w14:paraId="334CBF4A" w14:textId="77777777" w:rsidR="00DD77BD" w:rsidRPr="0048282E" w:rsidRDefault="00E65A79" w:rsidP="00E65A79">
      <w:pPr>
        <w:pStyle w:val="NormalBulletedrom"/>
      </w:pPr>
      <w:r>
        <w:t>(i)</w:t>
      </w:r>
      <w:r>
        <w:tab/>
      </w:r>
      <w:r w:rsidR="00DD77BD" w:rsidRPr="0048282E">
        <w:t>continuous electro-encephalogram (EEG); and</w:t>
      </w:r>
    </w:p>
    <w:p w14:paraId="22535855" w14:textId="77777777" w:rsidR="00DD77BD" w:rsidRPr="0048282E" w:rsidRDefault="00E65A79" w:rsidP="00E65A79">
      <w:pPr>
        <w:pStyle w:val="NormalBulletedrom"/>
      </w:pPr>
      <w:r>
        <w:t>(ii)</w:t>
      </w:r>
      <w:r>
        <w:tab/>
      </w:r>
      <w:r w:rsidR="00DD77BD" w:rsidRPr="0048282E">
        <w:t>continuous electro-cardiogram (ECG; and</w:t>
      </w:r>
    </w:p>
    <w:p w14:paraId="727079EC" w14:textId="77777777" w:rsidR="00DD77BD" w:rsidRPr="0048282E" w:rsidRDefault="00E65A79" w:rsidP="00E65A79">
      <w:pPr>
        <w:pStyle w:val="NormalBulletedrom"/>
      </w:pPr>
      <w:r>
        <w:t>(iii)</w:t>
      </w:r>
      <w:r>
        <w:tab/>
      </w:r>
      <w:r w:rsidR="00DD77BD" w:rsidRPr="0048282E">
        <w:t>airflow; and</w:t>
      </w:r>
    </w:p>
    <w:p w14:paraId="60024E67" w14:textId="77777777" w:rsidR="00DD77BD" w:rsidRPr="0048282E" w:rsidRDefault="00E65A79" w:rsidP="00E65A79">
      <w:pPr>
        <w:pStyle w:val="NormalBulletedrom"/>
      </w:pPr>
      <w:r>
        <w:t>(iv)</w:t>
      </w:r>
      <w:r>
        <w:tab/>
      </w:r>
      <w:r w:rsidR="00DD77BD" w:rsidRPr="0048282E">
        <w:t>thoraco-abdominal movement; and</w:t>
      </w:r>
    </w:p>
    <w:p w14:paraId="5386AACC" w14:textId="77777777" w:rsidR="00DD77BD" w:rsidRPr="0048282E" w:rsidRDefault="00E65A79" w:rsidP="00E65A79">
      <w:pPr>
        <w:pStyle w:val="NormalBulletedrom"/>
      </w:pPr>
      <w:r>
        <w:t>(v)</w:t>
      </w:r>
      <w:r>
        <w:tab/>
      </w:r>
      <w:r w:rsidR="00DD77BD" w:rsidRPr="0048282E">
        <w:t>oxygen saturation; and</w:t>
      </w:r>
    </w:p>
    <w:p w14:paraId="705324BB" w14:textId="77777777" w:rsidR="00DD77BD" w:rsidRPr="0048282E" w:rsidRDefault="00E65A79" w:rsidP="001938E6">
      <w:pPr>
        <w:pStyle w:val="NormalBulletedrom"/>
      </w:pPr>
      <w:r>
        <w:t>(vi)</w:t>
      </w:r>
      <w:r>
        <w:tab/>
      </w:r>
      <w:r w:rsidR="00DD77BD" w:rsidRPr="0048282E">
        <w:t>2 or more of the following:</w:t>
      </w:r>
    </w:p>
    <w:p w14:paraId="40B504DB" w14:textId="77777777" w:rsidR="00DD77BD" w:rsidRPr="0048282E" w:rsidRDefault="00DD77BD" w:rsidP="00DD77BD">
      <w:pPr>
        <w:tabs>
          <w:tab w:val="left" w:pos="576"/>
          <w:tab w:val="left" w:pos="1134"/>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Lines="60" w:before="144" w:afterLines="60" w:after="144" w:line="240" w:lineRule="auto"/>
        <w:ind w:left="1275"/>
        <w:rPr>
          <w:rFonts w:cstheme="minorHAnsi"/>
          <w:color w:val="000000"/>
          <w:szCs w:val="22"/>
        </w:rPr>
      </w:pPr>
      <w:r w:rsidRPr="0048282E">
        <w:rPr>
          <w:rFonts w:cstheme="minorHAnsi"/>
          <w:color w:val="000000"/>
          <w:szCs w:val="22"/>
        </w:rPr>
        <w:t>(A) electro-oculogram (EOG);</w:t>
      </w:r>
    </w:p>
    <w:p w14:paraId="7B882730" w14:textId="77777777" w:rsidR="00DD77BD" w:rsidRPr="0048282E" w:rsidRDefault="00DD77BD" w:rsidP="00DD77BD">
      <w:pPr>
        <w:tabs>
          <w:tab w:val="left" w:pos="576"/>
          <w:tab w:val="left" w:pos="1134"/>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Lines="60" w:before="144" w:afterLines="60" w:after="144" w:line="240" w:lineRule="auto"/>
        <w:ind w:left="1275"/>
        <w:rPr>
          <w:rFonts w:cstheme="minorHAnsi"/>
          <w:color w:val="000000"/>
          <w:szCs w:val="22"/>
        </w:rPr>
      </w:pPr>
      <w:r w:rsidRPr="0048282E">
        <w:rPr>
          <w:rFonts w:cstheme="minorHAnsi"/>
          <w:color w:val="000000"/>
          <w:szCs w:val="22"/>
        </w:rPr>
        <w:t>(B) chin electro-myogram (EMG);</w:t>
      </w:r>
    </w:p>
    <w:p w14:paraId="31545047" w14:textId="77777777" w:rsidR="00DD77BD" w:rsidRPr="0048282E" w:rsidRDefault="00DD77BD" w:rsidP="00DD77BD">
      <w:pPr>
        <w:tabs>
          <w:tab w:val="left" w:pos="576"/>
          <w:tab w:val="left" w:pos="1134"/>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Lines="60" w:before="144" w:afterLines="60" w:after="144" w:line="240" w:lineRule="auto"/>
        <w:ind w:left="1275"/>
        <w:rPr>
          <w:rFonts w:cstheme="minorHAnsi"/>
          <w:color w:val="000000"/>
          <w:szCs w:val="22"/>
        </w:rPr>
      </w:pPr>
      <w:r w:rsidRPr="0048282E">
        <w:rPr>
          <w:rFonts w:cstheme="minorHAnsi"/>
          <w:color w:val="000000"/>
          <w:szCs w:val="22"/>
        </w:rPr>
        <w:t>(C) body position; and</w:t>
      </w:r>
    </w:p>
    <w:p w14:paraId="0A9886BE" w14:textId="77777777" w:rsidR="00DD77BD" w:rsidRPr="0048282E" w:rsidRDefault="00DD77BD" w:rsidP="00E65A79">
      <w:pPr>
        <w:pStyle w:val="NormalBulleteda"/>
      </w:pPr>
      <w:r w:rsidRPr="0048282E">
        <w:lastRenderedPageBreak/>
        <w:t>(d)</w:t>
      </w:r>
      <w:r>
        <w:t xml:space="preserve"> </w:t>
      </w:r>
      <w:r w:rsidRPr="0048282E">
        <w:t>in the report on of the investigation, the qualified adult sleep medicine practitioner uses the data specified in paragraph (c) to:</w:t>
      </w:r>
    </w:p>
    <w:p w14:paraId="1875DD6D" w14:textId="77777777" w:rsidR="00DD77BD" w:rsidRPr="0048282E" w:rsidRDefault="00DD77BD" w:rsidP="00E65A79">
      <w:pPr>
        <w:pStyle w:val="NormalBulletedrom"/>
      </w:pPr>
      <w:r w:rsidRPr="0048282E">
        <w:t>(i)</w:t>
      </w:r>
      <w:r w:rsidR="00E65A79">
        <w:tab/>
      </w:r>
      <w:r w:rsidRPr="0048282E">
        <w:t>analyse sleep stage, arousals and respiratory events; and</w:t>
      </w:r>
    </w:p>
    <w:p w14:paraId="7CBC4D20" w14:textId="77777777" w:rsidR="00DD77BD" w:rsidRPr="0048282E" w:rsidRDefault="00DD77BD" w:rsidP="00E65A79">
      <w:pPr>
        <w:pStyle w:val="NormalBulletedrom"/>
      </w:pPr>
      <w:r w:rsidRPr="0048282E">
        <w:t>(ii)</w:t>
      </w:r>
      <w:r w:rsidR="00E65A79">
        <w:tab/>
      </w:r>
      <w:r w:rsidRPr="0048282E">
        <w:t>assess clinically significant alteration in heart rate; and</w:t>
      </w:r>
    </w:p>
    <w:p w14:paraId="5EE7BD1C" w14:textId="77777777" w:rsidR="00DD77BD" w:rsidRPr="0048282E" w:rsidRDefault="00DD77BD" w:rsidP="00E65A79">
      <w:pPr>
        <w:pStyle w:val="NormalBulleteda"/>
      </w:pPr>
      <w:r w:rsidRPr="0048282E">
        <w:t xml:space="preserve">(e) the qualified adult sleep medicine practitioner: </w:t>
      </w:r>
    </w:p>
    <w:p w14:paraId="7B4EB801" w14:textId="77777777" w:rsidR="00DD77BD" w:rsidRPr="0048282E" w:rsidRDefault="00DD77BD" w:rsidP="00E65A79">
      <w:pPr>
        <w:pStyle w:val="NormalBulletedrom"/>
      </w:pPr>
      <w:r w:rsidRPr="0048282E">
        <w:t>(i)</w:t>
      </w:r>
      <w:r w:rsidR="00E65A79">
        <w:tab/>
      </w:r>
      <w:r w:rsidRPr="0048282E">
        <w:t>before the investigation takes place, establishes quality assurance procedures for data acquisition; and</w:t>
      </w:r>
    </w:p>
    <w:p w14:paraId="15F60097" w14:textId="77777777" w:rsidR="00DD77BD" w:rsidRPr="0048282E" w:rsidRDefault="00DD77BD" w:rsidP="00E65A79">
      <w:pPr>
        <w:pStyle w:val="NormalBulletedrom"/>
      </w:pPr>
      <w:r w:rsidRPr="0048282E">
        <w:t>(ii)</w:t>
      </w:r>
      <w:r w:rsidR="00E65A79">
        <w:tab/>
      </w:r>
      <w:r w:rsidRPr="0048282E">
        <w:t>personally analyses the data and writes the report on the results of the</w:t>
      </w:r>
      <w:r>
        <w:t xml:space="preserve"> </w:t>
      </w:r>
      <w:r w:rsidRPr="0048282E">
        <w:t>investigation;</w:t>
      </w:r>
    </w:p>
    <w:p w14:paraId="19816F02" w14:textId="77777777" w:rsidR="00DD77BD" w:rsidRPr="0048282E" w:rsidRDefault="00DD77BD" w:rsidP="00E65A79">
      <w:pPr>
        <w:pStyle w:val="NormalBulleteda"/>
      </w:pPr>
      <w:r w:rsidRPr="0048282E">
        <w:t>(f)</w:t>
      </w:r>
      <w:r w:rsidRPr="0048282E">
        <w:tab/>
        <w:t>the investigation is not provided to the patient on the same occasion as a service mentioned in any of items 11000 to 11005, 11503, 11700 to 11709, 11713 and 12203 is provided to the patient</w:t>
      </w:r>
    </w:p>
    <w:p w14:paraId="158C6483" w14:textId="77777777" w:rsidR="00DD77BD" w:rsidRPr="0048282E" w:rsidRDefault="00DD77BD" w:rsidP="00DD77BD">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Lines="60" w:before="144" w:afterLines="60" w:after="144" w:line="240" w:lineRule="auto"/>
        <w:rPr>
          <w:rFonts w:cstheme="minorHAnsi"/>
          <w:color w:val="000000"/>
          <w:szCs w:val="22"/>
        </w:rPr>
      </w:pPr>
      <w:r w:rsidRPr="0048282E">
        <w:rPr>
          <w:rFonts w:cstheme="minorHAnsi"/>
          <w:color w:val="000000"/>
          <w:szCs w:val="22"/>
        </w:rPr>
        <w:t>Payable only once in a 12 month period</w:t>
      </w:r>
    </w:p>
    <w:p w14:paraId="45F8C5B0" w14:textId="77777777" w:rsidR="00DD77BD" w:rsidRPr="00263085" w:rsidRDefault="00DD77BD" w:rsidP="00DD77BD">
      <w:pPr>
        <w:spacing w:beforeLines="60" w:before="144" w:afterLines="60" w:after="144" w:line="240" w:lineRule="auto"/>
        <w:rPr>
          <w:rFonts w:cstheme="minorHAnsi"/>
          <w:szCs w:val="22"/>
        </w:rPr>
      </w:pPr>
      <w:r w:rsidRPr="00263085">
        <w:rPr>
          <w:rFonts w:cstheme="minorHAnsi"/>
          <w:i/>
          <w:szCs w:val="22"/>
        </w:rPr>
        <w:t>(See para D1.18 of explanatory notes to this Category)</w:t>
      </w:r>
    </w:p>
    <w:p w14:paraId="73C4D171" w14:textId="77777777" w:rsidR="00E65A79" w:rsidRDefault="00DD77BD" w:rsidP="00DD77BD">
      <w:r w:rsidRPr="00263085">
        <w:rPr>
          <w:b/>
        </w:rPr>
        <w:t xml:space="preserve">Fee: </w:t>
      </w:r>
      <w:r w:rsidRPr="00263085">
        <w:t>$</w:t>
      </w:r>
      <w:r>
        <w:t>335</w:t>
      </w:r>
      <w:r w:rsidRPr="00263085">
        <w:t>.</w:t>
      </w:r>
      <w:r>
        <w:t>3</w:t>
      </w:r>
      <w:r w:rsidRPr="00263085">
        <w:t>0</w:t>
      </w:r>
    </w:p>
    <w:p w14:paraId="60A3DA74" w14:textId="77777777" w:rsidR="00DD77BD" w:rsidRDefault="00DD77BD" w:rsidP="00E65A79">
      <w:r w:rsidRPr="00263085">
        <w:rPr>
          <w:b/>
        </w:rPr>
        <w:t xml:space="preserve">Benefit: </w:t>
      </w:r>
      <w:r w:rsidRPr="00263085">
        <w:t>75% = $</w:t>
      </w:r>
      <w:r>
        <w:t>25</w:t>
      </w:r>
      <w:r w:rsidRPr="00263085">
        <w:t>1.</w:t>
      </w:r>
      <w:r>
        <w:t>5</w:t>
      </w:r>
      <w:r w:rsidRPr="00263085">
        <w:t>0</w:t>
      </w:r>
      <w:r w:rsidR="00E65A79">
        <w:t xml:space="preserve">; </w:t>
      </w:r>
      <w:r w:rsidRPr="00263085">
        <w:t>85% = $</w:t>
      </w:r>
      <w:r>
        <w:t>285</w:t>
      </w:r>
      <w:r w:rsidRPr="00263085">
        <w:t>.</w:t>
      </w:r>
      <w:r>
        <w:t>05</w:t>
      </w:r>
    </w:p>
    <w:p w14:paraId="09007E78" w14:textId="77777777" w:rsidR="00DD77BD" w:rsidRDefault="00DD77BD" w:rsidP="00DD77BD">
      <w:pPr>
        <w:pStyle w:val="Heading3a"/>
      </w:pPr>
      <w:bookmarkStart w:id="312" w:name="_Toc458768495"/>
      <w:r>
        <w:t>12207</w:t>
      </w:r>
      <w:bookmarkEnd w:id="312"/>
    </w:p>
    <w:p w14:paraId="73006B67" w14:textId="77777777" w:rsidR="00DD77BD" w:rsidRPr="00263085" w:rsidRDefault="00DD77BD" w:rsidP="00E65A79">
      <w:r w:rsidRPr="00263085">
        <w:t>Overnight investigation for sleep apnoea for a period of at least 8 hours duration, for an adult aged 18 years and over where:</w:t>
      </w:r>
    </w:p>
    <w:p w14:paraId="722535E4" w14:textId="77777777" w:rsidR="00DD77BD" w:rsidRPr="000F2393" w:rsidRDefault="00E65A79" w:rsidP="00E65A79">
      <w:pPr>
        <w:pStyle w:val="NormalBulleteda"/>
      </w:pPr>
      <w:r>
        <w:t>(</w:t>
      </w:r>
      <w:r w:rsidR="00DD77BD" w:rsidRPr="000F2393">
        <w:t>a)</w:t>
      </w:r>
      <w:r>
        <w:tab/>
      </w:r>
      <w:r w:rsidR="00DD77BD" w:rsidRPr="000F2393">
        <w:t>continuous monitoring of oxygen saturation and breathing using a multi-channel polygraph, and recordings of EEG, EOG, submental EMG, anterior tibial EMG, respiratory movement, airflow, oxygen saturation and ECG are performed;</w:t>
      </w:r>
    </w:p>
    <w:p w14:paraId="18916630" w14:textId="77777777" w:rsidR="00DD77BD" w:rsidRPr="000F2393" w:rsidRDefault="00E65A79" w:rsidP="00E65A79">
      <w:pPr>
        <w:pStyle w:val="NormalBulleteda"/>
      </w:pPr>
      <w:r>
        <w:t>(</w:t>
      </w:r>
      <w:r w:rsidR="00DD77BD" w:rsidRPr="000F2393">
        <w:t>b)</w:t>
      </w:r>
      <w:r>
        <w:tab/>
      </w:r>
      <w:r w:rsidR="00DD77BD" w:rsidRPr="000F2393">
        <w:t xml:space="preserve">a technician is in continuous attendance under the supervision of a qualified sleep medicine practitioner; </w:t>
      </w:r>
    </w:p>
    <w:p w14:paraId="1D0A0ABE" w14:textId="77777777" w:rsidR="00DD77BD" w:rsidRPr="000F2393" w:rsidRDefault="00E65A79" w:rsidP="00E65A79">
      <w:pPr>
        <w:pStyle w:val="NormalBulleteda"/>
      </w:pPr>
      <w:r>
        <w:t>(</w:t>
      </w:r>
      <w:r w:rsidR="00DD77BD" w:rsidRPr="000F2393">
        <w:t>c)</w:t>
      </w:r>
      <w:r>
        <w:tab/>
      </w:r>
      <w:r w:rsidR="00DD77BD" w:rsidRPr="000F2393">
        <w:t xml:space="preserve">the patient is referred by a medical practitioner; </w:t>
      </w:r>
    </w:p>
    <w:p w14:paraId="254AE38E" w14:textId="77777777" w:rsidR="00DD77BD" w:rsidRPr="000F2393" w:rsidRDefault="00E65A79" w:rsidP="00E65A79">
      <w:pPr>
        <w:pStyle w:val="NormalBulleteda"/>
      </w:pPr>
      <w:r>
        <w:t>(</w:t>
      </w:r>
      <w:r w:rsidR="00DD77BD" w:rsidRPr="000F2393">
        <w:t>d)</w:t>
      </w:r>
      <w:r>
        <w:tab/>
      </w:r>
      <w:r w:rsidR="00DD77BD" w:rsidRPr="000F2393">
        <w:t>the necessity for the investigation is determined by a qualified adult sleep medicine practitioner prior to the investigation;</w:t>
      </w:r>
    </w:p>
    <w:p w14:paraId="450891D5" w14:textId="77777777" w:rsidR="00DD77BD" w:rsidRPr="000F2393" w:rsidRDefault="00E65A79" w:rsidP="00E65A79">
      <w:pPr>
        <w:pStyle w:val="NormalBulleteda"/>
      </w:pPr>
      <w:r>
        <w:t>(</w:t>
      </w:r>
      <w:r w:rsidR="00DD77BD" w:rsidRPr="000F2393">
        <w:t>e)</w:t>
      </w:r>
      <w:r>
        <w:tab/>
      </w:r>
      <w:r w:rsidR="00DD77BD" w:rsidRPr="000F2393">
        <w:t>polygraphic records are analysed (for assessment of sleep stage, arousals, respiratory events and assessment of clinically significant alterations in heart rate and limb movement) with manual scoring, or manual correction of computerised scoring in epochs of not more than 1 minute, and stored for interpretation and preparation of report; and</w:t>
      </w:r>
    </w:p>
    <w:p w14:paraId="74CF6AA6" w14:textId="77777777" w:rsidR="00DD77BD" w:rsidRPr="000F2393" w:rsidRDefault="00E65A79" w:rsidP="00E65A79">
      <w:pPr>
        <w:pStyle w:val="NormalBulleteda"/>
      </w:pPr>
      <w:r>
        <w:t>(</w:t>
      </w:r>
      <w:r w:rsidR="00DD77BD" w:rsidRPr="000F2393">
        <w:t>f)</w:t>
      </w:r>
      <w:r>
        <w:tab/>
      </w:r>
      <w:r w:rsidR="00DD77BD" w:rsidRPr="000F2393">
        <w:t>interpretation and report are provided by a qualified adult sleep medicine practitioner based on reviewing the direct original recording of polygraphic data from the patient</w:t>
      </w:r>
    </w:p>
    <w:p w14:paraId="543B4D14" w14:textId="77777777" w:rsidR="00DD77BD" w:rsidRPr="000F2393" w:rsidRDefault="00DD77BD" w:rsidP="00E65A79">
      <w:pPr>
        <w:rPr>
          <w:bCs/>
        </w:rPr>
      </w:pPr>
      <w:r w:rsidRPr="00E65A79">
        <w:rPr>
          <w:b/>
          <w:i/>
        </w:rPr>
        <w:t>where it can be demonstrated that a further investigation is indicated in the same 12 month period to which item 12203 applies</w:t>
      </w:r>
      <w:r w:rsidRPr="000F2393">
        <w:t xml:space="preserve"> for the adjustment and/or testing of the effectiveness of a </w:t>
      </w:r>
      <w:r w:rsidRPr="00E65A79">
        <w:rPr>
          <w:i/>
        </w:rPr>
        <w:t>positive pressure ventilatory support device</w:t>
      </w:r>
      <w:r w:rsidRPr="000F2393">
        <w:t xml:space="preserve"> (other than nasal continuous positive airway pressure) in sleep, in </w:t>
      </w:r>
      <w:r w:rsidRPr="000F2393">
        <w:lastRenderedPageBreak/>
        <w:t xml:space="preserve">a </w:t>
      </w:r>
      <w:r w:rsidRPr="00E65A79">
        <w:rPr>
          <w:i/>
        </w:rPr>
        <w:t>patient with severe cardio-respiratory failure</w:t>
      </w:r>
      <w:r w:rsidRPr="000F2393">
        <w:t xml:space="preserve">, </w:t>
      </w:r>
      <w:r w:rsidRPr="000F2393">
        <w:rPr>
          <w:u w:val="single"/>
        </w:rPr>
        <w:t>and</w:t>
      </w:r>
      <w:r w:rsidRPr="000F2393">
        <w:t xml:space="preserve"> where previous studies have demonstrated failure of continuous positive airway pressure or oxygen - </w:t>
      </w:r>
      <w:r w:rsidRPr="00E65A79">
        <w:rPr>
          <w:b/>
        </w:rPr>
        <w:t>each additional investigation</w:t>
      </w:r>
    </w:p>
    <w:p w14:paraId="0208CBF7" w14:textId="77777777" w:rsidR="00DD77BD" w:rsidRPr="000F2393" w:rsidRDefault="00DD77BD" w:rsidP="00DD77BD">
      <w:pPr>
        <w:autoSpaceDE w:val="0"/>
        <w:autoSpaceDN w:val="0"/>
        <w:adjustRightInd w:val="0"/>
        <w:spacing w:beforeLines="60" w:before="144" w:afterLines="60" w:after="144" w:line="240" w:lineRule="auto"/>
        <w:rPr>
          <w:rFonts w:cstheme="minorHAnsi"/>
          <w:color w:val="000000"/>
          <w:szCs w:val="22"/>
        </w:rPr>
      </w:pPr>
      <w:r w:rsidRPr="000F2393">
        <w:rPr>
          <w:rFonts w:cstheme="minorHAnsi"/>
          <w:i/>
          <w:color w:val="000000"/>
          <w:szCs w:val="22"/>
        </w:rPr>
        <w:t>(See para D1.18 of explanatory notes to this Category)</w:t>
      </w:r>
    </w:p>
    <w:p w14:paraId="26857216" w14:textId="77777777" w:rsidR="00E65A79" w:rsidRDefault="00DD77BD" w:rsidP="00DD77BD">
      <w:pPr>
        <w:rPr>
          <w:rFonts w:cstheme="minorHAnsi"/>
          <w:szCs w:val="22"/>
        </w:rPr>
      </w:pPr>
      <w:r w:rsidRPr="00263085">
        <w:rPr>
          <w:rFonts w:cstheme="minorHAnsi"/>
          <w:b/>
          <w:szCs w:val="22"/>
        </w:rPr>
        <w:t xml:space="preserve">Fee: </w:t>
      </w:r>
      <w:r w:rsidRPr="00263085">
        <w:rPr>
          <w:rFonts w:cstheme="minorHAnsi"/>
          <w:szCs w:val="22"/>
        </w:rPr>
        <w:t>$588.00</w:t>
      </w:r>
    </w:p>
    <w:p w14:paraId="6876880A" w14:textId="77777777" w:rsidR="00DD77BD" w:rsidRDefault="00DD77BD" w:rsidP="00DD77BD">
      <w:r w:rsidRPr="00263085">
        <w:rPr>
          <w:rFonts w:cstheme="minorHAnsi"/>
          <w:b/>
          <w:szCs w:val="22"/>
        </w:rPr>
        <w:t xml:space="preserve">Benefit: </w:t>
      </w:r>
      <w:r w:rsidRPr="00263085">
        <w:rPr>
          <w:rFonts w:cstheme="minorHAnsi"/>
          <w:szCs w:val="22"/>
        </w:rPr>
        <w:t>75% = $441.00</w:t>
      </w:r>
      <w:r w:rsidR="00E65A79">
        <w:rPr>
          <w:rFonts w:cstheme="minorHAnsi"/>
          <w:szCs w:val="22"/>
        </w:rPr>
        <w:t xml:space="preserve">; </w:t>
      </w:r>
      <w:r w:rsidRPr="00263085">
        <w:rPr>
          <w:rFonts w:cstheme="minorHAnsi"/>
          <w:szCs w:val="22"/>
        </w:rPr>
        <w:t>85% = $509.60</w:t>
      </w:r>
    </w:p>
    <w:p w14:paraId="264DD481" w14:textId="77777777" w:rsidR="00DD77BD" w:rsidRDefault="00DD77BD" w:rsidP="00E65A79">
      <w:pPr>
        <w:pStyle w:val="Heading3a"/>
      </w:pPr>
      <w:bookmarkStart w:id="313" w:name="_Toc458768496"/>
      <w:r>
        <w:t>12210</w:t>
      </w:r>
      <w:bookmarkEnd w:id="313"/>
    </w:p>
    <w:p w14:paraId="12DE2FC8" w14:textId="77777777" w:rsidR="00DD77BD" w:rsidRPr="00263085" w:rsidRDefault="00DD77BD" w:rsidP="00E65A79">
      <w:r w:rsidRPr="00263085">
        <w:t>Overnight paediatric investigation for a period of at least 8 hours duration for a child aged 0 - 12 years, where:</w:t>
      </w:r>
    </w:p>
    <w:p w14:paraId="70DBDA1B" w14:textId="77777777" w:rsidR="00DD77BD" w:rsidRPr="00263085" w:rsidRDefault="00E65A79" w:rsidP="00E65A79">
      <w:pPr>
        <w:pStyle w:val="NormalBulleteda"/>
      </w:pPr>
      <w:r>
        <w:t>(a)</w:t>
      </w:r>
      <w:r>
        <w:tab/>
      </w:r>
      <w:r w:rsidR="00DD77BD" w:rsidRPr="00263085">
        <w:t>continuous monitoring of oxygen saturation and breathing using a multi-channel polygraph, and recording of EEG (minimum of 4 EEG leads with facility to increase to 6 in selected investigations), EOG, EMG submental +/- diaphragm, respiratory movement must include rib and abdomen (+/- sum) airflow detection, measurement of CO2 either end-tidal or transcutaneous, oxygen saturation and ECG are performed;</w:t>
      </w:r>
    </w:p>
    <w:p w14:paraId="3D4B1E77" w14:textId="77777777" w:rsidR="00DD77BD" w:rsidRPr="00263085" w:rsidRDefault="00E65A79" w:rsidP="00E65A79">
      <w:pPr>
        <w:pStyle w:val="NormalBulleteda"/>
      </w:pPr>
      <w:r>
        <w:t>(b)</w:t>
      </w:r>
      <w:r>
        <w:tab/>
      </w:r>
      <w:r w:rsidR="00DD77BD" w:rsidRPr="00263085">
        <w:t>a technician or registered nurse with sleep technology training is in continuous attendance under the supervision of a qualified paediatric sleep medicine practitioner;</w:t>
      </w:r>
    </w:p>
    <w:p w14:paraId="05DCA15D" w14:textId="77777777" w:rsidR="00DD77BD" w:rsidRPr="00263085" w:rsidRDefault="00E65A79" w:rsidP="00E65A79">
      <w:pPr>
        <w:pStyle w:val="NormalBulleteda"/>
      </w:pPr>
      <w:r>
        <w:t>(c)</w:t>
      </w:r>
      <w:r>
        <w:tab/>
      </w:r>
      <w:r w:rsidR="00DD77BD" w:rsidRPr="00263085">
        <w:t>the patient is referred by a medical practitioner;</w:t>
      </w:r>
    </w:p>
    <w:p w14:paraId="7C271000" w14:textId="77777777" w:rsidR="00DD77BD" w:rsidRPr="00263085" w:rsidRDefault="00E65A79" w:rsidP="00E65A79">
      <w:pPr>
        <w:pStyle w:val="NormalBulleteda"/>
      </w:pPr>
      <w:r>
        <w:t>(d)</w:t>
      </w:r>
      <w:r>
        <w:tab/>
      </w:r>
      <w:r w:rsidR="00DD77BD" w:rsidRPr="00263085">
        <w:t>the necessity for the investigation is determined by a qualified paediatric sleep medicine practitioner prior to the investigation;</w:t>
      </w:r>
    </w:p>
    <w:p w14:paraId="019DB814" w14:textId="77777777" w:rsidR="00DD77BD" w:rsidRPr="00263085" w:rsidRDefault="00E65A79" w:rsidP="00E65A79">
      <w:pPr>
        <w:pStyle w:val="NormalBulleteda"/>
      </w:pPr>
      <w:r>
        <w:t>(e)</w:t>
      </w:r>
      <w:r>
        <w:tab/>
      </w:r>
      <w:r w:rsidR="00DD77BD" w:rsidRPr="00263085">
        <w:t>polygraphic records are analysed (for assessment of sleep stage, and maturation of sleep indices, arousals, respiratory events and the assessment of clinically significant alterations in heart rate and body movement) with manual scoring, or manual correction of computerised scoring in epochs of not more than 1 minute, and stored for interpretation and preparation of report;</w:t>
      </w:r>
    </w:p>
    <w:p w14:paraId="1AAB9648" w14:textId="77777777" w:rsidR="00DD77BD" w:rsidRPr="00263085" w:rsidRDefault="00E65A79" w:rsidP="00E65A79">
      <w:pPr>
        <w:pStyle w:val="NormalBulleteda"/>
      </w:pPr>
      <w:r>
        <w:t>(f)</w:t>
      </w:r>
      <w:r>
        <w:tab/>
      </w:r>
      <w:r w:rsidR="00DD77BD" w:rsidRPr="00263085">
        <w:t>the interpretation and report to be provided by a qualified paediatric sleep medicine practitioner based on reviewing the direct original recording of polygraphic data from the patient.</w:t>
      </w:r>
    </w:p>
    <w:p w14:paraId="43B118C8" w14:textId="77777777" w:rsidR="00DD77BD" w:rsidRPr="00263085" w:rsidRDefault="00DD77BD" w:rsidP="00DD77BD">
      <w:pPr>
        <w:autoSpaceDE w:val="0"/>
        <w:autoSpaceDN w:val="0"/>
        <w:adjustRightInd w:val="0"/>
        <w:spacing w:beforeLines="60" w:before="144" w:afterLines="60" w:after="144" w:line="240" w:lineRule="auto"/>
        <w:rPr>
          <w:rFonts w:cstheme="minorHAnsi"/>
          <w:color w:val="000000"/>
          <w:szCs w:val="22"/>
        </w:rPr>
      </w:pPr>
      <w:r w:rsidRPr="00263085">
        <w:rPr>
          <w:rFonts w:cstheme="minorHAnsi"/>
          <w:color w:val="000000"/>
          <w:szCs w:val="22"/>
        </w:rPr>
        <w:t>payable only in relation to the first 3 occasions the investigation is performed in a 12 month period.</w:t>
      </w:r>
    </w:p>
    <w:p w14:paraId="7C1080B7" w14:textId="77777777" w:rsidR="00DD77BD" w:rsidRPr="00263085" w:rsidRDefault="00DD77BD" w:rsidP="00DD77BD">
      <w:pPr>
        <w:spacing w:beforeLines="60" w:before="144" w:afterLines="60" w:after="144" w:line="240" w:lineRule="auto"/>
        <w:rPr>
          <w:rFonts w:cstheme="minorHAnsi"/>
          <w:szCs w:val="22"/>
        </w:rPr>
      </w:pPr>
      <w:r w:rsidRPr="00263085">
        <w:rPr>
          <w:rFonts w:cstheme="minorHAnsi"/>
          <w:i/>
          <w:szCs w:val="22"/>
        </w:rPr>
        <w:t>(See para D1.18 of explanatory notes to this Category)</w:t>
      </w:r>
    </w:p>
    <w:p w14:paraId="2026DCBA" w14:textId="77777777" w:rsidR="00E65A79" w:rsidRDefault="00DD77BD" w:rsidP="00DD77BD">
      <w:pPr>
        <w:rPr>
          <w:rFonts w:cstheme="minorHAnsi"/>
          <w:szCs w:val="22"/>
        </w:rPr>
      </w:pPr>
      <w:r w:rsidRPr="00263085">
        <w:rPr>
          <w:rFonts w:cstheme="minorHAnsi"/>
          <w:b/>
          <w:szCs w:val="22"/>
        </w:rPr>
        <w:t xml:space="preserve">Fee: </w:t>
      </w:r>
      <w:r w:rsidRPr="00263085">
        <w:rPr>
          <w:rFonts w:cstheme="minorHAnsi"/>
          <w:szCs w:val="22"/>
        </w:rPr>
        <w:t>$701.85</w:t>
      </w:r>
    </w:p>
    <w:p w14:paraId="0DEE82F2" w14:textId="77777777" w:rsidR="00DD77BD" w:rsidRDefault="00DD77BD" w:rsidP="00DD77BD">
      <w:pPr>
        <w:rPr>
          <w:rFonts w:cstheme="minorHAnsi"/>
          <w:szCs w:val="22"/>
        </w:rPr>
      </w:pPr>
      <w:r w:rsidRPr="00263085">
        <w:rPr>
          <w:rFonts w:cstheme="minorHAnsi"/>
          <w:b/>
          <w:szCs w:val="22"/>
        </w:rPr>
        <w:t xml:space="preserve">Benefit: </w:t>
      </w:r>
      <w:r w:rsidRPr="00263085">
        <w:rPr>
          <w:rFonts w:cstheme="minorHAnsi"/>
          <w:szCs w:val="22"/>
        </w:rPr>
        <w:t>75% = $526.40</w:t>
      </w:r>
      <w:r w:rsidR="00E65A79">
        <w:rPr>
          <w:rFonts w:cstheme="minorHAnsi"/>
          <w:szCs w:val="22"/>
        </w:rPr>
        <w:t xml:space="preserve">; </w:t>
      </w:r>
      <w:r w:rsidRPr="00263085">
        <w:rPr>
          <w:rFonts w:cstheme="minorHAnsi"/>
          <w:szCs w:val="22"/>
        </w:rPr>
        <w:t>85% = $623.45</w:t>
      </w:r>
    </w:p>
    <w:p w14:paraId="12223A4F" w14:textId="77777777" w:rsidR="00DD77BD" w:rsidRDefault="00DD77BD" w:rsidP="00E65A79">
      <w:pPr>
        <w:pStyle w:val="Heading3a"/>
        <w:rPr>
          <w:rFonts w:cstheme="minorHAnsi"/>
          <w:szCs w:val="22"/>
        </w:rPr>
      </w:pPr>
      <w:bookmarkStart w:id="314" w:name="_Toc458768497"/>
      <w:r>
        <w:t>12213</w:t>
      </w:r>
      <w:bookmarkEnd w:id="314"/>
    </w:p>
    <w:p w14:paraId="4623AB9C" w14:textId="77777777" w:rsidR="00DD77BD" w:rsidRPr="00263085" w:rsidRDefault="00DD77BD" w:rsidP="00E65A79">
      <w:r w:rsidRPr="00263085">
        <w:t>Overnight paediatric investigation for a period of at least 8 hours duration for a child aged between 12 and 18 years, where:</w:t>
      </w:r>
    </w:p>
    <w:p w14:paraId="617B6160" w14:textId="77777777" w:rsidR="00DD77BD" w:rsidRPr="00263085" w:rsidRDefault="00E65A79" w:rsidP="00E65A79">
      <w:pPr>
        <w:pStyle w:val="NormalBulleteda"/>
      </w:pPr>
      <w:r>
        <w:lastRenderedPageBreak/>
        <w:t>(a)</w:t>
      </w:r>
      <w:r>
        <w:tab/>
      </w:r>
      <w:r w:rsidR="00DD77BD" w:rsidRPr="00263085">
        <w:t>continuous monitoring of oxygen saturation and breathing using a multi-channel polygraph, and recording of EEG (minimum of 4 EEG leads with facility to increase to 6 in selected investigations), EOG, EMG submental +/- diaphragm, respiratory movement must include rib and abdomen (+/- sum) airflow detection, measurement of CO2 either end-tidal or transcutaneous, oxygen saturation and ECG are performed;</w:t>
      </w:r>
    </w:p>
    <w:p w14:paraId="55539AAE" w14:textId="77777777" w:rsidR="00DD77BD" w:rsidRPr="00263085" w:rsidRDefault="00E65A79" w:rsidP="00E65A79">
      <w:pPr>
        <w:pStyle w:val="NormalBulleteda"/>
      </w:pPr>
      <w:r>
        <w:t>(b)</w:t>
      </w:r>
      <w:r>
        <w:tab/>
      </w:r>
      <w:r w:rsidR="00DD77BD" w:rsidRPr="00263085">
        <w:t>a technician or registered nurse with sleep technology training is in continuous attendance under the supervision of a qualified sleep medicine practitioner;</w:t>
      </w:r>
    </w:p>
    <w:p w14:paraId="0361FA41" w14:textId="77777777" w:rsidR="00DD77BD" w:rsidRPr="00263085" w:rsidRDefault="00E65A79" w:rsidP="00E65A79">
      <w:pPr>
        <w:pStyle w:val="NormalBulleteda"/>
      </w:pPr>
      <w:r>
        <w:t>(c)</w:t>
      </w:r>
      <w:r>
        <w:tab/>
      </w:r>
      <w:r w:rsidR="00DD77BD" w:rsidRPr="00263085">
        <w:t>the patient is referred by a medical practitioner;</w:t>
      </w:r>
    </w:p>
    <w:p w14:paraId="60CA3873" w14:textId="77777777" w:rsidR="00DD77BD" w:rsidRPr="00263085" w:rsidRDefault="00E65A79" w:rsidP="00E65A79">
      <w:pPr>
        <w:pStyle w:val="NormalBulleteda"/>
      </w:pPr>
      <w:r>
        <w:t>(d)</w:t>
      </w:r>
      <w:r>
        <w:tab/>
      </w:r>
      <w:r w:rsidR="00DD77BD" w:rsidRPr="00263085">
        <w:t>the necessity for the investigation is determined by a qualified sleep medicine practitioner prior to the investigation;</w:t>
      </w:r>
    </w:p>
    <w:p w14:paraId="48E46D64" w14:textId="77777777" w:rsidR="00DD77BD" w:rsidRPr="00263085" w:rsidRDefault="00E65A79" w:rsidP="00E65A79">
      <w:pPr>
        <w:pStyle w:val="NormalBulleteda"/>
      </w:pPr>
      <w:r>
        <w:t>(e)</w:t>
      </w:r>
      <w:r>
        <w:tab/>
      </w:r>
      <w:r w:rsidR="00DD77BD" w:rsidRPr="00263085">
        <w:t>polygraphic records are analysed (for assessment of sleep stage, and maturation of sleep indices, arousals, respiratory events and the assessment of clinically significant alterations in heart rate and body movement) with manual scoring, or manual correction of computerised scoring in epochs of not more than 1 minute, and stored for interpretation and preparation of report;</w:t>
      </w:r>
    </w:p>
    <w:p w14:paraId="7E457874" w14:textId="77777777" w:rsidR="00DD77BD" w:rsidRPr="00263085" w:rsidRDefault="00E65A79" w:rsidP="00E65A79">
      <w:pPr>
        <w:pStyle w:val="NormalBulleteda"/>
      </w:pPr>
      <w:r>
        <w:t>(f)</w:t>
      </w:r>
      <w:r>
        <w:tab/>
      </w:r>
      <w:r w:rsidR="00DD77BD" w:rsidRPr="00263085">
        <w:t>the interpretation and report to be provided by a qualified sleep medicine practitioner based on reviewing the direct original recording of polygraphic data from the patient.</w:t>
      </w:r>
    </w:p>
    <w:p w14:paraId="4A2B0642" w14:textId="77777777" w:rsidR="00DD77BD" w:rsidRPr="00263085" w:rsidRDefault="00DD77BD" w:rsidP="00DD77BD">
      <w:pPr>
        <w:autoSpaceDE w:val="0"/>
        <w:autoSpaceDN w:val="0"/>
        <w:adjustRightInd w:val="0"/>
        <w:spacing w:beforeLines="60" w:before="144" w:afterLines="60" w:after="144" w:line="240" w:lineRule="auto"/>
        <w:rPr>
          <w:rFonts w:cstheme="minorHAnsi"/>
          <w:color w:val="000000"/>
          <w:szCs w:val="22"/>
        </w:rPr>
      </w:pPr>
      <w:r w:rsidRPr="00263085">
        <w:rPr>
          <w:rFonts w:cstheme="minorHAnsi"/>
          <w:color w:val="000000"/>
          <w:szCs w:val="22"/>
        </w:rPr>
        <w:t>payable only in relation to the first 3 occasions the investigation is performed in a 12 month period.</w:t>
      </w:r>
    </w:p>
    <w:p w14:paraId="6F9BDF3A" w14:textId="77777777" w:rsidR="00DD77BD" w:rsidRPr="00263085" w:rsidRDefault="00DD77BD" w:rsidP="00DD77BD">
      <w:pPr>
        <w:spacing w:beforeLines="60" w:before="144" w:afterLines="60" w:after="144" w:line="240" w:lineRule="auto"/>
        <w:rPr>
          <w:rFonts w:cstheme="minorHAnsi"/>
          <w:szCs w:val="22"/>
        </w:rPr>
      </w:pPr>
      <w:r w:rsidRPr="00263085">
        <w:rPr>
          <w:rFonts w:cstheme="minorHAnsi"/>
          <w:i/>
          <w:szCs w:val="22"/>
        </w:rPr>
        <w:t>(See para D1.18 of explanatory notes to this Category)</w:t>
      </w:r>
    </w:p>
    <w:p w14:paraId="49CF9853" w14:textId="77777777" w:rsidR="00E65A79" w:rsidRDefault="00DD77BD" w:rsidP="00DD77BD">
      <w:pPr>
        <w:rPr>
          <w:rFonts w:cstheme="minorHAnsi"/>
          <w:szCs w:val="22"/>
        </w:rPr>
      </w:pPr>
      <w:r w:rsidRPr="00263085">
        <w:rPr>
          <w:rFonts w:cstheme="minorHAnsi"/>
          <w:b/>
          <w:szCs w:val="22"/>
        </w:rPr>
        <w:t xml:space="preserve">Fee: </w:t>
      </w:r>
      <w:r w:rsidRPr="00263085">
        <w:rPr>
          <w:rFonts w:cstheme="minorHAnsi"/>
          <w:szCs w:val="22"/>
        </w:rPr>
        <w:t>$632.30</w:t>
      </w:r>
    </w:p>
    <w:p w14:paraId="3C13837E" w14:textId="77777777" w:rsidR="00DD77BD" w:rsidRDefault="00DD77BD" w:rsidP="00DD77BD">
      <w:pPr>
        <w:rPr>
          <w:rFonts w:cstheme="minorHAnsi"/>
          <w:szCs w:val="22"/>
        </w:rPr>
      </w:pPr>
      <w:r w:rsidRPr="00263085">
        <w:rPr>
          <w:rFonts w:cstheme="minorHAnsi"/>
          <w:b/>
          <w:szCs w:val="22"/>
        </w:rPr>
        <w:t xml:space="preserve">Benefit: </w:t>
      </w:r>
      <w:r w:rsidRPr="00263085">
        <w:rPr>
          <w:rFonts w:cstheme="minorHAnsi"/>
          <w:szCs w:val="22"/>
        </w:rPr>
        <w:t>75% = $474.25</w:t>
      </w:r>
      <w:r w:rsidR="00E65A79">
        <w:rPr>
          <w:rFonts w:cstheme="minorHAnsi"/>
          <w:szCs w:val="22"/>
        </w:rPr>
        <w:t xml:space="preserve">; </w:t>
      </w:r>
      <w:r w:rsidRPr="00263085">
        <w:rPr>
          <w:rFonts w:cstheme="minorHAnsi"/>
          <w:szCs w:val="22"/>
        </w:rPr>
        <w:t>85% = $553.90</w:t>
      </w:r>
    </w:p>
    <w:p w14:paraId="53A83C5C" w14:textId="77777777" w:rsidR="00DD77BD" w:rsidRDefault="00DD77BD" w:rsidP="00E65A79">
      <w:pPr>
        <w:pStyle w:val="Heading3a"/>
        <w:rPr>
          <w:rFonts w:cstheme="minorHAnsi"/>
          <w:szCs w:val="22"/>
        </w:rPr>
      </w:pPr>
      <w:bookmarkStart w:id="315" w:name="_Toc458768498"/>
      <w:r>
        <w:t>12215</w:t>
      </w:r>
      <w:bookmarkEnd w:id="315"/>
    </w:p>
    <w:p w14:paraId="7820691D" w14:textId="77777777" w:rsidR="00DD77BD" w:rsidRPr="00263085" w:rsidRDefault="00DD77BD" w:rsidP="00E65A79">
      <w:r w:rsidRPr="00263085">
        <w:t>Overnight paediatric investigation for a period of at least 8 hours duration for children aged 0 - 12 years, where:</w:t>
      </w:r>
    </w:p>
    <w:p w14:paraId="0E6D799F" w14:textId="77777777" w:rsidR="00DD77BD" w:rsidRPr="008208DE" w:rsidRDefault="00E65A79" w:rsidP="00E65A79">
      <w:pPr>
        <w:pStyle w:val="NormalBulleteda"/>
      </w:pPr>
      <w:r>
        <w:t>(a)</w:t>
      </w:r>
      <w:r>
        <w:tab/>
      </w:r>
      <w:r w:rsidR="00DD77BD" w:rsidRPr="008208DE">
        <w:t>continuous monitoring of oxygen saturation and breathing using a multi-channel polygraph, and recording of EEG (minimum of 4 EEG leads with facility to increase to 6 in selected investigations), EOG, EMG submental +/- diaphragm, respiratory movement must include rib and abdomen (+/- sum) airflow detection, measurement of CO2 either end-tidal or transcutaneous, oxygen saturation and ECG are performed;</w:t>
      </w:r>
    </w:p>
    <w:p w14:paraId="18DF7473" w14:textId="77777777" w:rsidR="00DD77BD" w:rsidRPr="008208DE" w:rsidRDefault="00E65A79" w:rsidP="00E65A79">
      <w:pPr>
        <w:pStyle w:val="NormalBulleteda"/>
      </w:pPr>
      <w:r>
        <w:t>(b)</w:t>
      </w:r>
      <w:r>
        <w:tab/>
      </w:r>
      <w:r w:rsidR="00DD77BD" w:rsidRPr="008208DE">
        <w:t>a technician or registered nurse with sleep technology training is in continuous attendance under the supervision of a qualified paediatric sleep medicine practitioner;</w:t>
      </w:r>
    </w:p>
    <w:p w14:paraId="4F830F48" w14:textId="77777777" w:rsidR="00DD77BD" w:rsidRPr="008208DE" w:rsidRDefault="00E65A79" w:rsidP="00E65A79">
      <w:pPr>
        <w:pStyle w:val="NormalBulleteda"/>
      </w:pPr>
      <w:r>
        <w:t>(c)</w:t>
      </w:r>
      <w:r>
        <w:tab/>
      </w:r>
      <w:r w:rsidR="00DD77BD" w:rsidRPr="008208DE">
        <w:t>the patient is referred by a medical practitioner;</w:t>
      </w:r>
    </w:p>
    <w:p w14:paraId="71EE1D23" w14:textId="77777777" w:rsidR="00DD77BD" w:rsidRPr="008208DE" w:rsidRDefault="00E65A79" w:rsidP="00E65A79">
      <w:pPr>
        <w:pStyle w:val="NormalBulleteda"/>
      </w:pPr>
      <w:r>
        <w:t>(d)</w:t>
      </w:r>
      <w:r>
        <w:tab/>
      </w:r>
      <w:r w:rsidR="00DD77BD" w:rsidRPr="008208DE">
        <w:t>the necessity for the investigation is determined by a qualified paediatric sleep medicine practitioner prior to the investigation;</w:t>
      </w:r>
    </w:p>
    <w:p w14:paraId="56E0BBB4" w14:textId="77777777" w:rsidR="00DD77BD" w:rsidRPr="008208DE" w:rsidRDefault="00E65A79" w:rsidP="00E65A79">
      <w:pPr>
        <w:pStyle w:val="NormalBulleteda"/>
      </w:pPr>
      <w:r>
        <w:t>(e)</w:t>
      </w:r>
      <w:r>
        <w:tab/>
      </w:r>
      <w:r w:rsidR="00DD77BD" w:rsidRPr="008208DE">
        <w:t xml:space="preserve">polygraphic records are analysed (for assessment of sleep stage, and maturation of sleep indices, arousals, respiratory events and the assessment of clinically significant alterations in </w:t>
      </w:r>
      <w:r w:rsidR="00DD77BD" w:rsidRPr="008208DE">
        <w:lastRenderedPageBreak/>
        <w:t>heart rate and body movement) with manual scoring, or manual correction of computerised scoring in epochs of not more than 1 minute, and stored for interpretation and preparation of report;</w:t>
      </w:r>
    </w:p>
    <w:p w14:paraId="068DC920" w14:textId="77777777" w:rsidR="00DD77BD" w:rsidRPr="008208DE" w:rsidRDefault="00E65A79" w:rsidP="00E65A79">
      <w:pPr>
        <w:pStyle w:val="NormalBulleteda"/>
      </w:pPr>
      <w:r>
        <w:t>(f)</w:t>
      </w:r>
      <w:r>
        <w:tab/>
      </w:r>
      <w:r w:rsidR="00DD77BD" w:rsidRPr="008208DE">
        <w:t>the interpretation and report to be provided by a qualified paediatric sleep medicine practitioner based on reviewing the direct original recording of polygraphic data from the patient.</w:t>
      </w:r>
    </w:p>
    <w:p w14:paraId="08699736" w14:textId="77777777" w:rsidR="00DD77BD" w:rsidRPr="00263085" w:rsidRDefault="00DD77BD" w:rsidP="00DD77BD">
      <w:pPr>
        <w:autoSpaceDE w:val="0"/>
        <w:autoSpaceDN w:val="0"/>
        <w:adjustRightInd w:val="0"/>
        <w:spacing w:beforeLines="60" w:before="144" w:afterLines="60" w:after="144" w:line="240" w:lineRule="auto"/>
        <w:rPr>
          <w:rFonts w:cstheme="minorHAnsi"/>
          <w:color w:val="000000"/>
          <w:szCs w:val="22"/>
        </w:rPr>
      </w:pPr>
      <w:r w:rsidRPr="00263085">
        <w:rPr>
          <w:rFonts w:cstheme="minorHAnsi"/>
          <w:color w:val="000000"/>
          <w:szCs w:val="22"/>
        </w:rPr>
        <w:t>where it can be demonstrated that a further investigation is indicated in the same 12 month period to which item 12210 applies, for therapy with Continuous Positive Airway Pressure (CPAP), bilevel pressure support and/or ventilation is instigated or in the presence of recurring hypoxia and supplemental oxygen is required - each additional investigation.</w:t>
      </w:r>
    </w:p>
    <w:p w14:paraId="55DAAA23" w14:textId="77777777" w:rsidR="00DD77BD" w:rsidRPr="00263085" w:rsidRDefault="00DD77BD" w:rsidP="00DD77BD">
      <w:pPr>
        <w:spacing w:beforeLines="60" w:before="144" w:afterLines="60" w:after="144" w:line="240" w:lineRule="auto"/>
        <w:rPr>
          <w:rFonts w:cstheme="minorHAnsi"/>
          <w:szCs w:val="22"/>
        </w:rPr>
      </w:pPr>
      <w:r w:rsidRPr="00263085">
        <w:rPr>
          <w:rFonts w:cstheme="minorHAnsi"/>
          <w:i/>
          <w:szCs w:val="22"/>
        </w:rPr>
        <w:t>(See para D1.18 of explanatory notes to this Category)</w:t>
      </w:r>
    </w:p>
    <w:p w14:paraId="40BDF168" w14:textId="77777777" w:rsidR="00E65A79" w:rsidRDefault="00DD77BD" w:rsidP="00DD77BD">
      <w:pPr>
        <w:rPr>
          <w:rFonts w:cstheme="minorHAnsi"/>
          <w:szCs w:val="22"/>
        </w:rPr>
      </w:pPr>
      <w:r w:rsidRPr="00263085">
        <w:rPr>
          <w:rFonts w:cstheme="minorHAnsi"/>
          <w:b/>
          <w:szCs w:val="22"/>
        </w:rPr>
        <w:t xml:space="preserve">Fee: </w:t>
      </w:r>
      <w:r w:rsidRPr="00263085">
        <w:rPr>
          <w:rFonts w:cstheme="minorHAnsi"/>
          <w:szCs w:val="22"/>
        </w:rPr>
        <w:t>$701.85</w:t>
      </w:r>
    </w:p>
    <w:p w14:paraId="51E303D0" w14:textId="77777777" w:rsidR="00DD77BD" w:rsidRDefault="00DD77BD" w:rsidP="00DD77BD">
      <w:pPr>
        <w:rPr>
          <w:rFonts w:cstheme="minorHAnsi"/>
          <w:szCs w:val="22"/>
        </w:rPr>
      </w:pPr>
      <w:r w:rsidRPr="00263085">
        <w:rPr>
          <w:rFonts w:cstheme="minorHAnsi"/>
          <w:b/>
          <w:szCs w:val="22"/>
        </w:rPr>
        <w:t xml:space="preserve">Benefit: </w:t>
      </w:r>
      <w:r w:rsidR="00E65A79">
        <w:rPr>
          <w:rFonts w:cstheme="minorHAnsi"/>
          <w:szCs w:val="22"/>
        </w:rPr>
        <w:t xml:space="preserve">75% = $526.40; </w:t>
      </w:r>
      <w:r w:rsidRPr="00263085">
        <w:rPr>
          <w:rFonts w:cstheme="minorHAnsi"/>
          <w:szCs w:val="22"/>
        </w:rPr>
        <w:t>85% = $623.45</w:t>
      </w:r>
    </w:p>
    <w:p w14:paraId="0D162506" w14:textId="77777777" w:rsidR="00DD77BD" w:rsidRDefault="00DD77BD" w:rsidP="00E65A79">
      <w:pPr>
        <w:pStyle w:val="Heading3a"/>
      </w:pPr>
      <w:bookmarkStart w:id="316" w:name="_Toc458768499"/>
      <w:r>
        <w:t>12217</w:t>
      </w:r>
      <w:bookmarkEnd w:id="316"/>
    </w:p>
    <w:p w14:paraId="2596FE38" w14:textId="77777777" w:rsidR="00DD77BD" w:rsidRPr="00263085" w:rsidRDefault="00DD77BD" w:rsidP="00E65A79">
      <w:r w:rsidRPr="00263085">
        <w:t>Overnight paediatric investigation for a period of at least 8 hours duration for children aged between 12 and 18 years, where:</w:t>
      </w:r>
    </w:p>
    <w:p w14:paraId="2CA3762C" w14:textId="77777777" w:rsidR="00DD77BD" w:rsidRPr="00263085" w:rsidRDefault="00E65A79" w:rsidP="00E65A79">
      <w:pPr>
        <w:pStyle w:val="NormalBulleteda"/>
      </w:pPr>
      <w:r>
        <w:t>(a)</w:t>
      </w:r>
      <w:r>
        <w:tab/>
      </w:r>
      <w:r w:rsidR="00DD77BD" w:rsidRPr="00263085">
        <w:t>continuous monitoring of oxygen saturation and breathing using a multi-channel polygraph, and recording of EEG (minimum of 4 EEG leads with facility to increase to 6 in selected investigations), EOG, EMG submental +/- diaphragm, respiratory movement must include rib and abdomen (+/- sum) airflow detection, measurement of CO2 either end-tidal or transcutaneous, oxygen saturation and ECG are performed;</w:t>
      </w:r>
    </w:p>
    <w:p w14:paraId="15F948EF" w14:textId="77777777" w:rsidR="00DD77BD" w:rsidRPr="00263085" w:rsidRDefault="00E65A79" w:rsidP="00E65A79">
      <w:pPr>
        <w:pStyle w:val="NormalBulleteda"/>
      </w:pPr>
      <w:r>
        <w:t>(b)</w:t>
      </w:r>
      <w:r>
        <w:tab/>
      </w:r>
      <w:r w:rsidR="00DD77BD" w:rsidRPr="00263085">
        <w:t>a technician or registered nurse with sleep technology training is in continuous attendance under the supervision of a qualified sleep medicine practitioner;</w:t>
      </w:r>
    </w:p>
    <w:p w14:paraId="176FAF3A" w14:textId="77777777" w:rsidR="00DD77BD" w:rsidRPr="00263085" w:rsidRDefault="00E65A79" w:rsidP="00E65A79">
      <w:pPr>
        <w:pStyle w:val="NormalBulleteda"/>
      </w:pPr>
      <w:r>
        <w:t>(c)</w:t>
      </w:r>
      <w:r>
        <w:tab/>
      </w:r>
      <w:r w:rsidR="00DD77BD" w:rsidRPr="00263085">
        <w:t>the patient is referred by a medical practitioner;</w:t>
      </w:r>
    </w:p>
    <w:p w14:paraId="32A1F29A" w14:textId="77777777" w:rsidR="00DD77BD" w:rsidRPr="00263085" w:rsidRDefault="00E65A79" w:rsidP="00E65A79">
      <w:pPr>
        <w:pStyle w:val="NormalBulleteda"/>
      </w:pPr>
      <w:r>
        <w:t>(d)</w:t>
      </w:r>
      <w:r>
        <w:tab/>
      </w:r>
      <w:r w:rsidR="00DD77BD" w:rsidRPr="00263085">
        <w:t>the necessity for the investigation is determined by a qualified sleep medicine practitioner prior to the investigation;</w:t>
      </w:r>
    </w:p>
    <w:p w14:paraId="09E4D012" w14:textId="77777777" w:rsidR="00DD77BD" w:rsidRPr="00263085" w:rsidRDefault="00E65A79" w:rsidP="00E65A79">
      <w:pPr>
        <w:pStyle w:val="NormalBulleteda"/>
      </w:pPr>
      <w:r>
        <w:t>(e)</w:t>
      </w:r>
      <w:r>
        <w:tab/>
      </w:r>
      <w:r w:rsidR="00DD77BD" w:rsidRPr="00263085">
        <w:t>polygraphic records are analysed (for assessment of sleep stage, and maturation of sleep indices, arousals, respiratory events and the assessment of clinically significant alterations in heart rate and body movement) with manual scoring, or manual correction of computerised scoring in epochs of not more than 1 minute, and stored for interpretation and preparation of report;</w:t>
      </w:r>
    </w:p>
    <w:p w14:paraId="2A0EF903" w14:textId="77777777" w:rsidR="00DD77BD" w:rsidRPr="00263085" w:rsidRDefault="00E65A79" w:rsidP="00E65A79">
      <w:pPr>
        <w:pStyle w:val="NormalBulleteda"/>
      </w:pPr>
      <w:r>
        <w:t>(f)</w:t>
      </w:r>
      <w:r>
        <w:tab/>
      </w:r>
      <w:r w:rsidR="00DD77BD" w:rsidRPr="00263085">
        <w:t>the interpretation and report to be provided by a qualified sleep medicine practitioner based on reviewing the direct original recording of polygraphic data from the patient.</w:t>
      </w:r>
    </w:p>
    <w:p w14:paraId="1B73C3F4" w14:textId="77777777" w:rsidR="00DD77BD" w:rsidRPr="00263085" w:rsidRDefault="00DD77BD" w:rsidP="00DD77BD">
      <w:pPr>
        <w:autoSpaceDE w:val="0"/>
        <w:autoSpaceDN w:val="0"/>
        <w:adjustRightInd w:val="0"/>
        <w:spacing w:beforeLines="60" w:before="144" w:afterLines="60" w:after="144" w:line="240" w:lineRule="auto"/>
        <w:rPr>
          <w:rFonts w:cstheme="minorHAnsi"/>
          <w:color w:val="000000"/>
          <w:szCs w:val="22"/>
        </w:rPr>
      </w:pPr>
      <w:r w:rsidRPr="00263085">
        <w:rPr>
          <w:rFonts w:cstheme="minorHAnsi"/>
          <w:color w:val="000000"/>
          <w:szCs w:val="22"/>
        </w:rPr>
        <w:t>where it can be demonstrated that a further investigation is indicated in the same 12 month period to which item 12213 applies, for therapy with Continuous Positive Airway Pressure (CPAP), bilevel pressure support and/or ventilation is instigated or in the presence of recurring hypoxia and supplemental oxygen is required - each additional investigation.</w:t>
      </w:r>
    </w:p>
    <w:p w14:paraId="433135A4" w14:textId="77777777" w:rsidR="00DD77BD" w:rsidRPr="00263085" w:rsidRDefault="00DD77BD" w:rsidP="00DD77BD">
      <w:pPr>
        <w:spacing w:beforeLines="60" w:before="144" w:afterLines="60" w:after="144" w:line="240" w:lineRule="auto"/>
        <w:rPr>
          <w:rFonts w:cstheme="minorHAnsi"/>
          <w:szCs w:val="22"/>
        </w:rPr>
      </w:pPr>
      <w:r w:rsidRPr="00263085">
        <w:rPr>
          <w:rFonts w:cstheme="minorHAnsi"/>
          <w:i/>
          <w:szCs w:val="22"/>
        </w:rPr>
        <w:lastRenderedPageBreak/>
        <w:t>(See para D1.18 of explanatory notes to this Category)</w:t>
      </w:r>
    </w:p>
    <w:p w14:paraId="51E3B1CA" w14:textId="77777777" w:rsidR="00E65A79" w:rsidRDefault="00DD77BD" w:rsidP="00DD77BD">
      <w:pPr>
        <w:rPr>
          <w:rFonts w:cstheme="minorHAnsi"/>
          <w:szCs w:val="22"/>
        </w:rPr>
      </w:pPr>
      <w:r w:rsidRPr="00263085">
        <w:rPr>
          <w:rFonts w:cstheme="minorHAnsi"/>
          <w:b/>
          <w:szCs w:val="22"/>
        </w:rPr>
        <w:t xml:space="preserve">Fee: </w:t>
      </w:r>
      <w:r w:rsidRPr="00263085">
        <w:rPr>
          <w:rFonts w:cstheme="minorHAnsi"/>
          <w:szCs w:val="22"/>
        </w:rPr>
        <w:t>$632.30</w:t>
      </w:r>
    </w:p>
    <w:p w14:paraId="27286ABA" w14:textId="77777777" w:rsidR="00DD77BD" w:rsidRDefault="00DD77BD" w:rsidP="00DD77BD">
      <w:pPr>
        <w:rPr>
          <w:rFonts w:cstheme="minorHAnsi"/>
          <w:szCs w:val="22"/>
        </w:rPr>
      </w:pPr>
      <w:r w:rsidRPr="00263085">
        <w:rPr>
          <w:rFonts w:cstheme="minorHAnsi"/>
          <w:b/>
          <w:szCs w:val="22"/>
        </w:rPr>
        <w:t xml:space="preserve">Benefit: </w:t>
      </w:r>
      <w:r w:rsidRPr="00263085">
        <w:rPr>
          <w:rFonts w:cstheme="minorHAnsi"/>
          <w:szCs w:val="22"/>
        </w:rPr>
        <w:t>75% = $474.25</w:t>
      </w:r>
      <w:r w:rsidR="00774A9C">
        <w:rPr>
          <w:rFonts w:cstheme="minorHAnsi"/>
          <w:szCs w:val="22"/>
        </w:rPr>
        <w:t xml:space="preserve">; </w:t>
      </w:r>
      <w:r w:rsidRPr="00263085">
        <w:rPr>
          <w:rFonts w:cstheme="minorHAnsi"/>
          <w:szCs w:val="22"/>
        </w:rPr>
        <w:t>85% = $553.90</w:t>
      </w:r>
    </w:p>
    <w:p w14:paraId="54931AF7" w14:textId="77777777" w:rsidR="00DD77BD" w:rsidRDefault="00DD77BD" w:rsidP="00664F2C">
      <w:pPr>
        <w:pStyle w:val="Heading3a"/>
        <w:rPr>
          <w:rStyle w:val="IntenseReference"/>
          <w:b/>
          <w:bCs/>
          <w:i/>
          <w:smallCaps w:val="0"/>
          <w:color w:val="B56012"/>
          <w:spacing w:val="0"/>
        </w:rPr>
      </w:pPr>
      <w:bookmarkStart w:id="317" w:name="_Toc458768500"/>
      <w:r w:rsidRPr="003D2E37">
        <w:rPr>
          <w:rStyle w:val="IntenseReference"/>
          <w:b/>
          <w:bCs/>
          <w:i/>
          <w:smallCaps w:val="0"/>
          <w:color w:val="B56012"/>
          <w:spacing w:val="0"/>
        </w:rPr>
        <w:t>Explanatory note for</w:t>
      </w:r>
      <w:r>
        <w:rPr>
          <w:rStyle w:val="IntenseReference"/>
          <w:b/>
          <w:bCs/>
          <w:i/>
          <w:smallCaps w:val="0"/>
          <w:color w:val="B56012"/>
          <w:spacing w:val="0"/>
        </w:rPr>
        <w:t xml:space="preserve"> Investigations for Sleep Apnoea</w:t>
      </w:r>
      <w:bookmarkEnd w:id="317"/>
    </w:p>
    <w:p w14:paraId="2A7E54D1" w14:textId="77777777" w:rsidR="00137205" w:rsidRDefault="00137205" w:rsidP="00664F2C">
      <w:pPr>
        <w:rPr>
          <w:rStyle w:val="IntenseReference"/>
          <w:b w:val="0"/>
          <w:bCs w:val="0"/>
          <w:i w:val="0"/>
          <w:smallCaps w:val="0"/>
          <w:color w:val="B56012"/>
          <w:spacing w:val="0"/>
        </w:rPr>
      </w:pPr>
      <w:r w:rsidRPr="00AB726E">
        <w:rPr>
          <w:rFonts w:eastAsiaTheme="minorHAnsi"/>
        </w:rPr>
        <w:t>D.1.18.</w:t>
      </w:r>
    </w:p>
    <w:p w14:paraId="4B889CA8" w14:textId="77777777" w:rsidR="00137205" w:rsidRPr="00AB726E" w:rsidRDefault="00137205" w:rsidP="00664F2C">
      <w:pPr>
        <w:rPr>
          <w:rFonts w:eastAsiaTheme="minorHAnsi"/>
        </w:rPr>
      </w:pPr>
      <w:r w:rsidRPr="00AB726E">
        <w:rPr>
          <w:rFonts w:eastAsiaTheme="minorHAnsi"/>
        </w:rPr>
        <w:t>Claims for benefits in respect of items 12207, 12215 and 12217 should be accompanied by clinical details confirming the presence of the conditions set out above. Claims for benefits for these services should be lodged with the Department of Human Services for referral to the National Office of the Department of Human Services for assessment by the Medicare Claims Review Panel (MCRP) and must be accompanied by sufficient clinical and/or</w:t>
      </w:r>
      <w:r w:rsidRPr="00AB726E">
        <w:t xml:space="preserve"> </w:t>
      </w:r>
      <w:r w:rsidRPr="00AB726E">
        <w:rPr>
          <w:rFonts w:eastAsiaTheme="minorHAnsi"/>
        </w:rPr>
        <w:t>photographic evidence to enable the Department of Human Services to determine</w:t>
      </w:r>
      <w:r w:rsidRPr="00AB726E">
        <w:t xml:space="preserve"> </w:t>
      </w:r>
      <w:r w:rsidRPr="00AB726E">
        <w:rPr>
          <w:rFonts w:eastAsiaTheme="minorHAnsi"/>
        </w:rPr>
        <w:t>the eligibility of the servic</w:t>
      </w:r>
      <w:r>
        <w:rPr>
          <w:rFonts w:eastAsiaTheme="minorHAnsi"/>
        </w:rPr>
        <w:t>e for the payment of benefits.</w:t>
      </w:r>
    </w:p>
    <w:p w14:paraId="52EEC4DA" w14:textId="77777777" w:rsidR="00137205" w:rsidRPr="00AB726E" w:rsidRDefault="00137205" w:rsidP="00664F2C">
      <w:pPr>
        <w:rPr>
          <w:rFonts w:eastAsiaTheme="minorHAnsi"/>
        </w:rPr>
      </w:pPr>
      <w:r w:rsidRPr="00AB726E">
        <w:rPr>
          <w:rFonts w:eastAsiaTheme="minorHAnsi"/>
        </w:rPr>
        <w:t>Practitioners may also apply to the Department of Human Services for prospective approval for proposed surgery.</w:t>
      </w:r>
    </w:p>
    <w:p w14:paraId="2D02C7A6" w14:textId="77777777" w:rsidR="00137205" w:rsidRPr="00AB726E" w:rsidRDefault="00137205" w:rsidP="00664F2C">
      <w:pPr>
        <w:rPr>
          <w:rFonts w:eastAsiaTheme="minorHAnsi"/>
        </w:rPr>
      </w:pPr>
      <w:r w:rsidRPr="00AB726E">
        <w:rPr>
          <w:rFonts w:eastAsiaTheme="minorHAnsi"/>
        </w:rPr>
        <w:t>Applications for approval should be addressed in a sealed envelope marked “Medical-in-Confidence” to:</w:t>
      </w:r>
    </w:p>
    <w:p w14:paraId="5EB1E6B9" w14:textId="77777777" w:rsidR="00137205" w:rsidRPr="00664F2C" w:rsidRDefault="00137205" w:rsidP="00664F2C">
      <w:pPr>
        <w:rPr>
          <w:rFonts w:eastAsiaTheme="minorHAnsi"/>
          <w:b/>
          <w:bCs/>
        </w:rPr>
      </w:pPr>
      <w:r w:rsidRPr="00664F2C">
        <w:rPr>
          <w:rFonts w:eastAsiaTheme="minorHAnsi"/>
          <w:b/>
          <w:bCs/>
        </w:rPr>
        <w:t>The MCRP Officer</w:t>
      </w:r>
      <w:r w:rsidR="00664F2C" w:rsidRPr="00664F2C">
        <w:rPr>
          <w:rFonts w:eastAsiaTheme="minorHAnsi"/>
          <w:b/>
          <w:bCs/>
        </w:rPr>
        <w:br/>
      </w:r>
      <w:r w:rsidRPr="00664F2C">
        <w:rPr>
          <w:rFonts w:eastAsiaTheme="minorHAnsi"/>
          <w:b/>
          <w:bCs/>
        </w:rPr>
        <w:t>PO Box 9822</w:t>
      </w:r>
      <w:r w:rsidR="00664F2C" w:rsidRPr="00664F2C">
        <w:rPr>
          <w:rFonts w:eastAsiaTheme="minorHAnsi"/>
          <w:b/>
          <w:bCs/>
        </w:rPr>
        <w:br/>
      </w:r>
      <w:r w:rsidRPr="00664F2C">
        <w:rPr>
          <w:rFonts w:eastAsiaTheme="minorHAnsi"/>
          <w:b/>
          <w:bCs/>
        </w:rPr>
        <w:t>SYDNEY NSW 2001</w:t>
      </w:r>
    </w:p>
    <w:p w14:paraId="69ED229E" w14:textId="77777777" w:rsidR="00137205" w:rsidRPr="00AB726E" w:rsidRDefault="00137205" w:rsidP="00664F2C">
      <w:pPr>
        <w:rPr>
          <w:rFonts w:eastAsiaTheme="minorHAnsi"/>
        </w:rPr>
      </w:pPr>
      <w:r w:rsidRPr="00AB726E">
        <w:rPr>
          <w:rFonts w:eastAsiaTheme="minorHAnsi"/>
        </w:rPr>
        <w:t>In relation to item 12250 for home-based sleep studies, the investigation cannot be provided on the same occasion as a service described in any of items 11000 to 11005, 11503, 11700 to 11709, 11713 and 12203.</w:t>
      </w:r>
    </w:p>
    <w:p w14:paraId="4955F851" w14:textId="77777777" w:rsidR="00137205" w:rsidRPr="00AB726E" w:rsidRDefault="00137205" w:rsidP="00664F2C">
      <w:pPr>
        <w:rPr>
          <w:rFonts w:eastAsiaTheme="minorHAnsi"/>
        </w:rPr>
      </w:pPr>
      <w:r w:rsidRPr="00AB726E">
        <w:rPr>
          <w:rFonts w:eastAsiaTheme="minorHAnsi"/>
        </w:rPr>
        <w:t>Where the date of service for item 12250 is the same as the date of service of any items 11000 to 11005, 11503, 11700 to 11709, 11713 and 12203, for a benefit to be payable, there must be written notation on the account, identifying that the service under any of items 11000 to 11005, 11503, 11700 to 11709, 11713 and 12203 was not provided on the same occasion as item 12250 and was not for a home-based sleep study.</w:t>
      </w:r>
    </w:p>
    <w:p w14:paraId="02240B01" w14:textId="77777777" w:rsidR="00137205" w:rsidRDefault="00137205" w:rsidP="00664F2C">
      <w:pPr>
        <w:rPr>
          <w:rFonts w:eastAsiaTheme="minorHAnsi"/>
        </w:rPr>
      </w:pPr>
      <w:r w:rsidRPr="00AB726E">
        <w:rPr>
          <w:rFonts w:eastAsiaTheme="minorHAnsi"/>
        </w:rPr>
        <w:t>The correct date to specify on the account for item 12250 is the day the home-based sleep study was completed (as opposed to the day it was initiated).</w:t>
      </w:r>
    </w:p>
    <w:p w14:paraId="3BC6D518" w14:textId="77777777" w:rsidR="00137205" w:rsidRDefault="00137205" w:rsidP="00137205">
      <w:pPr>
        <w:pStyle w:val="Heading2a"/>
      </w:pPr>
      <w:r>
        <w:t>Therapeutic procedures – biopsy of lung cancers</w:t>
      </w:r>
    </w:p>
    <w:p w14:paraId="55E9C83F" w14:textId="77777777" w:rsidR="00137205" w:rsidRDefault="00137205" w:rsidP="00137205">
      <w:pPr>
        <w:pStyle w:val="Heading3a"/>
      </w:pPr>
      <w:bookmarkStart w:id="318" w:name="_Toc458768501"/>
      <w:r>
        <w:t>30696</w:t>
      </w:r>
      <w:bookmarkEnd w:id="318"/>
    </w:p>
    <w:p w14:paraId="04B3F128" w14:textId="77777777" w:rsidR="00137205" w:rsidRPr="00263085" w:rsidRDefault="00137205" w:rsidP="00664F2C">
      <w:r w:rsidRPr="00263085">
        <w:t>ENDOSCOPIC ULTRASOUND GUIDED FINE NEEDLE ASPIRATION BIOPSY(S) (endoscopy with ultrasound imaging) to obtain one or more specimens from either:</w:t>
      </w:r>
    </w:p>
    <w:p w14:paraId="06373DF6" w14:textId="77777777" w:rsidR="00137205" w:rsidRPr="00263085" w:rsidRDefault="00137205" w:rsidP="00664F2C">
      <w:pPr>
        <w:pStyle w:val="NormalBulleteda"/>
      </w:pPr>
      <w:r w:rsidRPr="00263085">
        <w:t>(a) mediastinal mass(es) or</w:t>
      </w:r>
    </w:p>
    <w:p w14:paraId="1050C336" w14:textId="77777777" w:rsidR="00137205" w:rsidRPr="00263085" w:rsidRDefault="00137205" w:rsidP="00664F2C">
      <w:pPr>
        <w:pStyle w:val="NormalBulleteda"/>
      </w:pPr>
      <w:r w:rsidRPr="00263085">
        <w:lastRenderedPageBreak/>
        <w:t>(b) locoregional nodes to stage non-small cell lung carcinoma</w:t>
      </w:r>
    </w:p>
    <w:p w14:paraId="055DB4FB" w14:textId="77777777" w:rsidR="00137205" w:rsidRPr="00263085" w:rsidRDefault="00137205" w:rsidP="00664F2C">
      <w:r w:rsidRPr="00263085">
        <w:t>not being a service associated with another item in this subgroup or to which items 30710 and 55054 apply (Anaes.)</w:t>
      </w:r>
    </w:p>
    <w:p w14:paraId="76F4A3CC" w14:textId="77777777" w:rsidR="00137205" w:rsidRPr="00263085" w:rsidRDefault="00137205" w:rsidP="00137205">
      <w:pPr>
        <w:spacing w:beforeLines="60" w:before="144" w:afterLines="60" w:after="144" w:line="240" w:lineRule="auto"/>
        <w:rPr>
          <w:rFonts w:ascii="Calibri" w:hAnsi="Calibri" w:cs="Calibri"/>
        </w:rPr>
      </w:pPr>
      <w:r w:rsidRPr="00263085">
        <w:rPr>
          <w:rFonts w:ascii="Calibri" w:hAnsi="Calibri" w:cs="Calibri"/>
          <w:i/>
        </w:rPr>
        <w:t>(See para T8.21 of explanatory notes to this Category)</w:t>
      </w:r>
    </w:p>
    <w:p w14:paraId="223CC62B" w14:textId="77777777" w:rsidR="00664F2C" w:rsidRPr="00664F2C" w:rsidRDefault="00137205" w:rsidP="00664F2C">
      <w:r w:rsidRPr="00664F2C">
        <w:rPr>
          <w:b/>
        </w:rPr>
        <w:t>Fee</w:t>
      </w:r>
      <w:r w:rsidRPr="00664F2C">
        <w:t>: $563.30</w:t>
      </w:r>
    </w:p>
    <w:p w14:paraId="108B193F" w14:textId="77777777" w:rsidR="00137205" w:rsidRPr="00664F2C" w:rsidRDefault="00137205" w:rsidP="00664F2C">
      <w:r w:rsidRPr="00664F2C">
        <w:rPr>
          <w:b/>
        </w:rPr>
        <w:t>Benefit</w:t>
      </w:r>
      <w:r w:rsidRPr="00664F2C">
        <w:t>: 75% = $422.50</w:t>
      </w:r>
      <w:r w:rsidR="00664F2C" w:rsidRPr="00664F2C">
        <w:t xml:space="preserve">; </w:t>
      </w:r>
      <w:r w:rsidRPr="00664F2C">
        <w:t>85% = $484.90</w:t>
      </w:r>
    </w:p>
    <w:p w14:paraId="43542D26" w14:textId="77777777" w:rsidR="00137205" w:rsidRDefault="00137205" w:rsidP="00664F2C">
      <w:pPr>
        <w:pStyle w:val="Heading3a"/>
      </w:pPr>
      <w:bookmarkStart w:id="319" w:name="_Toc458768502"/>
      <w:r>
        <w:t>30710</w:t>
      </w:r>
      <w:bookmarkEnd w:id="319"/>
    </w:p>
    <w:p w14:paraId="0F54EB8A" w14:textId="77777777" w:rsidR="00137205" w:rsidRPr="00263085" w:rsidRDefault="00137205" w:rsidP="00664F2C">
      <w:r w:rsidRPr="00263085">
        <w:t>ENDOBRONCHIAL ULTRASOUND GUIDED BIOPSY(S) (bronchoscopy with ultrasound imaging, with or without associated fluoroscopic imaging) to obtain one or more specimens by either:</w:t>
      </w:r>
    </w:p>
    <w:p w14:paraId="47DCD3B7" w14:textId="77777777" w:rsidR="00137205" w:rsidRPr="00263085" w:rsidRDefault="00137205" w:rsidP="00664F2C">
      <w:pPr>
        <w:pStyle w:val="NormalBulleteda"/>
      </w:pPr>
      <w:r w:rsidRPr="00263085">
        <w:t>(a) transbronchial biopsy(s) of peripheral lung lesions; or</w:t>
      </w:r>
    </w:p>
    <w:p w14:paraId="7DB2F15D" w14:textId="77777777" w:rsidR="00137205" w:rsidRPr="00263085" w:rsidRDefault="00137205" w:rsidP="00664F2C">
      <w:pPr>
        <w:pStyle w:val="NormalBulleteda"/>
      </w:pPr>
      <w:r w:rsidRPr="00263085">
        <w:t xml:space="preserve">(b) fine needle aspiration(s) of a mediastinal mass(es); or </w:t>
      </w:r>
    </w:p>
    <w:p w14:paraId="54E26D7A" w14:textId="77777777" w:rsidR="00137205" w:rsidRPr="00263085" w:rsidRDefault="00137205" w:rsidP="00664F2C">
      <w:pPr>
        <w:pStyle w:val="NormalBulleteda"/>
      </w:pPr>
      <w:r w:rsidRPr="00263085">
        <w:t>(c) fine needle aspiration(s) of locoregional nodes to stage non-small cell lung carcinoma</w:t>
      </w:r>
    </w:p>
    <w:p w14:paraId="0D8EC25B" w14:textId="77777777" w:rsidR="00137205" w:rsidRPr="00263085" w:rsidRDefault="00137205" w:rsidP="00664F2C">
      <w:r w:rsidRPr="00263085">
        <w:t>not being a service associated with another item in this subgroup or to which items 30696, 41892, 41898, and 60500 to 60509 applies (Anaes.)</w:t>
      </w:r>
    </w:p>
    <w:p w14:paraId="38C2D927" w14:textId="77777777" w:rsidR="00137205" w:rsidRPr="00263085" w:rsidRDefault="00137205" w:rsidP="00137205">
      <w:pPr>
        <w:spacing w:beforeLines="60" w:before="144" w:afterLines="60" w:after="144" w:line="240" w:lineRule="auto"/>
        <w:rPr>
          <w:rFonts w:ascii="Calibri" w:hAnsi="Calibri" w:cs="Calibri"/>
        </w:rPr>
      </w:pPr>
      <w:r w:rsidRPr="00263085">
        <w:rPr>
          <w:rFonts w:ascii="Calibri" w:hAnsi="Calibri" w:cs="Calibri"/>
          <w:i/>
        </w:rPr>
        <w:t>(See para T8.21 of explanatory notes to this Category)</w:t>
      </w:r>
    </w:p>
    <w:p w14:paraId="26117A92" w14:textId="77777777" w:rsidR="00664F2C" w:rsidRDefault="00137205" w:rsidP="00664F2C">
      <w:r w:rsidRPr="00664F2C">
        <w:rPr>
          <w:b/>
        </w:rPr>
        <w:t>Fee</w:t>
      </w:r>
      <w:r w:rsidRPr="00664F2C">
        <w:t>: $563.30</w:t>
      </w:r>
    </w:p>
    <w:p w14:paraId="0797FEDF" w14:textId="77777777" w:rsidR="00137205" w:rsidRPr="00664F2C" w:rsidRDefault="00137205" w:rsidP="00664F2C">
      <w:r w:rsidRPr="00664F2C">
        <w:rPr>
          <w:b/>
        </w:rPr>
        <w:t>Benefit</w:t>
      </w:r>
      <w:r w:rsidRPr="00664F2C">
        <w:t>: 75% = $422.50</w:t>
      </w:r>
      <w:r w:rsidR="00664F2C">
        <w:t xml:space="preserve">; </w:t>
      </w:r>
      <w:r w:rsidRPr="00664F2C">
        <w:t>85% = $484.90</w:t>
      </w:r>
    </w:p>
    <w:p w14:paraId="6D195D97" w14:textId="77777777" w:rsidR="00137205" w:rsidRDefault="00137205" w:rsidP="00664F2C">
      <w:pPr>
        <w:pStyle w:val="Heading3a"/>
      </w:pPr>
      <w:bookmarkStart w:id="320" w:name="_Toc458768503"/>
      <w:r>
        <w:t xml:space="preserve">Explanatory Note for </w:t>
      </w:r>
      <w:r w:rsidRPr="00802E27">
        <w:t>Endoscopic or Endobronchial Ultrasound +/- Fine Needle Aspiration – (Items 30688-30710)</w:t>
      </w:r>
      <w:bookmarkEnd w:id="320"/>
    </w:p>
    <w:p w14:paraId="01286CFC" w14:textId="77777777" w:rsidR="00137205" w:rsidRPr="00BC1DB8" w:rsidRDefault="00137205" w:rsidP="00137205">
      <w:pPr>
        <w:spacing w:before="60"/>
        <w:rPr>
          <w:rFonts w:eastAsiaTheme="minorHAnsi" w:cs="Arial"/>
          <w:color w:val="000000"/>
        </w:rPr>
      </w:pPr>
      <w:r>
        <w:rPr>
          <w:rFonts w:eastAsiaTheme="minorHAnsi" w:cs="Arial"/>
          <w:color w:val="000000"/>
        </w:rPr>
        <w:t>T.8.21.</w:t>
      </w:r>
    </w:p>
    <w:p w14:paraId="06E9AE3B" w14:textId="77777777" w:rsidR="00137205" w:rsidRPr="00BC1DB8" w:rsidRDefault="00137205" w:rsidP="00664F2C">
      <w:pPr>
        <w:rPr>
          <w:rFonts w:eastAsiaTheme="minorHAnsi"/>
        </w:rPr>
      </w:pPr>
      <w:r w:rsidRPr="00BC1DB8">
        <w:rPr>
          <w:rFonts w:eastAsiaTheme="minorHAnsi"/>
        </w:rPr>
        <w:t>For the purposes of these items the following definitions apply:</w:t>
      </w:r>
    </w:p>
    <w:p w14:paraId="4DCDC721" w14:textId="77777777" w:rsidR="00137205" w:rsidRPr="00BC1DB8" w:rsidRDefault="00137205" w:rsidP="00664F2C">
      <w:pPr>
        <w:rPr>
          <w:rFonts w:eastAsiaTheme="minorHAnsi"/>
        </w:rPr>
      </w:pPr>
      <w:r w:rsidRPr="00BC1DB8">
        <w:rPr>
          <w:rFonts w:eastAsiaTheme="minorHAnsi"/>
        </w:rPr>
        <w:t>Biopsy means the removal of solid tissue by core sampling or forceps;</w:t>
      </w:r>
    </w:p>
    <w:p w14:paraId="6A5D1D15" w14:textId="77777777" w:rsidR="00137205" w:rsidRPr="00BC1DB8" w:rsidRDefault="00137205" w:rsidP="00664F2C">
      <w:pPr>
        <w:rPr>
          <w:rFonts w:eastAsiaTheme="minorHAnsi"/>
        </w:rPr>
      </w:pPr>
      <w:r w:rsidRPr="00BC1DB8">
        <w:rPr>
          <w:rFonts w:eastAsiaTheme="minorHAnsi"/>
        </w:rPr>
        <w:t>FNA means aspiration of cellular material from solid tissue via a small gauge needle.</w:t>
      </w:r>
    </w:p>
    <w:p w14:paraId="113199EE" w14:textId="77777777" w:rsidR="00137205" w:rsidRPr="00BC1DB8" w:rsidRDefault="00137205" w:rsidP="00664F2C">
      <w:pPr>
        <w:rPr>
          <w:rFonts w:eastAsiaTheme="minorHAnsi"/>
        </w:rPr>
      </w:pPr>
      <w:r w:rsidRPr="00BC1DB8">
        <w:rPr>
          <w:rFonts w:eastAsiaTheme="minorHAnsi"/>
        </w:rPr>
        <w:t>The provider should make a record of the findings of the ultrasound imaging in the patient’s notes for any service claimed against items 30688 to 30710.</w:t>
      </w:r>
    </w:p>
    <w:p w14:paraId="36EAF722" w14:textId="77777777" w:rsidR="00137205" w:rsidRPr="00BC1DB8" w:rsidRDefault="00137205" w:rsidP="00664F2C">
      <w:pPr>
        <w:rPr>
          <w:rFonts w:eastAsiaTheme="minorHAnsi"/>
        </w:rPr>
      </w:pPr>
      <w:r w:rsidRPr="00BC1DB8">
        <w:rPr>
          <w:rFonts w:eastAsiaTheme="minorHAnsi"/>
        </w:rPr>
        <w:t>Endoscopic ultrasound is an appropriate investigation for patients in whom there is a strong clinical suspicion of pancreatic neoplasia with negative imaging (such as CT scanning). Scenarios include, but are not restricted to:</w:t>
      </w:r>
    </w:p>
    <w:p w14:paraId="6F17AB9D" w14:textId="77777777" w:rsidR="00137205" w:rsidRPr="00BC1DB8" w:rsidRDefault="00137205" w:rsidP="00664F2C">
      <w:pPr>
        <w:rPr>
          <w:rFonts w:eastAsiaTheme="minorHAnsi"/>
        </w:rPr>
      </w:pPr>
      <w:r w:rsidRPr="00BC1DB8">
        <w:rPr>
          <w:rFonts w:eastAsiaTheme="minorHAnsi"/>
        </w:rPr>
        <w:t>A middle aged or elderly patient with a first attack of otherwise unexplained (eg negative abdominal CT) first episode of acute pancreatitis; or</w:t>
      </w:r>
    </w:p>
    <w:p w14:paraId="7A1FA52F" w14:textId="77777777" w:rsidR="00137205" w:rsidRPr="00BC1DB8" w:rsidRDefault="00137205" w:rsidP="00664F2C">
      <w:pPr>
        <w:rPr>
          <w:rFonts w:eastAsiaTheme="minorHAnsi"/>
        </w:rPr>
      </w:pPr>
      <w:r w:rsidRPr="00BC1DB8">
        <w:rPr>
          <w:rFonts w:eastAsiaTheme="minorHAnsi"/>
        </w:rPr>
        <w:t>A patient with biochemical evidence of a neuroendocrine tumour.</w:t>
      </w:r>
    </w:p>
    <w:p w14:paraId="2B1105B8" w14:textId="77777777" w:rsidR="00137205" w:rsidRDefault="00137205" w:rsidP="00664F2C">
      <w:r w:rsidRPr="00BC1DB8">
        <w:rPr>
          <w:rFonts w:eastAsiaTheme="minorHAnsi"/>
        </w:rPr>
        <w:lastRenderedPageBreak/>
        <w:t>The procedure is not claimable for periodic surveillance of patients at increased risk of pancreatic cancer, such as chronic pancreatitis. However, EUS would be appropriate for a patient with chronic pancreatitis in whom there was a clinical suspicion of pancreatic cancer (eg: a pancreatic mass occurring on a background of chronic pancreatitis).</w:t>
      </w:r>
    </w:p>
    <w:p w14:paraId="4715313F" w14:textId="77777777" w:rsidR="00137205" w:rsidRPr="00DD77BD" w:rsidRDefault="00137205" w:rsidP="00664F2C">
      <w:pPr>
        <w:pStyle w:val="Heading2a"/>
      </w:pPr>
      <w:r>
        <w:t>Therapeutic procedures – bronchus or trachea</w:t>
      </w:r>
    </w:p>
    <w:p w14:paraId="130F09B8" w14:textId="77777777" w:rsidR="00664F2C" w:rsidRDefault="00137205" w:rsidP="00137205">
      <w:pPr>
        <w:pStyle w:val="Heading3a"/>
        <w:rPr>
          <w:sz w:val="20"/>
        </w:rPr>
      </w:pPr>
      <w:bookmarkStart w:id="321" w:name="_Toc458768504"/>
      <w:r w:rsidRPr="00137205">
        <w:t>41889</w:t>
      </w:r>
      <w:bookmarkEnd w:id="321"/>
      <w:r>
        <w:rPr>
          <w:sz w:val="20"/>
        </w:rPr>
        <w:t xml:space="preserve"> </w:t>
      </w:r>
    </w:p>
    <w:p w14:paraId="42F4846D" w14:textId="77777777" w:rsidR="00137205" w:rsidRPr="00263085" w:rsidRDefault="00137205" w:rsidP="00664F2C">
      <w:r w:rsidRPr="00263085">
        <w:t>BRONCHOSCOPY, as an independent procedure (Anaes.)</w:t>
      </w:r>
    </w:p>
    <w:p w14:paraId="3989265C" w14:textId="77777777" w:rsidR="00137205" w:rsidRPr="00664F2C" w:rsidRDefault="00137205" w:rsidP="00664F2C">
      <w:r w:rsidRPr="00664F2C">
        <w:rPr>
          <w:b/>
        </w:rPr>
        <w:t>Fee</w:t>
      </w:r>
      <w:r w:rsidRPr="00664F2C">
        <w:t>: $178.05</w:t>
      </w:r>
    </w:p>
    <w:p w14:paraId="5D916C50" w14:textId="77777777" w:rsidR="00137205" w:rsidRPr="00664F2C" w:rsidRDefault="00137205" w:rsidP="00664F2C">
      <w:r w:rsidRPr="00664F2C">
        <w:rPr>
          <w:b/>
        </w:rPr>
        <w:t>Benefit</w:t>
      </w:r>
      <w:r w:rsidRPr="00664F2C">
        <w:t>: 75% = $133.55; 85% = $151.35</w:t>
      </w:r>
    </w:p>
    <w:p w14:paraId="2EF5318C" w14:textId="77777777" w:rsidR="00664F2C" w:rsidRDefault="00137205" w:rsidP="00137205">
      <w:pPr>
        <w:pStyle w:val="Heading3a"/>
        <w:rPr>
          <w:sz w:val="20"/>
        </w:rPr>
      </w:pPr>
      <w:bookmarkStart w:id="322" w:name="_Toc458768505"/>
      <w:r w:rsidRPr="00137205">
        <w:t>41892</w:t>
      </w:r>
      <w:bookmarkEnd w:id="322"/>
      <w:r>
        <w:rPr>
          <w:sz w:val="20"/>
        </w:rPr>
        <w:t xml:space="preserve"> </w:t>
      </w:r>
    </w:p>
    <w:p w14:paraId="0F7AA4B3" w14:textId="77777777" w:rsidR="00137205" w:rsidRPr="00263085" w:rsidRDefault="00137205" w:rsidP="00664F2C">
      <w:r w:rsidRPr="00263085">
        <w:t>BRONCHOSCOPY with 1 or more endobronchial biopsies or other diagnostic or therapeutic procedures (Anaes.)</w:t>
      </w:r>
    </w:p>
    <w:p w14:paraId="6F0D1C86" w14:textId="77777777" w:rsidR="00137205" w:rsidRPr="00664F2C" w:rsidRDefault="00137205" w:rsidP="00664F2C">
      <w:r w:rsidRPr="00664F2C">
        <w:rPr>
          <w:b/>
        </w:rPr>
        <w:t>Fee</w:t>
      </w:r>
      <w:r w:rsidRPr="00664F2C">
        <w:t>: $235.05</w:t>
      </w:r>
    </w:p>
    <w:p w14:paraId="650C350B" w14:textId="77777777" w:rsidR="00137205" w:rsidRPr="00664F2C" w:rsidRDefault="00137205" w:rsidP="00664F2C">
      <w:r w:rsidRPr="00664F2C">
        <w:rPr>
          <w:b/>
        </w:rPr>
        <w:t>Benefit</w:t>
      </w:r>
      <w:r w:rsidRPr="00664F2C">
        <w:t>: 75% = $176.30; 85% = $199.80</w:t>
      </w:r>
    </w:p>
    <w:p w14:paraId="205BC449" w14:textId="77777777" w:rsidR="00664F2C" w:rsidRDefault="00137205" w:rsidP="00137205">
      <w:pPr>
        <w:pStyle w:val="Heading3a"/>
      </w:pPr>
      <w:bookmarkStart w:id="323" w:name="_Toc458768506"/>
      <w:r>
        <w:t>41895</w:t>
      </w:r>
      <w:bookmarkEnd w:id="323"/>
      <w:r>
        <w:t xml:space="preserve"> </w:t>
      </w:r>
    </w:p>
    <w:p w14:paraId="7B85DD76" w14:textId="77777777" w:rsidR="00137205" w:rsidRPr="00263085" w:rsidRDefault="00137205" w:rsidP="00664F2C">
      <w:r w:rsidRPr="00263085">
        <w:t>BRONCHUS, removal of foreign body in (Anaes.) (Assist.)</w:t>
      </w:r>
    </w:p>
    <w:p w14:paraId="598DF9DE" w14:textId="77777777" w:rsidR="00137205" w:rsidRPr="00664F2C" w:rsidRDefault="00137205" w:rsidP="00664F2C">
      <w:r w:rsidRPr="00664F2C">
        <w:rPr>
          <w:b/>
        </w:rPr>
        <w:t>Fee</w:t>
      </w:r>
      <w:r w:rsidRPr="00664F2C">
        <w:t>: $367.75</w:t>
      </w:r>
    </w:p>
    <w:p w14:paraId="36B7992F" w14:textId="77777777" w:rsidR="00137205" w:rsidRPr="00664F2C" w:rsidRDefault="00137205" w:rsidP="00664F2C">
      <w:r w:rsidRPr="00664F2C">
        <w:rPr>
          <w:b/>
        </w:rPr>
        <w:t>Benefit</w:t>
      </w:r>
      <w:r w:rsidRPr="00664F2C">
        <w:t>: 75% = $275.85</w:t>
      </w:r>
    </w:p>
    <w:p w14:paraId="3C7C6A41" w14:textId="77777777" w:rsidR="00137205" w:rsidRDefault="00137205" w:rsidP="00137205">
      <w:pPr>
        <w:pStyle w:val="Heading3a"/>
        <w:rPr>
          <w:rFonts w:cstheme="minorHAnsi"/>
          <w:szCs w:val="22"/>
        </w:rPr>
      </w:pPr>
      <w:bookmarkStart w:id="324" w:name="_Toc458768507"/>
      <w:r>
        <w:t>41898</w:t>
      </w:r>
      <w:bookmarkEnd w:id="324"/>
    </w:p>
    <w:p w14:paraId="0C0512B6" w14:textId="77777777" w:rsidR="00137205" w:rsidRPr="00263085" w:rsidRDefault="00137205" w:rsidP="00664F2C">
      <w:r w:rsidRPr="00263085">
        <w:t>FIBREOPTIC BRONCHOSCOPY with 1 or more transbronchial lung biopsies, with or without bronchial or bronchoalveolar lavage, with or without the use of interventional imaging (Anaes.) (Assist.)</w:t>
      </w:r>
    </w:p>
    <w:p w14:paraId="39AB9474" w14:textId="77777777" w:rsidR="00137205" w:rsidRPr="00664F2C" w:rsidRDefault="00137205" w:rsidP="00664F2C">
      <w:r w:rsidRPr="00664F2C">
        <w:rPr>
          <w:b/>
        </w:rPr>
        <w:t>Fee</w:t>
      </w:r>
      <w:r w:rsidRPr="00664F2C">
        <w:t>: $256.95</w:t>
      </w:r>
    </w:p>
    <w:p w14:paraId="066AF2CC" w14:textId="77777777" w:rsidR="00137205" w:rsidRPr="00664F2C" w:rsidRDefault="00137205" w:rsidP="00664F2C">
      <w:r w:rsidRPr="00664F2C">
        <w:rPr>
          <w:b/>
        </w:rPr>
        <w:t>Benefit</w:t>
      </w:r>
      <w:r w:rsidRPr="00664F2C">
        <w:t>: 75% = $192.75; 85% = $218.45</w:t>
      </w:r>
    </w:p>
    <w:p w14:paraId="4FF1289E" w14:textId="77777777" w:rsidR="00137205" w:rsidRDefault="00137205" w:rsidP="00137205">
      <w:pPr>
        <w:pStyle w:val="Heading3"/>
      </w:pPr>
      <w:r>
        <w:t>41905</w:t>
      </w:r>
    </w:p>
    <w:p w14:paraId="71B00B30" w14:textId="77777777" w:rsidR="00137205" w:rsidRPr="00263085" w:rsidRDefault="00137205" w:rsidP="00664F2C">
      <w:r w:rsidRPr="00263085">
        <w:t>TRACHEA OR BRONCHUS, dilatation of stricture and endoscopic insertion of stent (Anaes.) (Assist.)</w:t>
      </w:r>
    </w:p>
    <w:p w14:paraId="09AA2FD2" w14:textId="77777777" w:rsidR="00137205" w:rsidRPr="00664F2C" w:rsidRDefault="00137205" w:rsidP="00664F2C">
      <w:r w:rsidRPr="00664F2C">
        <w:rPr>
          <w:b/>
        </w:rPr>
        <w:t>Fee</w:t>
      </w:r>
      <w:r w:rsidRPr="00664F2C">
        <w:t>: $453.35</w:t>
      </w:r>
    </w:p>
    <w:p w14:paraId="60F936AC" w14:textId="77777777" w:rsidR="008B1C85" w:rsidRPr="00664F2C" w:rsidRDefault="00137205" w:rsidP="00B83773">
      <w:pPr>
        <w:rPr>
          <w:highlight w:val="cyan"/>
        </w:rPr>
      </w:pPr>
      <w:r w:rsidRPr="00664F2C">
        <w:rPr>
          <w:b/>
        </w:rPr>
        <w:t>Benefit</w:t>
      </w:r>
      <w:r w:rsidRPr="00664F2C">
        <w:t>: 75% = $340.05</w:t>
      </w:r>
      <w:r w:rsidR="008B1C85">
        <w:rPr>
          <w:highlight w:val="cyan"/>
        </w:rPr>
        <w:br w:type="page"/>
      </w:r>
    </w:p>
    <w:p w14:paraId="53B344D7" w14:textId="77777777" w:rsidR="00C36A4C" w:rsidRPr="001F705A" w:rsidRDefault="001872A8" w:rsidP="00B83773">
      <w:pPr>
        <w:pStyle w:val="AppendixStyle1"/>
      </w:pPr>
      <w:bookmarkStart w:id="325" w:name="_Toc458510021"/>
      <w:bookmarkStart w:id="326" w:name="_Toc458768508"/>
      <w:bookmarkStart w:id="327" w:name="_Toc458768668"/>
      <w:bookmarkStart w:id="328" w:name="_Toc478721529"/>
      <w:r w:rsidRPr="001F705A">
        <w:lastRenderedPageBreak/>
        <w:t>O</w:t>
      </w:r>
      <w:r w:rsidR="00364CDE" w:rsidRPr="001F705A">
        <w:t>bsolete Items Data</w:t>
      </w:r>
      <w:bookmarkEnd w:id="325"/>
      <w:bookmarkEnd w:id="326"/>
      <w:bookmarkEnd w:id="327"/>
      <w:bookmarkEnd w:id="328"/>
    </w:p>
    <w:p w14:paraId="1F64DC93" w14:textId="77777777" w:rsidR="001872A8" w:rsidRDefault="001872A8" w:rsidP="006F1493">
      <w:pPr>
        <w:pStyle w:val="Heading2a"/>
      </w:pPr>
      <w:bookmarkStart w:id="329" w:name="_Toc452982147"/>
      <w:bookmarkStart w:id="330" w:name="_Toc456613600"/>
      <w:bookmarkStart w:id="331" w:name="_Toc458510022"/>
      <w:r w:rsidRPr="009D7AA5">
        <w:t>Item 11500</w:t>
      </w:r>
      <w:r w:rsidRPr="00944B30">
        <w:t xml:space="preserve"> – Bronchospirometry, including gas analysis</w:t>
      </w:r>
      <w:bookmarkEnd w:id="329"/>
      <w:bookmarkEnd w:id="330"/>
      <w:bookmarkEnd w:id="331"/>
    </w:p>
    <w:p w14:paraId="7B6EBF87" w14:textId="77777777" w:rsidR="001872A8" w:rsidRPr="009F4CD5" w:rsidRDefault="00006172" w:rsidP="00006172">
      <w:pPr>
        <w:pStyle w:val="Caption"/>
      </w:pPr>
      <w:bookmarkStart w:id="332" w:name="_Toc478721560"/>
      <w:r>
        <w:t>Table B1:</w:t>
      </w:r>
      <w:r>
        <w:tab/>
      </w:r>
      <w:r w:rsidR="00A629B7">
        <w:t>Percentage of patients</w:t>
      </w:r>
      <w:r w:rsidR="00A629B7" w:rsidRPr="00A629B7">
        <w:t xml:space="preserve"> </w:t>
      </w:r>
      <w:r w:rsidR="00A629B7">
        <w:t xml:space="preserve">by age groups who received a service under item 11500 </w:t>
      </w:r>
      <w:r w:rsidR="00EC32CA">
        <w:t>in 2014-15</w:t>
      </w:r>
      <w:bookmarkEnd w:id="332"/>
    </w:p>
    <w:tbl>
      <w:tblPr>
        <w:tblW w:w="9229" w:type="dxa"/>
        <w:tblInd w:w="93" w:type="dxa"/>
        <w:tblBorders>
          <w:top w:val="single" w:sz="4" w:space="0" w:color="B56011"/>
          <w:bottom w:val="single" w:sz="4" w:space="0" w:color="B56011"/>
          <w:insideH w:val="single" w:sz="4" w:space="0" w:color="B56011"/>
        </w:tblBorders>
        <w:tblLayout w:type="fixed"/>
        <w:tblLook w:val="04A0" w:firstRow="1" w:lastRow="0" w:firstColumn="1" w:lastColumn="0" w:noHBand="0" w:noVBand="1"/>
        <w:tblDescription w:val="Table B1 provides the numbers and pecentages of patients by age group who received a service under item 11500 in 2014-15."/>
      </w:tblPr>
      <w:tblGrid>
        <w:gridCol w:w="3076"/>
        <w:gridCol w:w="3076"/>
        <w:gridCol w:w="3077"/>
      </w:tblGrid>
      <w:tr w:rsidR="001872A8" w:rsidRPr="00A403FC" w14:paraId="426A45AE" w14:textId="77777777" w:rsidTr="00FF6AB5">
        <w:trPr>
          <w:trHeight w:val="300"/>
          <w:tblHeader/>
        </w:trPr>
        <w:tc>
          <w:tcPr>
            <w:tcW w:w="3076" w:type="dxa"/>
            <w:shd w:val="clear" w:color="auto" w:fill="auto"/>
            <w:noWrap/>
            <w:vAlign w:val="center"/>
            <w:hideMark/>
          </w:tcPr>
          <w:p w14:paraId="62B68CDC" w14:textId="77777777" w:rsidR="001872A8" w:rsidRPr="00A403FC" w:rsidRDefault="001872A8" w:rsidP="00A403FC">
            <w:pPr>
              <w:pStyle w:val="Tableheading"/>
              <w:jc w:val="center"/>
            </w:pPr>
            <w:r w:rsidRPr="00A403FC">
              <w:t>Age Group</w:t>
            </w:r>
          </w:p>
        </w:tc>
        <w:tc>
          <w:tcPr>
            <w:tcW w:w="3076" w:type="dxa"/>
            <w:shd w:val="clear" w:color="auto" w:fill="auto"/>
            <w:noWrap/>
            <w:vAlign w:val="center"/>
            <w:hideMark/>
          </w:tcPr>
          <w:p w14:paraId="1046C6A4" w14:textId="77777777" w:rsidR="001872A8" w:rsidRPr="00A403FC" w:rsidRDefault="001872A8" w:rsidP="00A403FC">
            <w:pPr>
              <w:pStyle w:val="Tableheading"/>
              <w:jc w:val="center"/>
            </w:pPr>
            <w:r w:rsidRPr="00A403FC">
              <w:t>Number of Services</w:t>
            </w:r>
          </w:p>
        </w:tc>
        <w:tc>
          <w:tcPr>
            <w:tcW w:w="3077" w:type="dxa"/>
            <w:shd w:val="clear" w:color="auto" w:fill="auto"/>
            <w:noWrap/>
            <w:vAlign w:val="center"/>
            <w:hideMark/>
          </w:tcPr>
          <w:p w14:paraId="063F3894" w14:textId="77777777" w:rsidR="001872A8" w:rsidRPr="00A403FC" w:rsidRDefault="001872A8" w:rsidP="00A403FC">
            <w:pPr>
              <w:pStyle w:val="Tableheading"/>
              <w:jc w:val="center"/>
            </w:pPr>
            <w:r w:rsidRPr="00A403FC">
              <w:t>% provided to the age group</w:t>
            </w:r>
          </w:p>
        </w:tc>
      </w:tr>
      <w:tr w:rsidR="001872A8" w:rsidRPr="00364CDE" w14:paraId="7920BA91" w14:textId="77777777" w:rsidTr="008B1C85">
        <w:trPr>
          <w:trHeight w:val="300"/>
        </w:trPr>
        <w:tc>
          <w:tcPr>
            <w:tcW w:w="3076" w:type="dxa"/>
            <w:shd w:val="clear" w:color="auto" w:fill="auto"/>
            <w:noWrap/>
            <w:vAlign w:val="center"/>
            <w:hideMark/>
          </w:tcPr>
          <w:p w14:paraId="01FFFBBB" w14:textId="77777777" w:rsidR="001872A8" w:rsidRPr="00364CDE" w:rsidRDefault="001872A8" w:rsidP="00A403FC">
            <w:pPr>
              <w:pStyle w:val="Tabletext"/>
              <w:jc w:val="center"/>
            </w:pPr>
            <w:r w:rsidRPr="00364CDE">
              <w:t>0-14</w:t>
            </w:r>
          </w:p>
        </w:tc>
        <w:tc>
          <w:tcPr>
            <w:tcW w:w="3076" w:type="dxa"/>
            <w:shd w:val="clear" w:color="auto" w:fill="auto"/>
            <w:noWrap/>
            <w:vAlign w:val="center"/>
            <w:hideMark/>
          </w:tcPr>
          <w:p w14:paraId="5468EE67" w14:textId="77777777" w:rsidR="001872A8" w:rsidRPr="00364CDE" w:rsidRDefault="001872A8" w:rsidP="00A403FC">
            <w:pPr>
              <w:pStyle w:val="Tabletext"/>
              <w:jc w:val="center"/>
            </w:pPr>
            <w:r w:rsidRPr="00364CDE">
              <w:rPr>
                <w:rFonts w:cs="Tahoma"/>
              </w:rPr>
              <w:t>18</w:t>
            </w:r>
          </w:p>
        </w:tc>
        <w:tc>
          <w:tcPr>
            <w:tcW w:w="3077" w:type="dxa"/>
            <w:shd w:val="clear" w:color="auto" w:fill="auto"/>
            <w:noWrap/>
            <w:vAlign w:val="center"/>
            <w:hideMark/>
          </w:tcPr>
          <w:p w14:paraId="588ECB79" w14:textId="77777777" w:rsidR="001872A8" w:rsidRPr="00364CDE" w:rsidRDefault="001872A8" w:rsidP="00A403FC">
            <w:pPr>
              <w:pStyle w:val="Tabletext"/>
              <w:jc w:val="center"/>
            </w:pPr>
            <w:r w:rsidRPr="00364CDE">
              <w:rPr>
                <w:rFonts w:cs="Tahoma"/>
              </w:rPr>
              <w:t>1%</w:t>
            </w:r>
          </w:p>
        </w:tc>
      </w:tr>
      <w:tr w:rsidR="001872A8" w:rsidRPr="00364CDE" w14:paraId="691BA6E6" w14:textId="77777777" w:rsidTr="008B1C85">
        <w:trPr>
          <w:trHeight w:val="300"/>
        </w:trPr>
        <w:tc>
          <w:tcPr>
            <w:tcW w:w="3076" w:type="dxa"/>
            <w:shd w:val="clear" w:color="auto" w:fill="auto"/>
            <w:noWrap/>
            <w:vAlign w:val="center"/>
            <w:hideMark/>
          </w:tcPr>
          <w:p w14:paraId="77A2562B" w14:textId="77777777" w:rsidR="001872A8" w:rsidRPr="00364CDE" w:rsidRDefault="001872A8" w:rsidP="00A403FC">
            <w:pPr>
              <w:pStyle w:val="Tabletext"/>
              <w:jc w:val="center"/>
            </w:pPr>
            <w:r w:rsidRPr="00364CDE">
              <w:t>15-19</w:t>
            </w:r>
          </w:p>
        </w:tc>
        <w:tc>
          <w:tcPr>
            <w:tcW w:w="3076" w:type="dxa"/>
            <w:shd w:val="clear" w:color="auto" w:fill="auto"/>
            <w:noWrap/>
            <w:vAlign w:val="center"/>
            <w:hideMark/>
          </w:tcPr>
          <w:p w14:paraId="29D09573" w14:textId="77777777" w:rsidR="001872A8" w:rsidRPr="00364CDE" w:rsidRDefault="001872A8" w:rsidP="00A403FC">
            <w:pPr>
              <w:pStyle w:val="Tabletext"/>
              <w:jc w:val="center"/>
            </w:pPr>
            <w:r w:rsidRPr="00364CDE">
              <w:t>43</w:t>
            </w:r>
          </w:p>
        </w:tc>
        <w:tc>
          <w:tcPr>
            <w:tcW w:w="3077" w:type="dxa"/>
            <w:shd w:val="clear" w:color="auto" w:fill="auto"/>
            <w:noWrap/>
            <w:vAlign w:val="center"/>
            <w:hideMark/>
          </w:tcPr>
          <w:p w14:paraId="420230EC" w14:textId="77777777" w:rsidR="001872A8" w:rsidRPr="00364CDE" w:rsidRDefault="001872A8" w:rsidP="00A403FC">
            <w:pPr>
              <w:pStyle w:val="Tabletext"/>
              <w:jc w:val="center"/>
            </w:pPr>
            <w:r w:rsidRPr="00364CDE">
              <w:rPr>
                <w:rFonts w:cs="Tahoma"/>
              </w:rPr>
              <w:t>4%</w:t>
            </w:r>
          </w:p>
        </w:tc>
      </w:tr>
      <w:tr w:rsidR="001872A8" w:rsidRPr="00364CDE" w14:paraId="588CB063" w14:textId="77777777" w:rsidTr="008B1C85">
        <w:trPr>
          <w:trHeight w:val="300"/>
        </w:trPr>
        <w:tc>
          <w:tcPr>
            <w:tcW w:w="3076" w:type="dxa"/>
            <w:shd w:val="clear" w:color="auto" w:fill="auto"/>
            <w:noWrap/>
            <w:vAlign w:val="center"/>
            <w:hideMark/>
          </w:tcPr>
          <w:p w14:paraId="64DEA53C" w14:textId="77777777" w:rsidR="001872A8" w:rsidRPr="00364CDE" w:rsidRDefault="001872A8" w:rsidP="00A403FC">
            <w:pPr>
              <w:pStyle w:val="Tabletext"/>
              <w:jc w:val="center"/>
            </w:pPr>
            <w:r w:rsidRPr="00364CDE">
              <w:t>20-24</w:t>
            </w:r>
          </w:p>
        </w:tc>
        <w:tc>
          <w:tcPr>
            <w:tcW w:w="3076" w:type="dxa"/>
            <w:shd w:val="clear" w:color="auto" w:fill="auto"/>
            <w:noWrap/>
            <w:vAlign w:val="center"/>
            <w:hideMark/>
          </w:tcPr>
          <w:p w14:paraId="4C75ED47" w14:textId="77777777" w:rsidR="001872A8" w:rsidRPr="00364CDE" w:rsidRDefault="001872A8" w:rsidP="00A403FC">
            <w:pPr>
              <w:pStyle w:val="Tabletext"/>
              <w:jc w:val="center"/>
            </w:pPr>
            <w:r w:rsidRPr="00364CDE">
              <w:t>60</w:t>
            </w:r>
          </w:p>
        </w:tc>
        <w:tc>
          <w:tcPr>
            <w:tcW w:w="3077" w:type="dxa"/>
            <w:shd w:val="clear" w:color="auto" w:fill="auto"/>
            <w:noWrap/>
            <w:vAlign w:val="center"/>
            <w:hideMark/>
          </w:tcPr>
          <w:p w14:paraId="631C87A5" w14:textId="77777777" w:rsidR="001872A8" w:rsidRPr="00364CDE" w:rsidRDefault="001872A8" w:rsidP="00A403FC">
            <w:pPr>
              <w:pStyle w:val="Tabletext"/>
              <w:jc w:val="center"/>
            </w:pPr>
            <w:r w:rsidRPr="00364CDE">
              <w:rPr>
                <w:rFonts w:cs="Tahoma"/>
              </w:rPr>
              <w:t>6%</w:t>
            </w:r>
          </w:p>
        </w:tc>
      </w:tr>
      <w:tr w:rsidR="001872A8" w:rsidRPr="00364CDE" w14:paraId="11AA1BB2" w14:textId="77777777" w:rsidTr="008B1C85">
        <w:trPr>
          <w:trHeight w:val="300"/>
        </w:trPr>
        <w:tc>
          <w:tcPr>
            <w:tcW w:w="3076" w:type="dxa"/>
            <w:shd w:val="clear" w:color="auto" w:fill="auto"/>
            <w:noWrap/>
            <w:vAlign w:val="center"/>
            <w:hideMark/>
          </w:tcPr>
          <w:p w14:paraId="2857B1F0" w14:textId="77777777" w:rsidR="001872A8" w:rsidRPr="00364CDE" w:rsidRDefault="001872A8" w:rsidP="00A403FC">
            <w:pPr>
              <w:pStyle w:val="Tabletext"/>
              <w:jc w:val="center"/>
            </w:pPr>
            <w:r w:rsidRPr="00364CDE">
              <w:t>25-29</w:t>
            </w:r>
          </w:p>
        </w:tc>
        <w:tc>
          <w:tcPr>
            <w:tcW w:w="3076" w:type="dxa"/>
            <w:shd w:val="clear" w:color="auto" w:fill="auto"/>
            <w:noWrap/>
            <w:vAlign w:val="center"/>
            <w:hideMark/>
          </w:tcPr>
          <w:p w14:paraId="47521436" w14:textId="77777777" w:rsidR="001872A8" w:rsidRPr="00364CDE" w:rsidRDefault="001872A8" w:rsidP="00A403FC">
            <w:pPr>
              <w:pStyle w:val="Tabletext"/>
              <w:jc w:val="center"/>
            </w:pPr>
            <w:r w:rsidRPr="00364CDE">
              <w:t>36</w:t>
            </w:r>
          </w:p>
        </w:tc>
        <w:tc>
          <w:tcPr>
            <w:tcW w:w="3077" w:type="dxa"/>
            <w:shd w:val="clear" w:color="auto" w:fill="auto"/>
            <w:noWrap/>
            <w:vAlign w:val="center"/>
            <w:hideMark/>
          </w:tcPr>
          <w:p w14:paraId="32DE3528" w14:textId="77777777" w:rsidR="001872A8" w:rsidRPr="00364CDE" w:rsidRDefault="001872A8" w:rsidP="00A403FC">
            <w:pPr>
              <w:pStyle w:val="Tabletext"/>
              <w:jc w:val="center"/>
            </w:pPr>
            <w:r w:rsidRPr="00364CDE">
              <w:rPr>
                <w:rFonts w:cs="Tahoma"/>
              </w:rPr>
              <w:t>4%</w:t>
            </w:r>
          </w:p>
        </w:tc>
      </w:tr>
      <w:tr w:rsidR="001872A8" w:rsidRPr="00364CDE" w14:paraId="0D4252C6" w14:textId="77777777" w:rsidTr="008B1C85">
        <w:trPr>
          <w:trHeight w:val="300"/>
        </w:trPr>
        <w:tc>
          <w:tcPr>
            <w:tcW w:w="3076" w:type="dxa"/>
            <w:shd w:val="clear" w:color="auto" w:fill="auto"/>
            <w:noWrap/>
            <w:vAlign w:val="center"/>
            <w:hideMark/>
          </w:tcPr>
          <w:p w14:paraId="45F53F2D" w14:textId="77777777" w:rsidR="001872A8" w:rsidRPr="00364CDE" w:rsidRDefault="001872A8" w:rsidP="00A403FC">
            <w:pPr>
              <w:pStyle w:val="Tabletext"/>
              <w:jc w:val="center"/>
            </w:pPr>
            <w:r w:rsidRPr="00364CDE">
              <w:t>30-34</w:t>
            </w:r>
          </w:p>
        </w:tc>
        <w:tc>
          <w:tcPr>
            <w:tcW w:w="3076" w:type="dxa"/>
            <w:shd w:val="clear" w:color="auto" w:fill="auto"/>
            <w:noWrap/>
            <w:vAlign w:val="center"/>
            <w:hideMark/>
          </w:tcPr>
          <w:p w14:paraId="6C856E12" w14:textId="77777777" w:rsidR="001872A8" w:rsidRPr="00364CDE" w:rsidRDefault="001872A8" w:rsidP="00A403FC">
            <w:pPr>
              <w:pStyle w:val="Tabletext"/>
              <w:jc w:val="center"/>
            </w:pPr>
            <w:r w:rsidRPr="00364CDE">
              <w:t>37</w:t>
            </w:r>
          </w:p>
        </w:tc>
        <w:tc>
          <w:tcPr>
            <w:tcW w:w="3077" w:type="dxa"/>
            <w:shd w:val="clear" w:color="auto" w:fill="auto"/>
            <w:noWrap/>
            <w:vAlign w:val="center"/>
            <w:hideMark/>
          </w:tcPr>
          <w:p w14:paraId="55DCA8BE" w14:textId="77777777" w:rsidR="001872A8" w:rsidRPr="00364CDE" w:rsidRDefault="001872A8" w:rsidP="00A403FC">
            <w:pPr>
              <w:pStyle w:val="Tabletext"/>
              <w:jc w:val="center"/>
            </w:pPr>
            <w:r w:rsidRPr="00364CDE">
              <w:rPr>
                <w:rFonts w:cs="Tahoma"/>
              </w:rPr>
              <w:t>4%</w:t>
            </w:r>
          </w:p>
        </w:tc>
      </w:tr>
      <w:tr w:rsidR="001872A8" w:rsidRPr="00364CDE" w14:paraId="5C548C45" w14:textId="77777777" w:rsidTr="008B1C85">
        <w:trPr>
          <w:trHeight w:val="300"/>
        </w:trPr>
        <w:tc>
          <w:tcPr>
            <w:tcW w:w="3076" w:type="dxa"/>
            <w:shd w:val="clear" w:color="auto" w:fill="auto"/>
            <w:noWrap/>
            <w:vAlign w:val="center"/>
            <w:hideMark/>
          </w:tcPr>
          <w:p w14:paraId="446E2FED" w14:textId="77777777" w:rsidR="001872A8" w:rsidRPr="00364CDE" w:rsidRDefault="001872A8" w:rsidP="00A403FC">
            <w:pPr>
              <w:pStyle w:val="Tabletext"/>
              <w:jc w:val="center"/>
            </w:pPr>
            <w:r w:rsidRPr="00364CDE">
              <w:t>35-39</w:t>
            </w:r>
          </w:p>
        </w:tc>
        <w:tc>
          <w:tcPr>
            <w:tcW w:w="3076" w:type="dxa"/>
            <w:shd w:val="clear" w:color="auto" w:fill="auto"/>
            <w:noWrap/>
            <w:vAlign w:val="center"/>
            <w:hideMark/>
          </w:tcPr>
          <w:p w14:paraId="52316133" w14:textId="77777777" w:rsidR="001872A8" w:rsidRPr="00364CDE" w:rsidRDefault="001872A8" w:rsidP="00A403FC">
            <w:pPr>
              <w:pStyle w:val="Tabletext"/>
              <w:jc w:val="center"/>
            </w:pPr>
            <w:r w:rsidRPr="00364CDE">
              <w:t>38</w:t>
            </w:r>
          </w:p>
        </w:tc>
        <w:tc>
          <w:tcPr>
            <w:tcW w:w="3077" w:type="dxa"/>
            <w:shd w:val="clear" w:color="auto" w:fill="auto"/>
            <w:noWrap/>
            <w:vAlign w:val="center"/>
            <w:hideMark/>
          </w:tcPr>
          <w:p w14:paraId="4B6AD404" w14:textId="77777777" w:rsidR="001872A8" w:rsidRPr="00364CDE" w:rsidRDefault="001872A8" w:rsidP="00A403FC">
            <w:pPr>
              <w:pStyle w:val="Tabletext"/>
              <w:jc w:val="center"/>
            </w:pPr>
            <w:r w:rsidRPr="00364CDE">
              <w:rPr>
                <w:rFonts w:cs="Tahoma"/>
              </w:rPr>
              <w:t>4%</w:t>
            </w:r>
          </w:p>
        </w:tc>
      </w:tr>
      <w:tr w:rsidR="001872A8" w:rsidRPr="00364CDE" w14:paraId="54146F3F" w14:textId="77777777" w:rsidTr="008B1C85">
        <w:trPr>
          <w:trHeight w:val="300"/>
        </w:trPr>
        <w:tc>
          <w:tcPr>
            <w:tcW w:w="3076" w:type="dxa"/>
            <w:shd w:val="clear" w:color="auto" w:fill="auto"/>
            <w:noWrap/>
            <w:vAlign w:val="center"/>
            <w:hideMark/>
          </w:tcPr>
          <w:p w14:paraId="329625B5" w14:textId="77777777" w:rsidR="001872A8" w:rsidRPr="00364CDE" w:rsidRDefault="001872A8" w:rsidP="00A403FC">
            <w:pPr>
              <w:pStyle w:val="Tabletext"/>
              <w:jc w:val="center"/>
            </w:pPr>
            <w:r w:rsidRPr="00364CDE">
              <w:t>40-44</w:t>
            </w:r>
          </w:p>
        </w:tc>
        <w:tc>
          <w:tcPr>
            <w:tcW w:w="3076" w:type="dxa"/>
            <w:shd w:val="clear" w:color="auto" w:fill="auto"/>
            <w:noWrap/>
            <w:vAlign w:val="center"/>
            <w:hideMark/>
          </w:tcPr>
          <w:p w14:paraId="45316725" w14:textId="77777777" w:rsidR="001872A8" w:rsidRPr="00364CDE" w:rsidRDefault="001872A8" w:rsidP="00A403FC">
            <w:pPr>
              <w:pStyle w:val="Tabletext"/>
              <w:jc w:val="center"/>
            </w:pPr>
            <w:r w:rsidRPr="00364CDE">
              <w:t>46</w:t>
            </w:r>
          </w:p>
        </w:tc>
        <w:tc>
          <w:tcPr>
            <w:tcW w:w="3077" w:type="dxa"/>
            <w:shd w:val="clear" w:color="auto" w:fill="auto"/>
            <w:noWrap/>
            <w:vAlign w:val="center"/>
            <w:hideMark/>
          </w:tcPr>
          <w:p w14:paraId="134EE0D8" w14:textId="77777777" w:rsidR="001872A8" w:rsidRPr="00364CDE" w:rsidRDefault="001872A8" w:rsidP="00A403FC">
            <w:pPr>
              <w:pStyle w:val="Tabletext"/>
              <w:jc w:val="center"/>
            </w:pPr>
            <w:r w:rsidRPr="00364CDE">
              <w:rPr>
                <w:rFonts w:cs="Tahoma"/>
              </w:rPr>
              <w:t>4%</w:t>
            </w:r>
          </w:p>
        </w:tc>
      </w:tr>
      <w:tr w:rsidR="001872A8" w:rsidRPr="00364CDE" w14:paraId="777F69FB" w14:textId="77777777" w:rsidTr="008B1C85">
        <w:trPr>
          <w:trHeight w:val="300"/>
        </w:trPr>
        <w:tc>
          <w:tcPr>
            <w:tcW w:w="3076" w:type="dxa"/>
            <w:shd w:val="clear" w:color="auto" w:fill="auto"/>
            <w:noWrap/>
            <w:vAlign w:val="center"/>
            <w:hideMark/>
          </w:tcPr>
          <w:p w14:paraId="2EFCA73E" w14:textId="77777777" w:rsidR="001872A8" w:rsidRPr="00364CDE" w:rsidRDefault="001872A8" w:rsidP="00A403FC">
            <w:pPr>
              <w:pStyle w:val="Tabletext"/>
              <w:jc w:val="center"/>
            </w:pPr>
            <w:r w:rsidRPr="00364CDE">
              <w:t>45-49</w:t>
            </w:r>
          </w:p>
        </w:tc>
        <w:tc>
          <w:tcPr>
            <w:tcW w:w="3076" w:type="dxa"/>
            <w:shd w:val="clear" w:color="auto" w:fill="auto"/>
            <w:noWrap/>
            <w:vAlign w:val="center"/>
            <w:hideMark/>
          </w:tcPr>
          <w:p w14:paraId="2DA8C9D2" w14:textId="77777777" w:rsidR="001872A8" w:rsidRPr="00364CDE" w:rsidRDefault="001872A8" w:rsidP="00A403FC">
            <w:pPr>
              <w:pStyle w:val="Tabletext"/>
              <w:jc w:val="center"/>
            </w:pPr>
            <w:r w:rsidRPr="00364CDE">
              <w:t>49</w:t>
            </w:r>
          </w:p>
        </w:tc>
        <w:tc>
          <w:tcPr>
            <w:tcW w:w="3077" w:type="dxa"/>
            <w:shd w:val="clear" w:color="auto" w:fill="auto"/>
            <w:noWrap/>
            <w:vAlign w:val="center"/>
            <w:hideMark/>
          </w:tcPr>
          <w:p w14:paraId="3F533E07" w14:textId="77777777" w:rsidR="001872A8" w:rsidRPr="00364CDE" w:rsidRDefault="001872A8" w:rsidP="00A403FC">
            <w:pPr>
              <w:pStyle w:val="Tabletext"/>
              <w:jc w:val="center"/>
            </w:pPr>
            <w:r w:rsidRPr="00364CDE">
              <w:rPr>
                <w:rFonts w:cs="Tahoma"/>
              </w:rPr>
              <w:t>5%</w:t>
            </w:r>
          </w:p>
        </w:tc>
      </w:tr>
      <w:tr w:rsidR="001872A8" w:rsidRPr="00364CDE" w14:paraId="69AC008C" w14:textId="77777777" w:rsidTr="008B1C85">
        <w:trPr>
          <w:trHeight w:val="300"/>
        </w:trPr>
        <w:tc>
          <w:tcPr>
            <w:tcW w:w="3076" w:type="dxa"/>
            <w:shd w:val="clear" w:color="auto" w:fill="auto"/>
            <w:noWrap/>
            <w:vAlign w:val="center"/>
            <w:hideMark/>
          </w:tcPr>
          <w:p w14:paraId="6E11C169" w14:textId="77777777" w:rsidR="001872A8" w:rsidRPr="00364CDE" w:rsidRDefault="001872A8" w:rsidP="00A403FC">
            <w:pPr>
              <w:pStyle w:val="Tabletext"/>
              <w:jc w:val="center"/>
            </w:pPr>
            <w:r w:rsidRPr="00364CDE">
              <w:t>50-54</w:t>
            </w:r>
          </w:p>
        </w:tc>
        <w:tc>
          <w:tcPr>
            <w:tcW w:w="3076" w:type="dxa"/>
            <w:shd w:val="clear" w:color="auto" w:fill="auto"/>
            <w:noWrap/>
            <w:vAlign w:val="center"/>
            <w:hideMark/>
          </w:tcPr>
          <w:p w14:paraId="3A35C378" w14:textId="77777777" w:rsidR="001872A8" w:rsidRPr="00364CDE" w:rsidRDefault="001872A8" w:rsidP="00A403FC">
            <w:pPr>
              <w:pStyle w:val="Tabletext"/>
              <w:jc w:val="center"/>
            </w:pPr>
            <w:r w:rsidRPr="00364CDE">
              <w:t>63</w:t>
            </w:r>
          </w:p>
        </w:tc>
        <w:tc>
          <w:tcPr>
            <w:tcW w:w="3077" w:type="dxa"/>
            <w:shd w:val="clear" w:color="auto" w:fill="auto"/>
            <w:noWrap/>
            <w:vAlign w:val="center"/>
            <w:hideMark/>
          </w:tcPr>
          <w:p w14:paraId="3B98A2D8" w14:textId="77777777" w:rsidR="001872A8" w:rsidRPr="00364CDE" w:rsidRDefault="001872A8" w:rsidP="00A403FC">
            <w:pPr>
              <w:pStyle w:val="Tabletext"/>
              <w:jc w:val="center"/>
            </w:pPr>
            <w:r w:rsidRPr="00364CDE">
              <w:rPr>
                <w:rFonts w:cs="Tahoma"/>
              </w:rPr>
              <w:t>6%</w:t>
            </w:r>
          </w:p>
        </w:tc>
      </w:tr>
      <w:tr w:rsidR="001872A8" w:rsidRPr="00364CDE" w14:paraId="57A5A7D1" w14:textId="77777777" w:rsidTr="008B1C85">
        <w:trPr>
          <w:trHeight w:val="300"/>
        </w:trPr>
        <w:tc>
          <w:tcPr>
            <w:tcW w:w="3076" w:type="dxa"/>
            <w:shd w:val="clear" w:color="auto" w:fill="auto"/>
            <w:noWrap/>
            <w:vAlign w:val="center"/>
            <w:hideMark/>
          </w:tcPr>
          <w:p w14:paraId="069DF106" w14:textId="77777777" w:rsidR="001872A8" w:rsidRPr="00364CDE" w:rsidRDefault="001872A8" w:rsidP="00A403FC">
            <w:pPr>
              <w:pStyle w:val="Tabletext"/>
              <w:jc w:val="center"/>
            </w:pPr>
            <w:r w:rsidRPr="00364CDE">
              <w:t>55-59</w:t>
            </w:r>
          </w:p>
        </w:tc>
        <w:tc>
          <w:tcPr>
            <w:tcW w:w="3076" w:type="dxa"/>
            <w:shd w:val="clear" w:color="auto" w:fill="auto"/>
            <w:noWrap/>
            <w:vAlign w:val="center"/>
            <w:hideMark/>
          </w:tcPr>
          <w:p w14:paraId="743437D0" w14:textId="77777777" w:rsidR="001872A8" w:rsidRPr="00364CDE" w:rsidRDefault="001872A8" w:rsidP="00A403FC">
            <w:pPr>
              <w:pStyle w:val="Tabletext"/>
              <w:jc w:val="center"/>
            </w:pPr>
            <w:r w:rsidRPr="00364CDE">
              <w:t>78</w:t>
            </w:r>
          </w:p>
        </w:tc>
        <w:tc>
          <w:tcPr>
            <w:tcW w:w="3077" w:type="dxa"/>
            <w:shd w:val="clear" w:color="auto" w:fill="auto"/>
            <w:noWrap/>
            <w:vAlign w:val="center"/>
            <w:hideMark/>
          </w:tcPr>
          <w:p w14:paraId="124E0F17" w14:textId="77777777" w:rsidR="001872A8" w:rsidRPr="00364CDE" w:rsidRDefault="001872A8" w:rsidP="00A403FC">
            <w:pPr>
              <w:pStyle w:val="Tabletext"/>
              <w:jc w:val="center"/>
            </w:pPr>
            <w:r w:rsidRPr="00364CDE">
              <w:rPr>
                <w:rFonts w:cs="Tahoma"/>
              </w:rPr>
              <w:t>8%</w:t>
            </w:r>
          </w:p>
        </w:tc>
      </w:tr>
      <w:tr w:rsidR="001872A8" w:rsidRPr="00364CDE" w14:paraId="79CC0963" w14:textId="77777777" w:rsidTr="008B1C85">
        <w:trPr>
          <w:trHeight w:val="300"/>
        </w:trPr>
        <w:tc>
          <w:tcPr>
            <w:tcW w:w="3076" w:type="dxa"/>
            <w:shd w:val="clear" w:color="auto" w:fill="auto"/>
            <w:noWrap/>
            <w:vAlign w:val="center"/>
            <w:hideMark/>
          </w:tcPr>
          <w:p w14:paraId="0923DB30" w14:textId="77777777" w:rsidR="001872A8" w:rsidRPr="00364CDE" w:rsidRDefault="001872A8" w:rsidP="00A403FC">
            <w:pPr>
              <w:pStyle w:val="Tabletext"/>
              <w:jc w:val="center"/>
            </w:pPr>
            <w:r w:rsidRPr="00364CDE">
              <w:t>60-64</w:t>
            </w:r>
          </w:p>
        </w:tc>
        <w:tc>
          <w:tcPr>
            <w:tcW w:w="3076" w:type="dxa"/>
            <w:shd w:val="clear" w:color="auto" w:fill="auto"/>
            <w:noWrap/>
            <w:vAlign w:val="center"/>
            <w:hideMark/>
          </w:tcPr>
          <w:p w14:paraId="3F9C873F" w14:textId="77777777" w:rsidR="001872A8" w:rsidRPr="00364CDE" w:rsidRDefault="001872A8" w:rsidP="00A403FC">
            <w:pPr>
              <w:pStyle w:val="Tabletext"/>
              <w:jc w:val="center"/>
            </w:pPr>
            <w:r w:rsidRPr="00364CDE">
              <w:t>142</w:t>
            </w:r>
          </w:p>
        </w:tc>
        <w:tc>
          <w:tcPr>
            <w:tcW w:w="3077" w:type="dxa"/>
            <w:shd w:val="clear" w:color="auto" w:fill="auto"/>
            <w:noWrap/>
            <w:vAlign w:val="center"/>
            <w:hideMark/>
          </w:tcPr>
          <w:p w14:paraId="72FD4850" w14:textId="77777777" w:rsidR="001872A8" w:rsidRPr="00364CDE" w:rsidRDefault="001872A8" w:rsidP="00A403FC">
            <w:pPr>
              <w:pStyle w:val="Tabletext"/>
              <w:jc w:val="center"/>
            </w:pPr>
            <w:r w:rsidRPr="00364CDE">
              <w:rPr>
                <w:rFonts w:cs="Tahoma"/>
              </w:rPr>
              <w:t>14%</w:t>
            </w:r>
          </w:p>
        </w:tc>
      </w:tr>
      <w:tr w:rsidR="001872A8" w:rsidRPr="00364CDE" w14:paraId="2D56DC0B" w14:textId="77777777" w:rsidTr="008B1C85">
        <w:trPr>
          <w:trHeight w:val="300"/>
        </w:trPr>
        <w:tc>
          <w:tcPr>
            <w:tcW w:w="3076" w:type="dxa"/>
            <w:shd w:val="clear" w:color="auto" w:fill="auto"/>
            <w:noWrap/>
            <w:vAlign w:val="center"/>
            <w:hideMark/>
          </w:tcPr>
          <w:p w14:paraId="23912390" w14:textId="77777777" w:rsidR="001872A8" w:rsidRPr="00364CDE" w:rsidRDefault="001872A8" w:rsidP="00A403FC">
            <w:pPr>
              <w:pStyle w:val="Tabletext"/>
              <w:jc w:val="center"/>
            </w:pPr>
            <w:r w:rsidRPr="00364CDE">
              <w:t>65-69</w:t>
            </w:r>
          </w:p>
        </w:tc>
        <w:tc>
          <w:tcPr>
            <w:tcW w:w="3076" w:type="dxa"/>
            <w:shd w:val="clear" w:color="auto" w:fill="auto"/>
            <w:noWrap/>
            <w:vAlign w:val="center"/>
            <w:hideMark/>
          </w:tcPr>
          <w:p w14:paraId="120E03E3" w14:textId="77777777" w:rsidR="001872A8" w:rsidRPr="00364CDE" w:rsidRDefault="001872A8" w:rsidP="00A403FC">
            <w:pPr>
              <w:pStyle w:val="Tabletext"/>
              <w:jc w:val="center"/>
            </w:pPr>
            <w:r w:rsidRPr="00364CDE">
              <w:t>114</w:t>
            </w:r>
          </w:p>
        </w:tc>
        <w:tc>
          <w:tcPr>
            <w:tcW w:w="3077" w:type="dxa"/>
            <w:shd w:val="clear" w:color="auto" w:fill="auto"/>
            <w:noWrap/>
            <w:vAlign w:val="center"/>
            <w:hideMark/>
          </w:tcPr>
          <w:p w14:paraId="3EB7D443" w14:textId="77777777" w:rsidR="001872A8" w:rsidRPr="00364CDE" w:rsidRDefault="001872A8" w:rsidP="00A403FC">
            <w:pPr>
              <w:pStyle w:val="Tabletext"/>
              <w:jc w:val="center"/>
            </w:pPr>
            <w:r w:rsidRPr="00364CDE">
              <w:rPr>
                <w:rFonts w:cs="Tahoma"/>
              </w:rPr>
              <w:t>11%</w:t>
            </w:r>
          </w:p>
        </w:tc>
      </w:tr>
      <w:tr w:rsidR="001872A8" w:rsidRPr="00364CDE" w14:paraId="56ACF46B" w14:textId="77777777" w:rsidTr="008B1C85">
        <w:trPr>
          <w:trHeight w:val="300"/>
        </w:trPr>
        <w:tc>
          <w:tcPr>
            <w:tcW w:w="3076" w:type="dxa"/>
            <w:shd w:val="clear" w:color="auto" w:fill="auto"/>
            <w:noWrap/>
            <w:vAlign w:val="center"/>
            <w:hideMark/>
          </w:tcPr>
          <w:p w14:paraId="78445355" w14:textId="77777777" w:rsidR="001872A8" w:rsidRPr="00364CDE" w:rsidRDefault="001872A8" w:rsidP="00A403FC">
            <w:pPr>
              <w:pStyle w:val="Tabletext"/>
              <w:jc w:val="center"/>
            </w:pPr>
            <w:r w:rsidRPr="00364CDE">
              <w:t>70-74</w:t>
            </w:r>
          </w:p>
        </w:tc>
        <w:tc>
          <w:tcPr>
            <w:tcW w:w="3076" w:type="dxa"/>
            <w:shd w:val="clear" w:color="auto" w:fill="auto"/>
            <w:noWrap/>
            <w:vAlign w:val="center"/>
            <w:hideMark/>
          </w:tcPr>
          <w:p w14:paraId="703DCCB3" w14:textId="77777777" w:rsidR="001872A8" w:rsidRPr="00364CDE" w:rsidRDefault="001872A8" w:rsidP="00A403FC">
            <w:pPr>
              <w:pStyle w:val="Tabletext"/>
              <w:jc w:val="center"/>
            </w:pPr>
            <w:r w:rsidRPr="00364CDE">
              <w:t>129</w:t>
            </w:r>
          </w:p>
        </w:tc>
        <w:tc>
          <w:tcPr>
            <w:tcW w:w="3077" w:type="dxa"/>
            <w:shd w:val="clear" w:color="auto" w:fill="auto"/>
            <w:noWrap/>
            <w:vAlign w:val="center"/>
            <w:hideMark/>
          </w:tcPr>
          <w:p w14:paraId="0DE2F3BB" w14:textId="77777777" w:rsidR="001872A8" w:rsidRPr="00364CDE" w:rsidRDefault="001872A8" w:rsidP="00A403FC">
            <w:pPr>
              <w:pStyle w:val="Tabletext"/>
              <w:jc w:val="center"/>
            </w:pPr>
            <w:r w:rsidRPr="00364CDE">
              <w:rPr>
                <w:rFonts w:cs="Tahoma"/>
              </w:rPr>
              <w:t>13%</w:t>
            </w:r>
          </w:p>
        </w:tc>
      </w:tr>
      <w:tr w:rsidR="001872A8" w:rsidRPr="00364CDE" w14:paraId="73D54861" w14:textId="77777777" w:rsidTr="008B1C85">
        <w:trPr>
          <w:trHeight w:val="300"/>
        </w:trPr>
        <w:tc>
          <w:tcPr>
            <w:tcW w:w="3076" w:type="dxa"/>
            <w:shd w:val="clear" w:color="auto" w:fill="auto"/>
            <w:noWrap/>
            <w:vAlign w:val="center"/>
            <w:hideMark/>
          </w:tcPr>
          <w:p w14:paraId="4429A282" w14:textId="77777777" w:rsidR="001872A8" w:rsidRPr="00364CDE" w:rsidRDefault="001872A8" w:rsidP="00A403FC">
            <w:pPr>
              <w:pStyle w:val="Tabletext"/>
              <w:jc w:val="center"/>
            </w:pPr>
            <w:r w:rsidRPr="00364CDE">
              <w:t>75-79</w:t>
            </w:r>
          </w:p>
        </w:tc>
        <w:tc>
          <w:tcPr>
            <w:tcW w:w="3076" w:type="dxa"/>
            <w:shd w:val="clear" w:color="auto" w:fill="auto"/>
            <w:noWrap/>
            <w:vAlign w:val="center"/>
            <w:hideMark/>
          </w:tcPr>
          <w:p w14:paraId="0C4C35D0" w14:textId="77777777" w:rsidR="001872A8" w:rsidRPr="00364CDE" w:rsidRDefault="001872A8" w:rsidP="00A403FC">
            <w:pPr>
              <w:pStyle w:val="Tabletext"/>
              <w:jc w:val="center"/>
            </w:pPr>
            <w:r w:rsidRPr="00364CDE">
              <w:t>99</w:t>
            </w:r>
          </w:p>
        </w:tc>
        <w:tc>
          <w:tcPr>
            <w:tcW w:w="3077" w:type="dxa"/>
            <w:shd w:val="clear" w:color="auto" w:fill="auto"/>
            <w:noWrap/>
            <w:vAlign w:val="center"/>
            <w:hideMark/>
          </w:tcPr>
          <w:p w14:paraId="62B92535" w14:textId="77777777" w:rsidR="001872A8" w:rsidRPr="00364CDE" w:rsidRDefault="001872A8" w:rsidP="00A403FC">
            <w:pPr>
              <w:pStyle w:val="Tabletext"/>
              <w:jc w:val="center"/>
            </w:pPr>
            <w:r w:rsidRPr="00364CDE">
              <w:rPr>
                <w:rFonts w:cs="Tahoma"/>
              </w:rPr>
              <w:t>10%</w:t>
            </w:r>
          </w:p>
        </w:tc>
      </w:tr>
      <w:tr w:rsidR="001872A8" w:rsidRPr="00364CDE" w14:paraId="672ED296" w14:textId="77777777" w:rsidTr="0099709F">
        <w:trPr>
          <w:trHeight w:val="300"/>
        </w:trPr>
        <w:tc>
          <w:tcPr>
            <w:tcW w:w="3076" w:type="dxa"/>
            <w:tcBorders>
              <w:bottom w:val="single" w:sz="4" w:space="0" w:color="B56011"/>
            </w:tcBorders>
            <w:shd w:val="clear" w:color="auto" w:fill="auto"/>
            <w:noWrap/>
            <w:vAlign w:val="center"/>
            <w:hideMark/>
          </w:tcPr>
          <w:p w14:paraId="5846A12E" w14:textId="77777777" w:rsidR="001872A8" w:rsidRPr="00364CDE" w:rsidRDefault="001872A8" w:rsidP="00A403FC">
            <w:pPr>
              <w:pStyle w:val="Tabletext"/>
              <w:jc w:val="center"/>
            </w:pPr>
            <w:r w:rsidRPr="00364CDE">
              <w:t>80-84</w:t>
            </w:r>
          </w:p>
        </w:tc>
        <w:tc>
          <w:tcPr>
            <w:tcW w:w="3076" w:type="dxa"/>
            <w:tcBorders>
              <w:bottom w:val="single" w:sz="4" w:space="0" w:color="B56011"/>
            </w:tcBorders>
            <w:shd w:val="clear" w:color="auto" w:fill="auto"/>
            <w:noWrap/>
            <w:vAlign w:val="center"/>
            <w:hideMark/>
          </w:tcPr>
          <w:p w14:paraId="28A249F0" w14:textId="77777777" w:rsidR="001872A8" w:rsidRPr="00364CDE" w:rsidRDefault="001872A8" w:rsidP="00A403FC">
            <w:pPr>
              <w:pStyle w:val="Tabletext"/>
              <w:jc w:val="center"/>
            </w:pPr>
            <w:r w:rsidRPr="00364CDE">
              <w:t>46</w:t>
            </w:r>
          </w:p>
        </w:tc>
        <w:tc>
          <w:tcPr>
            <w:tcW w:w="3077" w:type="dxa"/>
            <w:tcBorders>
              <w:bottom w:val="single" w:sz="4" w:space="0" w:color="B56011"/>
            </w:tcBorders>
            <w:shd w:val="clear" w:color="auto" w:fill="auto"/>
            <w:noWrap/>
            <w:vAlign w:val="center"/>
            <w:hideMark/>
          </w:tcPr>
          <w:p w14:paraId="74FB4910" w14:textId="77777777" w:rsidR="001872A8" w:rsidRPr="00364CDE" w:rsidRDefault="001872A8" w:rsidP="00A403FC">
            <w:pPr>
              <w:pStyle w:val="Tabletext"/>
              <w:jc w:val="center"/>
            </w:pPr>
            <w:r w:rsidRPr="00364CDE">
              <w:rPr>
                <w:rFonts w:cs="Tahoma"/>
              </w:rPr>
              <w:t>4%</w:t>
            </w:r>
          </w:p>
        </w:tc>
      </w:tr>
      <w:tr w:rsidR="001872A8" w:rsidRPr="00364CDE" w14:paraId="132AD6F4" w14:textId="77777777" w:rsidTr="008B1C85">
        <w:trPr>
          <w:trHeight w:val="300"/>
        </w:trPr>
        <w:tc>
          <w:tcPr>
            <w:tcW w:w="3076" w:type="dxa"/>
            <w:shd w:val="clear" w:color="auto" w:fill="auto"/>
            <w:noWrap/>
            <w:vAlign w:val="center"/>
            <w:hideMark/>
          </w:tcPr>
          <w:p w14:paraId="0A51B45D" w14:textId="77777777" w:rsidR="001872A8" w:rsidRPr="00364CDE" w:rsidRDefault="001872A8" w:rsidP="00A403FC">
            <w:pPr>
              <w:pStyle w:val="Tabletext"/>
              <w:jc w:val="center"/>
            </w:pPr>
            <w:r w:rsidRPr="00364CDE">
              <w:t>&gt;=85</w:t>
            </w:r>
          </w:p>
        </w:tc>
        <w:tc>
          <w:tcPr>
            <w:tcW w:w="3076" w:type="dxa"/>
            <w:shd w:val="clear" w:color="auto" w:fill="auto"/>
            <w:noWrap/>
            <w:vAlign w:val="center"/>
            <w:hideMark/>
          </w:tcPr>
          <w:p w14:paraId="7B810E87" w14:textId="77777777" w:rsidR="001872A8" w:rsidRPr="00364CDE" w:rsidRDefault="001872A8" w:rsidP="00A403FC">
            <w:pPr>
              <w:pStyle w:val="Tabletext"/>
              <w:jc w:val="center"/>
            </w:pPr>
            <w:r w:rsidRPr="00364CDE">
              <w:t>28</w:t>
            </w:r>
          </w:p>
        </w:tc>
        <w:tc>
          <w:tcPr>
            <w:tcW w:w="3077" w:type="dxa"/>
            <w:shd w:val="clear" w:color="auto" w:fill="auto"/>
            <w:noWrap/>
            <w:vAlign w:val="center"/>
            <w:hideMark/>
          </w:tcPr>
          <w:p w14:paraId="21173A78" w14:textId="77777777" w:rsidR="001872A8" w:rsidRPr="00364CDE" w:rsidRDefault="001872A8" w:rsidP="00A403FC">
            <w:pPr>
              <w:pStyle w:val="Tabletext"/>
              <w:jc w:val="center"/>
            </w:pPr>
            <w:r w:rsidRPr="00364CDE">
              <w:rPr>
                <w:rFonts w:cs="Tahoma"/>
              </w:rPr>
              <w:t>3%</w:t>
            </w:r>
          </w:p>
        </w:tc>
      </w:tr>
    </w:tbl>
    <w:p w14:paraId="6D84FB72" w14:textId="77777777" w:rsidR="005A38A8" w:rsidRDefault="00C75AFF" w:rsidP="0099709F">
      <w:pPr>
        <w:pStyle w:val="TableUnder"/>
      </w:pPr>
      <w:r w:rsidRPr="008B1C85">
        <w:t>Unpublished data (Department of Health)</w:t>
      </w:r>
    </w:p>
    <w:p w14:paraId="21AF3615" w14:textId="77777777" w:rsidR="008F23CC" w:rsidRPr="008B1C85" w:rsidRDefault="008F23CC" w:rsidP="0099709F">
      <w:pPr>
        <w:pStyle w:val="TableUnder"/>
      </w:pPr>
      <w:r>
        <w:t xml:space="preserve">Note: Total number of services is </w:t>
      </w:r>
      <w:r w:rsidRPr="008F23CC">
        <w:t>1,026</w:t>
      </w:r>
      <w:r>
        <w:t>.</w:t>
      </w:r>
    </w:p>
    <w:p w14:paraId="59BA8C3C" w14:textId="77777777" w:rsidR="001872A8" w:rsidRPr="009F4CD5" w:rsidRDefault="00006172" w:rsidP="00006172">
      <w:pPr>
        <w:pStyle w:val="Caption"/>
      </w:pPr>
      <w:bookmarkStart w:id="333" w:name="_Toc478721561"/>
      <w:r>
        <w:t>Table B2:</w:t>
      </w:r>
      <w:r>
        <w:tab/>
      </w:r>
      <w:r w:rsidR="00045147">
        <w:t xml:space="preserve">Percentage of </w:t>
      </w:r>
      <w:r w:rsidR="00045147" w:rsidRPr="00045147">
        <w:t>services by specialty group - 1150</w:t>
      </w:r>
      <w:r w:rsidR="00045147">
        <w:t>0</w:t>
      </w:r>
      <w:r w:rsidR="00045147" w:rsidRPr="00045147">
        <w:t>, 2014-</w:t>
      </w:r>
      <w:r w:rsidR="00045147" w:rsidRPr="00E52BC8">
        <w:t>15</w:t>
      </w:r>
      <w:bookmarkEnd w:id="333"/>
    </w:p>
    <w:tbl>
      <w:tblPr>
        <w:tblW w:w="9072" w:type="dxa"/>
        <w:tblInd w:w="108" w:type="dxa"/>
        <w:tblBorders>
          <w:top w:val="single" w:sz="4" w:space="0" w:color="B56011"/>
          <w:bottom w:val="single" w:sz="4" w:space="0" w:color="B56011"/>
          <w:insideH w:val="single" w:sz="4" w:space="0" w:color="B56011"/>
        </w:tblBorders>
        <w:tblLayout w:type="fixed"/>
        <w:tblLook w:val="04A0" w:firstRow="1" w:lastRow="0" w:firstColumn="1" w:lastColumn="0" w:noHBand="0" w:noVBand="1"/>
        <w:tblDescription w:val="Table B2 provides the number of services provided for item 11500 in 2014-15 by the specialities cardiology, respiratory and sleep medicine, and anaesthetics."/>
      </w:tblPr>
      <w:tblGrid>
        <w:gridCol w:w="5245"/>
        <w:gridCol w:w="1913"/>
        <w:gridCol w:w="1914"/>
      </w:tblGrid>
      <w:tr w:rsidR="0002627F" w:rsidRPr="00A403FC" w14:paraId="2D88A6CD" w14:textId="77777777" w:rsidTr="00364CDE">
        <w:trPr>
          <w:trHeight w:val="290"/>
          <w:tblHeader/>
        </w:trPr>
        <w:tc>
          <w:tcPr>
            <w:tcW w:w="5245" w:type="dxa"/>
            <w:shd w:val="clear" w:color="auto" w:fill="auto"/>
            <w:noWrap/>
            <w:hideMark/>
          </w:tcPr>
          <w:p w14:paraId="64A2B402" w14:textId="77777777" w:rsidR="001872A8" w:rsidRPr="00A403FC" w:rsidRDefault="001872A8" w:rsidP="00A403FC">
            <w:pPr>
              <w:pStyle w:val="Tableheading"/>
            </w:pPr>
            <w:r w:rsidRPr="00A403FC">
              <w:t>Specialty group</w:t>
            </w:r>
          </w:p>
        </w:tc>
        <w:tc>
          <w:tcPr>
            <w:tcW w:w="1913" w:type="dxa"/>
            <w:shd w:val="clear" w:color="auto" w:fill="auto"/>
            <w:hideMark/>
          </w:tcPr>
          <w:p w14:paraId="50E0A53D" w14:textId="77777777" w:rsidR="001872A8" w:rsidRPr="00A403FC" w:rsidRDefault="00F12329" w:rsidP="00A403FC">
            <w:pPr>
              <w:pStyle w:val="Tableheading"/>
            </w:pPr>
            <w:r w:rsidRPr="00F12329">
              <w:t>Number of Services</w:t>
            </w:r>
          </w:p>
        </w:tc>
        <w:tc>
          <w:tcPr>
            <w:tcW w:w="1914" w:type="dxa"/>
            <w:shd w:val="clear" w:color="auto" w:fill="auto"/>
            <w:hideMark/>
          </w:tcPr>
          <w:p w14:paraId="5530004F" w14:textId="77777777" w:rsidR="001872A8" w:rsidRPr="00A403FC" w:rsidRDefault="001872A8" w:rsidP="00A403FC">
            <w:pPr>
              <w:pStyle w:val="Tableheading"/>
            </w:pPr>
            <w:r w:rsidRPr="00A403FC">
              <w:t>% of total services</w:t>
            </w:r>
          </w:p>
        </w:tc>
      </w:tr>
      <w:tr w:rsidR="00364CDE" w:rsidRPr="00A403FC" w14:paraId="34897744" w14:textId="77777777" w:rsidTr="00364CDE">
        <w:trPr>
          <w:trHeight w:val="255"/>
        </w:trPr>
        <w:tc>
          <w:tcPr>
            <w:tcW w:w="5245" w:type="dxa"/>
            <w:shd w:val="clear" w:color="auto" w:fill="auto"/>
            <w:noWrap/>
            <w:hideMark/>
          </w:tcPr>
          <w:p w14:paraId="6E73C09D" w14:textId="77777777" w:rsidR="001872A8" w:rsidRPr="00A403FC" w:rsidRDefault="001872A8" w:rsidP="004A7561">
            <w:pPr>
              <w:pStyle w:val="Tabletext"/>
            </w:pPr>
            <w:r w:rsidRPr="00A403FC">
              <w:t>Cardiology</w:t>
            </w:r>
          </w:p>
        </w:tc>
        <w:tc>
          <w:tcPr>
            <w:tcW w:w="1913" w:type="dxa"/>
            <w:shd w:val="clear" w:color="auto" w:fill="auto"/>
            <w:hideMark/>
          </w:tcPr>
          <w:p w14:paraId="69B14570" w14:textId="77777777" w:rsidR="001872A8" w:rsidRPr="00A403FC" w:rsidRDefault="001872A8" w:rsidP="00491404">
            <w:pPr>
              <w:pStyle w:val="TableTextDecimalAlign"/>
            </w:pPr>
            <w:r w:rsidRPr="00A403FC">
              <w:t>70</w:t>
            </w:r>
          </w:p>
        </w:tc>
        <w:tc>
          <w:tcPr>
            <w:tcW w:w="1914" w:type="dxa"/>
            <w:shd w:val="clear" w:color="auto" w:fill="auto"/>
            <w:hideMark/>
          </w:tcPr>
          <w:p w14:paraId="50C1C403" w14:textId="77777777" w:rsidR="001872A8" w:rsidRPr="00A403FC" w:rsidRDefault="001872A8" w:rsidP="00491404">
            <w:pPr>
              <w:pStyle w:val="TableTextDecimalAlign"/>
            </w:pPr>
            <w:r w:rsidRPr="00A403FC">
              <w:t>7%</w:t>
            </w:r>
          </w:p>
        </w:tc>
      </w:tr>
      <w:tr w:rsidR="0002627F" w:rsidRPr="00A403FC" w14:paraId="6529CC66" w14:textId="77777777" w:rsidTr="00364CDE">
        <w:trPr>
          <w:trHeight w:val="255"/>
        </w:trPr>
        <w:tc>
          <w:tcPr>
            <w:tcW w:w="5245" w:type="dxa"/>
            <w:shd w:val="clear" w:color="auto" w:fill="auto"/>
            <w:noWrap/>
            <w:hideMark/>
          </w:tcPr>
          <w:p w14:paraId="18B12CD2" w14:textId="77777777" w:rsidR="001872A8" w:rsidRPr="00A403FC" w:rsidRDefault="001872A8" w:rsidP="00A403FC">
            <w:pPr>
              <w:pStyle w:val="Tabletext"/>
            </w:pPr>
            <w:r w:rsidRPr="00A403FC">
              <w:t>Respiratory and Sleep Medicine</w:t>
            </w:r>
          </w:p>
        </w:tc>
        <w:tc>
          <w:tcPr>
            <w:tcW w:w="1913" w:type="dxa"/>
            <w:shd w:val="clear" w:color="auto" w:fill="auto"/>
            <w:hideMark/>
          </w:tcPr>
          <w:p w14:paraId="601121D8" w14:textId="77777777" w:rsidR="001872A8" w:rsidRPr="00A403FC" w:rsidRDefault="001872A8" w:rsidP="00491404">
            <w:pPr>
              <w:pStyle w:val="TableTextDecimalAlign"/>
            </w:pPr>
            <w:r w:rsidRPr="00A403FC">
              <w:t>612</w:t>
            </w:r>
          </w:p>
        </w:tc>
        <w:tc>
          <w:tcPr>
            <w:tcW w:w="1914" w:type="dxa"/>
            <w:shd w:val="clear" w:color="auto" w:fill="auto"/>
            <w:hideMark/>
          </w:tcPr>
          <w:p w14:paraId="0C4C4618" w14:textId="77777777" w:rsidR="001872A8" w:rsidRPr="00A403FC" w:rsidRDefault="001872A8" w:rsidP="00491404">
            <w:pPr>
              <w:pStyle w:val="TableTextDecimalAlign"/>
            </w:pPr>
            <w:r w:rsidRPr="00A403FC">
              <w:t>60%</w:t>
            </w:r>
          </w:p>
        </w:tc>
      </w:tr>
      <w:tr w:rsidR="0002627F" w:rsidRPr="00A403FC" w14:paraId="5B3BDE2F" w14:textId="77777777" w:rsidTr="00364CDE">
        <w:trPr>
          <w:trHeight w:val="255"/>
        </w:trPr>
        <w:tc>
          <w:tcPr>
            <w:tcW w:w="5245" w:type="dxa"/>
            <w:shd w:val="clear" w:color="auto" w:fill="auto"/>
            <w:noWrap/>
            <w:hideMark/>
          </w:tcPr>
          <w:p w14:paraId="0F93626A" w14:textId="77777777" w:rsidR="001872A8" w:rsidRPr="00A403FC" w:rsidRDefault="001872A8" w:rsidP="00A403FC">
            <w:pPr>
              <w:pStyle w:val="Tabletext"/>
            </w:pPr>
            <w:r w:rsidRPr="00A403FC">
              <w:t>Anaesthetics</w:t>
            </w:r>
          </w:p>
        </w:tc>
        <w:tc>
          <w:tcPr>
            <w:tcW w:w="1913" w:type="dxa"/>
            <w:shd w:val="clear" w:color="auto" w:fill="auto"/>
            <w:hideMark/>
          </w:tcPr>
          <w:p w14:paraId="24332B91" w14:textId="77777777" w:rsidR="001872A8" w:rsidRPr="00A403FC" w:rsidRDefault="001872A8" w:rsidP="00491404">
            <w:pPr>
              <w:pStyle w:val="TableTextDecimalAlign"/>
            </w:pPr>
            <w:r w:rsidRPr="00A403FC">
              <w:t>332</w:t>
            </w:r>
          </w:p>
        </w:tc>
        <w:tc>
          <w:tcPr>
            <w:tcW w:w="1914" w:type="dxa"/>
            <w:shd w:val="clear" w:color="auto" w:fill="auto"/>
            <w:hideMark/>
          </w:tcPr>
          <w:p w14:paraId="5A1B0FD9" w14:textId="77777777" w:rsidR="001872A8" w:rsidRPr="00A403FC" w:rsidRDefault="001872A8" w:rsidP="00491404">
            <w:pPr>
              <w:pStyle w:val="TableTextDecimalAlign"/>
            </w:pPr>
            <w:r w:rsidRPr="00A403FC">
              <w:t>32%</w:t>
            </w:r>
          </w:p>
        </w:tc>
      </w:tr>
    </w:tbl>
    <w:p w14:paraId="22C78F90" w14:textId="77777777" w:rsidR="00364CDE" w:rsidRDefault="001872A8" w:rsidP="0099709F">
      <w:pPr>
        <w:pStyle w:val="TableUnderLast"/>
        <w:rPr>
          <w:highlight w:val="yellow"/>
          <w:lang w:val="en-US"/>
        </w:rPr>
      </w:pPr>
      <w:r w:rsidRPr="008B1C85">
        <w:rPr>
          <w:rStyle w:val="SubtleEmphasis"/>
          <w:i w:val="0"/>
          <w:iCs w:val="0"/>
          <w:color w:val="auto"/>
        </w:rPr>
        <w:t>*some data has been omitted because of low service volumes</w:t>
      </w:r>
      <w:r w:rsidR="00C75AFF">
        <w:rPr>
          <w:rStyle w:val="SubtleEmphasis"/>
          <w:i w:val="0"/>
          <w:iCs w:val="0"/>
          <w:color w:val="auto"/>
        </w:rPr>
        <w:t xml:space="preserve">. </w:t>
      </w:r>
      <w:r w:rsidR="0019305A" w:rsidRPr="008B1C85">
        <w:t>Unpublished data (Department of Health)</w:t>
      </w:r>
      <w:r w:rsidR="00364CDE">
        <w:rPr>
          <w:highlight w:val="yellow"/>
        </w:rPr>
        <w:br w:type="page"/>
      </w:r>
    </w:p>
    <w:p w14:paraId="5CDB3CA9" w14:textId="77777777" w:rsidR="001872A8" w:rsidRPr="007F0A36" w:rsidRDefault="00006172" w:rsidP="00006172">
      <w:pPr>
        <w:pStyle w:val="Caption"/>
      </w:pPr>
      <w:bookmarkStart w:id="334" w:name="_Toc478721562"/>
      <w:r>
        <w:lastRenderedPageBreak/>
        <w:t xml:space="preserve">Table B3: </w:t>
      </w:r>
      <w:r w:rsidR="00D27A5D">
        <w:t>Total number of services and benefits paid for item 11500 by financial year</w:t>
      </w:r>
      <w:bookmarkEnd w:id="334"/>
    </w:p>
    <w:tbl>
      <w:tblPr>
        <w:tblW w:w="9072" w:type="dxa"/>
        <w:tblInd w:w="93" w:type="dxa"/>
        <w:tblBorders>
          <w:top w:val="single" w:sz="4" w:space="0" w:color="B56011"/>
          <w:bottom w:val="single" w:sz="4" w:space="0" w:color="B56011"/>
          <w:insideH w:val="single" w:sz="4" w:space="0" w:color="B56011"/>
        </w:tblBorders>
        <w:tblLook w:val="04A0" w:firstRow="1" w:lastRow="0" w:firstColumn="1" w:lastColumn="0" w:noHBand="0" w:noVBand="1"/>
        <w:tblDescription w:val="Table B3 provides the numbers of services and benefits paid for item 11500 for the financial years 2004-05 to 2014-15."/>
      </w:tblPr>
      <w:tblGrid>
        <w:gridCol w:w="3024"/>
        <w:gridCol w:w="3024"/>
        <w:gridCol w:w="3024"/>
      </w:tblGrid>
      <w:tr w:rsidR="001872A8" w:rsidRPr="00724C79" w14:paraId="77EB9BD5" w14:textId="77777777" w:rsidTr="00FF6AB5">
        <w:trPr>
          <w:trHeight w:val="350"/>
          <w:tblHeader/>
        </w:trPr>
        <w:tc>
          <w:tcPr>
            <w:tcW w:w="3024" w:type="dxa"/>
            <w:shd w:val="clear" w:color="auto" w:fill="auto"/>
            <w:hideMark/>
          </w:tcPr>
          <w:p w14:paraId="61B305D2" w14:textId="77777777" w:rsidR="001872A8" w:rsidRPr="00A403FC" w:rsidRDefault="001872A8" w:rsidP="00A403FC">
            <w:pPr>
              <w:pStyle w:val="Tableheading"/>
            </w:pPr>
            <w:r w:rsidRPr="00A403FC">
              <w:t>Financial Year</w:t>
            </w:r>
          </w:p>
        </w:tc>
        <w:tc>
          <w:tcPr>
            <w:tcW w:w="3024" w:type="dxa"/>
            <w:shd w:val="clear" w:color="auto" w:fill="auto"/>
            <w:hideMark/>
          </w:tcPr>
          <w:p w14:paraId="2BF32EBE" w14:textId="77777777" w:rsidR="001872A8" w:rsidRPr="00A403FC" w:rsidRDefault="001872A8" w:rsidP="00DD77BD">
            <w:pPr>
              <w:pStyle w:val="Tableheading"/>
            </w:pPr>
            <w:r w:rsidRPr="00A403FC">
              <w:t>Services</w:t>
            </w:r>
          </w:p>
        </w:tc>
        <w:tc>
          <w:tcPr>
            <w:tcW w:w="3024" w:type="dxa"/>
            <w:shd w:val="clear" w:color="auto" w:fill="auto"/>
            <w:hideMark/>
          </w:tcPr>
          <w:p w14:paraId="2B55069E" w14:textId="77777777" w:rsidR="001872A8" w:rsidRPr="00A403FC" w:rsidRDefault="001872A8" w:rsidP="00DD77BD">
            <w:pPr>
              <w:pStyle w:val="Tableheading"/>
            </w:pPr>
            <w:r w:rsidRPr="00A403FC">
              <w:t>Benefits Paid</w:t>
            </w:r>
          </w:p>
        </w:tc>
      </w:tr>
      <w:tr w:rsidR="001872A8" w:rsidRPr="00F7223F" w14:paraId="0318084E" w14:textId="77777777" w:rsidTr="00364CDE">
        <w:trPr>
          <w:trHeight w:val="315"/>
        </w:trPr>
        <w:tc>
          <w:tcPr>
            <w:tcW w:w="3024" w:type="dxa"/>
            <w:shd w:val="clear" w:color="auto" w:fill="auto"/>
            <w:noWrap/>
            <w:hideMark/>
          </w:tcPr>
          <w:p w14:paraId="24C642AD" w14:textId="77777777" w:rsidR="001872A8" w:rsidRPr="00364CDE" w:rsidRDefault="001872A8" w:rsidP="00A403FC">
            <w:pPr>
              <w:pStyle w:val="Tabletext"/>
            </w:pPr>
            <w:r w:rsidRPr="00364CDE">
              <w:t>2004/05</w:t>
            </w:r>
          </w:p>
        </w:tc>
        <w:tc>
          <w:tcPr>
            <w:tcW w:w="3024" w:type="dxa"/>
            <w:shd w:val="clear" w:color="auto" w:fill="auto"/>
            <w:noWrap/>
            <w:hideMark/>
          </w:tcPr>
          <w:p w14:paraId="64F8A9E8" w14:textId="77777777" w:rsidR="001872A8" w:rsidRPr="00364CDE" w:rsidRDefault="001872A8" w:rsidP="00DD77BD">
            <w:pPr>
              <w:pStyle w:val="TableTextDecimalAlign"/>
            </w:pPr>
            <w:r w:rsidRPr="00364CDE">
              <w:t>782</w:t>
            </w:r>
          </w:p>
        </w:tc>
        <w:tc>
          <w:tcPr>
            <w:tcW w:w="3024" w:type="dxa"/>
            <w:shd w:val="clear" w:color="auto" w:fill="auto"/>
            <w:noWrap/>
            <w:hideMark/>
          </w:tcPr>
          <w:p w14:paraId="329B18ED" w14:textId="77777777" w:rsidR="001872A8" w:rsidRPr="00364CDE" w:rsidRDefault="001872A8" w:rsidP="00DD77BD">
            <w:pPr>
              <w:pStyle w:val="TableTextDecimalAlign"/>
            </w:pPr>
            <w:r w:rsidRPr="00364CDE">
              <w:t>$91,504</w:t>
            </w:r>
          </w:p>
        </w:tc>
      </w:tr>
      <w:tr w:rsidR="001872A8" w:rsidRPr="00F7223F" w14:paraId="5AEB22C6" w14:textId="77777777" w:rsidTr="00364CDE">
        <w:trPr>
          <w:trHeight w:val="315"/>
        </w:trPr>
        <w:tc>
          <w:tcPr>
            <w:tcW w:w="3024" w:type="dxa"/>
            <w:shd w:val="clear" w:color="auto" w:fill="auto"/>
            <w:noWrap/>
            <w:hideMark/>
          </w:tcPr>
          <w:p w14:paraId="4C034165" w14:textId="77777777" w:rsidR="001872A8" w:rsidRPr="00364CDE" w:rsidRDefault="001872A8" w:rsidP="00A403FC">
            <w:pPr>
              <w:pStyle w:val="Tabletext"/>
            </w:pPr>
            <w:r w:rsidRPr="00364CDE">
              <w:t>2005/06</w:t>
            </w:r>
          </w:p>
        </w:tc>
        <w:tc>
          <w:tcPr>
            <w:tcW w:w="3024" w:type="dxa"/>
            <w:shd w:val="clear" w:color="auto" w:fill="auto"/>
            <w:noWrap/>
            <w:hideMark/>
          </w:tcPr>
          <w:p w14:paraId="33F0AE37" w14:textId="77777777" w:rsidR="001872A8" w:rsidRPr="00364CDE" w:rsidRDefault="001872A8" w:rsidP="00DD77BD">
            <w:pPr>
              <w:pStyle w:val="TableTextDecimalAlign"/>
            </w:pPr>
            <w:r w:rsidRPr="00364CDE">
              <w:t>700</w:t>
            </w:r>
          </w:p>
        </w:tc>
        <w:tc>
          <w:tcPr>
            <w:tcW w:w="3024" w:type="dxa"/>
            <w:shd w:val="clear" w:color="auto" w:fill="auto"/>
            <w:noWrap/>
            <w:hideMark/>
          </w:tcPr>
          <w:p w14:paraId="33583B63" w14:textId="77777777" w:rsidR="001872A8" w:rsidRPr="00364CDE" w:rsidRDefault="001872A8" w:rsidP="00DD77BD">
            <w:pPr>
              <w:pStyle w:val="TableTextDecimalAlign"/>
            </w:pPr>
            <w:r w:rsidRPr="00364CDE">
              <w:t>$81,951</w:t>
            </w:r>
          </w:p>
        </w:tc>
      </w:tr>
      <w:tr w:rsidR="001872A8" w:rsidRPr="00F7223F" w14:paraId="63B9ED6F" w14:textId="77777777" w:rsidTr="00364CDE">
        <w:trPr>
          <w:trHeight w:val="315"/>
        </w:trPr>
        <w:tc>
          <w:tcPr>
            <w:tcW w:w="3024" w:type="dxa"/>
            <w:shd w:val="clear" w:color="auto" w:fill="auto"/>
            <w:noWrap/>
            <w:hideMark/>
          </w:tcPr>
          <w:p w14:paraId="09A1EFA8" w14:textId="77777777" w:rsidR="001872A8" w:rsidRPr="00364CDE" w:rsidRDefault="001872A8" w:rsidP="00A403FC">
            <w:pPr>
              <w:pStyle w:val="Tabletext"/>
            </w:pPr>
            <w:r w:rsidRPr="00364CDE">
              <w:t>2006/07</w:t>
            </w:r>
          </w:p>
        </w:tc>
        <w:tc>
          <w:tcPr>
            <w:tcW w:w="3024" w:type="dxa"/>
            <w:shd w:val="clear" w:color="auto" w:fill="auto"/>
            <w:noWrap/>
            <w:hideMark/>
          </w:tcPr>
          <w:p w14:paraId="2473BED3" w14:textId="77777777" w:rsidR="001872A8" w:rsidRPr="00364CDE" w:rsidRDefault="001872A8" w:rsidP="00DD77BD">
            <w:pPr>
              <w:pStyle w:val="TableTextDecimalAlign"/>
            </w:pPr>
            <w:r w:rsidRPr="00364CDE">
              <w:t>334</w:t>
            </w:r>
          </w:p>
        </w:tc>
        <w:tc>
          <w:tcPr>
            <w:tcW w:w="3024" w:type="dxa"/>
            <w:shd w:val="clear" w:color="auto" w:fill="auto"/>
            <w:noWrap/>
            <w:hideMark/>
          </w:tcPr>
          <w:p w14:paraId="076C6060" w14:textId="77777777" w:rsidR="001872A8" w:rsidRPr="00364CDE" w:rsidRDefault="001872A8" w:rsidP="00DD77BD">
            <w:pPr>
              <w:pStyle w:val="TableTextDecimalAlign"/>
            </w:pPr>
            <w:r w:rsidRPr="00364CDE">
              <w:t>$39,383</w:t>
            </w:r>
          </w:p>
        </w:tc>
      </w:tr>
      <w:tr w:rsidR="001872A8" w:rsidRPr="00F7223F" w14:paraId="30C64702" w14:textId="77777777" w:rsidTr="00364CDE">
        <w:trPr>
          <w:trHeight w:val="315"/>
        </w:trPr>
        <w:tc>
          <w:tcPr>
            <w:tcW w:w="3024" w:type="dxa"/>
            <w:shd w:val="clear" w:color="auto" w:fill="auto"/>
            <w:noWrap/>
            <w:hideMark/>
          </w:tcPr>
          <w:p w14:paraId="6ED69BC1" w14:textId="77777777" w:rsidR="001872A8" w:rsidRPr="00364CDE" w:rsidRDefault="001872A8" w:rsidP="00A403FC">
            <w:pPr>
              <w:pStyle w:val="Tabletext"/>
            </w:pPr>
            <w:r w:rsidRPr="00364CDE">
              <w:t>2007/08</w:t>
            </w:r>
          </w:p>
        </w:tc>
        <w:tc>
          <w:tcPr>
            <w:tcW w:w="3024" w:type="dxa"/>
            <w:shd w:val="clear" w:color="auto" w:fill="auto"/>
            <w:noWrap/>
            <w:hideMark/>
          </w:tcPr>
          <w:p w14:paraId="3A22328D" w14:textId="77777777" w:rsidR="001872A8" w:rsidRPr="00364CDE" w:rsidRDefault="001872A8" w:rsidP="00DD77BD">
            <w:pPr>
              <w:pStyle w:val="TableTextDecimalAlign"/>
            </w:pPr>
            <w:r w:rsidRPr="00364CDE">
              <w:t>341</w:t>
            </w:r>
          </w:p>
        </w:tc>
        <w:tc>
          <w:tcPr>
            <w:tcW w:w="3024" w:type="dxa"/>
            <w:shd w:val="clear" w:color="auto" w:fill="auto"/>
            <w:noWrap/>
            <w:hideMark/>
          </w:tcPr>
          <w:p w14:paraId="4CFA1361" w14:textId="77777777" w:rsidR="001872A8" w:rsidRPr="00364CDE" w:rsidRDefault="001872A8" w:rsidP="00DD77BD">
            <w:pPr>
              <w:pStyle w:val="TableTextDecimalAlign"/>
            </w:pPr>
            <w:r w:rsidRPr="00364CDE">
              <w:t>$42,147</w:t>
            </w:r>
          </w:p>
        </w:tc>
      </w:tr>
      <w:tr w:rsidR="001872A8" w:rsidRPr="00F7223F" w14:paraId="56C256E5" w14:textId="77777777" w:rsidTr="00364CDE">
        <w:trPr>
          <w:trHeight w:val="315"/>
        </w:trPr>
        <w:tc>
          <w:tcPr>
            <w:tcW w:w="3024" w:type="dxa"/>
            <w:shd w:val="clear" w:color="auto" w:fill="auto"/>
            <w:noWrap/>
            <w:hideMark/>
          </w:tcPr>
          <w:p w14:paraId="419ED83D" w14:textId="77777777" w:rsidR="001872A8" w:rsidRPr="00364CDE" w:rsidRDefault="001872A8" w:rsidP="00A403FC">
            <w:pPr>
              <w:pStyle w:val="Tabletext"/>
            </w:pPr>
            <w:r w:rsidRPr="00364CDE">
              <w:t>2008/09</w:t>
            </w:r>
          </w:p>
        </w:tc>
        <w:tc>
          <w:tcPr>
            <w:tcW w:w="3024" w:type="dxa"/>
            <w:shd w:val="clear" w:color="auto" w:fill="auto"/>
            <w:noWrap/>
            <w:hideMark/>
          </w:tcPr>
          <w:p w14:paraId="05DA8510" w14:textId="77777777" w:rsidR="001872A8" w:rsidRPr="00364CDE" w:rsidRDefault="001872A8" w:rsidP="00DD77BD">
            <w:pPr>
              <w:pStyle w:val="TableTextDecimalAlign"/>
            </w:pPr>
            <w:r w:rsidRPr="00364CDE">
              <w:t>522</w:t>
            </w:r>
          </w:p>
        </w:tc>
        <w:tc>
          <w:tcPr>
            <w:tcW w:w="3024" w:type="dxa"/>
            <w:shd w:val="clear" w:color="auto" w:fill="auto"/>
            <w:noWrap/>
            <w:hideMark/>
          </w:tcPr>
          <w:p w14:paraId="2B2F75AE" w14:textId="77777777" w:rsidR="001872A8" w:rsidRPr="00364CDE" w:rsidRDefault="001872A8" w:rsidP="00DD77BD">
            <w:pPr>
              <w:pStyle w:val="TableTextDecimalAlign"/>
            </w:pPr>
            <w:r w:rsidRPr="00364CDE">
              <w:t>$68,525</w:t>
            </w:r>
          </w:p>
        </w:tc>
      </w:tr>
      <w:tr w:rsidR="001872A8" w:rsidRPr="00F7223F" w14:paraId="2F536D4B" w14:textId="77777777" w:rsidTr="00364CDE">
        <w:trPr>
          <w:trHeight w:val="315"/>
        </w:trPr>
        <w:tc>
          <w:tcPr>
            <w:tcW w:w="3024" w:type="dxa"/>
            <w:shd w:val="clear" w:color="auto" w:fill="auto"/>
            <w:noWrap/>
            <w:hideMark/>
          </w:tcPr>
          <w:p w14:paraId="788C825A" w14:textId="77777777" w:rsidR="001872A8" w:rsidRPr="00364CDE" w:rsidRDefault="001872A8" w:rsidP="00A403FC">
            <w:pPr>
              <w:pStyle w:val="Tabletext"/>
            </w:pPr>
            <w:r w:rsidRPr="00364CDE">
              <w:t>2009/10</w:t>
            </w:r>
          </w:p>
        </w:tc>
        <w:tc>
          <w:tcPr>
            <w:tcW w:w="3024" w:type="dxa"/>
            <w:shd w:val="clear" w:color="auto" w:fill="auto"/>
            <w:noWrap/>
            <w:hideMark/>
          </w:tcPr>
          <w:p w14:paraId="4171BDDE" w14:textId="77777777" w:rsidR="001872A8" w:rsidRPr="00364CDE" w:rsidRDefault="001872A8" w:rsidP="00DD77BD">
            <w:pPr>
              <w:pStyle w:val="TableTextDecimalAlign"/>
            </w:pPr>
            <w:r w:rsidRPr="00364CDE">
              <w:t>658</w:t>
            </w:r>
          </w:p>
        </w:tc>
        <w:tc>
          <w:tcPr>
            <w:tcW w:w="3024" w:type="dxa"/>
            <w:shd w:val="clear" w:color="auto" w:fill="auto"/>
            <w:noWrap/>
            <w:hideMark/>
          </w:tcPr>
          <w:p w14:paraId="438DBB33" w14:textId="77777777" w:rsidR="001872A8" w:rsidRPr="00364CDE" w:rsidRDefault="001872A8" w:rsidP="00DD77BD">
            <w:pPr>
              <w:pStyle w:val="TableTextDecimalAlign"/>
            </w:pPr>
            <w:r w:rsidRPr="00364CDE">
              <w:t>$86,452</w:t>
            </w:r>
          </w:p>
        </w:tc>
      </w:tr>
      <w:tr w:rsidR="001872A8" w:rsidRPr="00F7223F" w14:paraId="78909311" w14:textId="77777777" w:rsidTr="00364CDE">
        <w:trPr>
          <w:trHeight w:val="315"/>
        </w:trPr>
        <w:tc>
          <w:tcPr>
            <w:tcW w:w="3024" w:type="dxa"/>
            <w:shd w:val="clear" w:color="auto" w:fill="auto"/>
            <w:noWrap/>
            <w:hideMark/>
          </w:tcPr>
          <w:p w14:paraId="2E94A0F3" w14:textId="77777777" w:rsidR="001872A8" w:rsidRPr="00364CDE" w:rsidRDefault="001872A8" w:rsidP="00A403FC">
            <w:pPr>
              <w:pStyle w:val="Tabletext"/>
            </w:pPr>
            <w:r w:rsidRPr="00364CDE">
              <w:t>2010/11</w:t>
            </w:r>
          </w:p>
        </w:tc>
        <w:tc>
          <w:tcPr>
            <w:tcW w:w="3024" w:type="dxa"/>
            <w:shd w:val="clear" w:color="auto" w:fill="auto"/>
            <w:noWrap/>
            <w:hideMark/>
          </w:tcPr>
          <w:p w14:paraId="16EF67CA" w14:textId="77777777" w:rsidR="001872A8" w:rsidRPr="00364CDE" w:rsidRDefault="001872A8" w:rsidP="00DD77BD">
            <w:pPr>
              <w:pStyle w:val="TableTextDecimalAlign"/>
            </w:pPr>
            <w:r w:rsidRPr="00364CDE">
              <w:t>493</w:t>
            </w:r>
          </w:p>
        </w:tc>
        <w:tc>
          <w:tcPr>
            <w:tcW w:w="3024" w:type="dxa"/>
            <w:shd w:val="clear" w:color="auto" w:fill="auto"/>
            <w:noWrap/>
            <w:hideMark/>
          </w:tcPr>
          <w:p w14:paraId="796D7E3B" w14:textId="77777777" w:rsidR="001872A8" w:rsidRPr="00364CDE" w:rsidRDefault="001872A8" w:rsidP="00DD77BD">
            <w:pPr>
              <w:pStyle w:val="TableTextDecimalAlign"/>
            </w:pPr>
            <w:r w:rsidRPr="00364CDE">
              <w:t>$65,114</w:t>
            </w:r>
          </w:p>
        </w:tc>
      </w:tr>
      <w:tr w:rsidR="001872A8" w:rsidRPr="00F7223F" w14:paraId="59FA010A" w14:textId="77777777" w:rsidTr="00364CDE">
        <w:trPr>
          <w:trHeight w:val="315"/>
        </w:trPr>
        <w:tc>
          <w:tcPr>
            <w:tcW w:w="3024" w:type="dxa"/>
            <w:shd w:val="clear" w:color="auto" w:fill="auto"/>
            <w:noWrap/>
            <w:hideMark/>
          </w:tcPr>
          <w:p w14:paraId="5D66FA45" w14:textId="77777777" w:rsidR="001872A8" w:rsidRPr="00364CDE" w:rsidRDefault="001872A8" w:rsidP="00A403FC">
            <w:pPr>
              <w:pStyle w:val="Tabletext"/>
            </w:pPr>
            <w:r w:rsidRPr="00364CDE">
              <w:t>2011/12</w:t>
            </w:r>
          </w:p>
        </w:tc>
        <w:tc>
          <w:tcPr>
            <w:tcW w:w="3024" w:type="dxa"/>
            <w:shd w:val="clear" w:color="auto" w:fill="auto"/>
            <w:noWrap/>
            <w:hideMark/>
          </w:tcPr>
          <w:p w14:paraId="529C1616" w14:textId="77777777" w:rsidR="001872A8" w:rsidRPr="00364CDE" w:rsidRDefault="001872A8" w:rsidP="00DD77BD">
            <w:pPr>
              <w:pStyle w:val="TableTextDecimalAlign"/>
            </w:pPr>
            <w:r w:rsidRPr="00364CDE">
              <w:t>482</w:t>
            </w:r>
          </w:p>
        </w:tc>
        <w:tc>
          <w:tcPr>
            <w:tcW w:w="3024" w:type="dxa"/>
            <w:shd w:val="clear" w:color="auto" w:fill="auto"/>
            <w:noWrap/>
            <w:hideMark/>
          </w:tcPr>
          <w:p w14:paraId="49082ED8" w14:textId="77777777" w:rsidR="001872A8" w:rsidRPr="00364CDE" w:rsidRDefault="001872A8" w:rsidP="00DD77BD">
            <w:pPr>
              <w:pStyle w:val="TableTextDecimalAlign"/>
            </w:pPr>
            <w:r w:rsidRPr="00364CDE">
              <w:t>$64,470</w:t>
            </w:r>
          </w:p>
        </w:tc>
      </w:tr>
      <w:tr w:rsidR="001872A8" w:rsidRPr="00F7223F" w14:paraId="76B3F871" w14:textId="77777777" w:rsidTr="00364CDE">
        <w:trPr>
          <w:trHeight w:val="315"/>
        </w:trPr>
        <w:tc>
          <w:tcPr>
            <w:tcW w:w="3024" w:type="dxa"/>
            <w:shd w:val="clear" w:color="auto" w:fill="auto"/>
            <w:noWrap/>
            <w:hideMark/>
          </w:tcPr>
          <w:p w14:paraId="6706BE0A" w14:textId="77777777" w:rsidR="001872A8" w:rsidRPr="00364CDE" w:rsidRDefault="001872A8" w:rsidP="00A403FC">
            <w:pPr>
              <w:pStyle w:val="Tabletext"/>
            </w:pPr>
            <w:r w:rsidRPr="00364CDE">
              <w:t>2012/13</w:t>
            </w:r>
          </w:p>
        </w:tc>
        <w:tc>
          <w:tcPr>
            <w:tcW w:w="3024" w:type="dxa"/>
            <w:shd w:val="clear" w:color="auto" w:fill="auto"/>
            <w:noWrap/>
            <w:hideMark/>
          </w:tcPr>
          <w:p w14:paraId="08B56492" w14:textId="77777777" w:rsidR="001872A8" w:rsidRPr="00364CDE" w:rsidRDefault="001872A8" w:rsidP="00DD77BD">
            <w:pPr>
              <w:pStyle w:val="TableTextDecimalAlign"/>
            </w:pPr>
            <w:r w:rsidRPr="00364CDE">
              <w:t>906</w:t>
            </w:r>
          </w:p>
        </w:tc>
        <w:tc>
          <w:tcPr>
            <w:tcW w:w="3024" w:type="dxa"/>
            <w:shd w:val="clear" w:color="auto" w:fill="auto"/>
            <w:noWrap/>
            <w:hideMark/>
          </w:tcPr>
          <w:p w14:paraId="31DFEDD6" w14:textId="77777777" w:rsidR="001872A8" w:rsidRPr="00364CDE" w:rsidRDefault="001872A8" w:rsidP="00DD77BD">
            <w:pPr>
              <w:pStyle w:val="TableTextDecimalAlign"/>
            </w:pPr>
            <w:r w:rsidRPr="00364CDE">
              <w:t>$121,712</w:t>
            </w:r>
          </w:p>
        </w:tc>
      </w:tr>
      <w:tr w:rsidR="001872A8" w:rsidRPr="00F7223F" w14:paraId="1A7E9583" w14:textId="77777777" w:rsidTr="00364CDE">
        <w:trPr>
          <w:trHeight w:val="315"/>
        </w:trPr>
        <w:tc>
          <w:tcPr>
            <w:tcW w:w="3024" w:type="dxa"/>
            <w:shd w:val="clear" w:color="auto" w:fill="auto"/>
            <w:noWrap/>
            <w:hideMark/>
          </w:tcPr>
          <w:p w14:paraId="714EEEC0" w14:textId="77777777" w:rsidR="001872A8" w:rsidRPr="00364CDE" w:rsidRDefault="001872A8" w:rsidP="00A403FC">
            <w:pPr>
              <w:pStyle w:val="Tabletext"/>
            </w:pPr>
            <w:r w:rsidRPr="00364CDE">
              <w:t>2013/14</w:t>
            </w:r>
          </w:p>
        </w:tc>
        <w:tc>
          <w:tcPr>
            <w:tcW w:w="3024" w:type="dxa"/>
            <w:shd w:val="clear" w:color="auto" w:fill="auto"/>
            <w:noWrap/>
            <w:hideMark/>
          </w:tcPr>
          <w:p w14:paraId="7C2A2492" w14:textId="77777777" w:rsidR="001872A8" w:rsidRPr="00364CDE" w:rsidRDefault="001872A8" w:rsidP="00DD77BD">
            <w:pPr>
              <w:pStyle w:val="TableTextDecimalAlign"/>
            </w:pPr>
            <w:r w:rsidRPr="00364CDE">
              <w:t>900</w:t>
            </w:r>
          </w:p>
        </w:tc>
        <w:tc>
          <w:tcPr>
            <w:tcW w:w="3024" w:type="dxa"/>
            <w:shd w:val="clear" w:color="auto" w:fill="auto"/>
            <w:noWrap/>
            <w:hideMark/>
          </w:tcPr>
          <w:p w14:paraId="77C9F9BC" w14:textId="77777777" w:rsidR="001872A8" w:rsidRPr="00364CDE" w:rsidRDefault="001872A8" w:rsidP="00DD77BD">
            <w:pPr>
              <w:pStyle w:val="TableTextDecimalAlign"/>
            </w:pPr>
            <w:r w:rsidRPr="00364CDE">
              <w:t>$122,636.00</w:t>
            </w:r>
          </w:p>
        </w:tc>
      </w:tr>
      <w:tr w:rsidR="001872A8" w:rsidRPr="00F7223F" w14:paraId="03765D5E" w14:textId="77777777" w:rsidTr="00364CDE">
        <w:trPr>
          <w:trHeight w:val="315"/>
        </w:trPr>
        <w:tc>
          <w:tcPr>
            <w:tcW w:w="3024" w:type="dxa"/>
            <w:shd w:val="clear" w:color="auto" w:fill="auto"/>
            <w:noWrap/>
            <w:hideMark/>
          </w:tcPr>
          <w:p w14:paraId="053A91F1" w14:textId="77777777" w:rsidR="001872A8" w:rsidRPr="00364CDE" w:rsidRDefault="001872A8" w:rsidP="00A403FC">
            <w:pPr>
              <w:pStyle w:val="Tabletext"/>
            </w:pPr>
            <w:r w:rsidRPr="00364CDE">
              <w:t>2014-15</w:t>
            </w:r>
          </w:p>
        </w:tc>
        <w:tc>
          <w:tcPr>
            <w:tcW w:w="3024" w:type="dxa"/>
            <w:shd w:val="clear" w:color="auto" w:fill="auto"/>
            <w:noWrap/>
            <w:hideMark/>
          </w:tcPr>
          <w:p w14:paraId="32FD8BBD" w14:textId="77777777" w:rsidR="001872A8" w:rsidRPr="00364CDE" w:rsidRDefault="001872A8" w:rsidP="00DD77BD">
            <w:pPr>
              <w:pStyle w:val="TableTextDecimalAlign"/>
            </w:pPr>
            <w:r w:rsidRPr="00364CDE">
              <w:t>1,026</w:t>
            </w:r>
          </w:p>
        </w:tc>
        <w:tc>
          <w:tcPr>
            <w:tcW w:w="3024" w:type="dxa"/>
            <w:shd w:val="clear" w:color="auto" w:fill="auto"/>
            <w:noWrap/>
            <w:hideMark/>
          </w:tcPr>
          <w:p w14:paraId="43E6AC8C" w14:textId="77777777" w:rsidR="001872A8" w:rsidRPr="00364CDE" w:rsidRDefault="001872A8" w:rsidP="00DD77BD">
            <w:pPr>
              <w:pStyle w:val="TableTextDecimalAlign"/>
            </w:pPr>
            <w:r w:rsidRPr="00364CDE">
              <w:t>$138,808</w:t>
            </w:r>
          </w:p>
        </w:tc>
      </w:tr>
      <w:tr w:rsidR="001872A8" w:rsidRPr="00F7223F" w14:paraId="267822F0" w14:textId="77777777" w:rsidTr="00364CDE">
        <w:trPr>
          <w:trHeight w:val="315"/>
        </w:trPr>
        <w:tc>
          <w:tcPr>
            <w:tcW w:w="3024" w:type="dxa"/>
            <w:shd w:val="clear" w:color="auto" w:fill="auto"/>
            <w:noWrap/>
            <w:hideMark/>
          </w:tcPr>
          <w:p w14:paraId="6EE87ED7" w14:textId="77777777" w:rsidR="001872A8" w:rsidRPr="00364CDE" w:rsidRDefault="001872A8" w:rsidP="00A403FC">
            <w:pPr>
              <w:pStyle w:val="Tabletext"/>
            </w:pPr>
            <w:r w:rsidRPr="00364CDE">
              <w:t>Total</w:t>
            </w:r>
          </w:p>
        </w:tc>
        <w:tc>
          <w:tcPr>
            <w:tcW w:w="3024" w:type="dxa"/>
            <w:shd w:val="clear" w:color="auto" w:fill="auto"/>
            <w:noWrap/>
            <w:hideMark/>
          </w:tcPr>
          <w:p w14:paraId="6856F7F0" w14:textId="77777777" w:rsidR="001872A8" w:rsidRPr="00364CDE" w:rsidRDefault="001872A8" w:rsidP="00DD77BD">
            <w:pPr>
              <w:pStyle w:val="TableTextDecimalAlign"/>
            </w:pPr>
            <w:r w:rsidRPr="00364CDE">
              <w:t>7,144</w:t>
            </w:r>
          </w:p>
        </w:tc>
        <w:tc>
          <w:tcPr>
            <w:tcW w:w="3024" w:type="dxa"/>
            <w:shd w:val="clear" w:color="auto" w:fill="auto"/>
            <w:noWrap/>
            <w:hideMark/>
          </w:tcPr>
          <w:p w14:paraId="6B729983" w14:textId="77777777" w:rsidR="001872A8" w:rsidRPr="00364CDE" w:rsidRDefault="001872A8" w:rsidP="00DD77BD">
            <w:pPr>
              <w:pStyle w:val="TableTextDecimalAlign"/>
            </w:pPr>
            <w:r w:rsidRPr="00364CDE">
              <w:t>$922,706</w:t>
            </w:r>
          </w:p>
        </w:tc>
      </w:tr>
    </w:tbl>
    <w:p w14:paraId="69E11DD6" w14:textId="77777777" w:rsidR="00364CDE" w:rsidRPr="00B83773" w:rsidRDefault="00C75AFF" w:rsidP="00B83773">
      <w:pPr>
        <w:pStyle w:val="TableUnderLast"/>
        <w:rPr>
          <w:rFonts w:eastAsiaTheme="minorHAnsi"/>
        </w:rPr>
      </w:pPr>
      <w:bookmarkStart w:id="335" w:name="_Toc452982148"/>
      <w:bookmarkStart w:id="336" w:name="_Toc456613601"/>
      <w:r w:rsidRPr="005B4074">
        <w:t xml:space="preserve">Public </w:t>
      </w:r>
      <w:r w:rsidR="005A38A8" w:rsidRPr="005B4074">
        <w:t xml:space="preserve">data (Department of </w:t>
      </w:r>
      <w:r w:rsidRPr="005B4074">
        <w:t>Human Services web site</w:t>
      </w:r>
      <w:r w:rsidR="005A38A8" w:rsidRPr="005B4074">
        <w:t>)</w:t>
      </w:r>
      <w:r w:rsidR="00491404">
        <w:t xml:space="preserve"> </w:t>
      </w:r>
    </w:p>
    <w:p w14:paraId="7C4293F9" w14:textId="77777777" w:rsidR="001872A8" w:rsidRPr="000A0AFB" w:rsidRDefault="00364CDE" w:rsidP="00006172">
      <w:pPr>
        <w:pStyle w:val="Heading3"/>
      </w:pPr>
      <w:r>
        <w:t>I</w:t>
      </w:r>
      <w:r w:rsidR="001872A8" w:rsidRPr="004A55CD">
        <w:t xml:space="preserve">tem </w:t>
      </w:r>
      <w:r w:rsidR="001872A8" w:rsidRPr="00006172">
        <w:t>11509</w:t>
      </w:r>
      <w:r>
        <w:t xml:space="preserve"> - Spirometry</w:t>
      </w:r>
      <w:bookmarkEnd w:id="335"/>
      <w:bookmarkEnd w:id="336"/>
    </w:p>
    <w:p w14:paraId="2133B39E" w14:textId="77777777" w:rsidR="001872A8" w:rsidRPr="007F0A36" w:rsidRDefault="00006172" w:rsidP="00006172">
      <w:pPr>
        <w:pStyle w:val="Caption"/>
      </w:pPr>
      <w:bookmarkStart w:id="337" w:name="_Toc478721563"/>
      <w:r>
        <w:t xml:space="preserve">Table B4: </w:t>
      </w:r>
      <w:r w:rsidR="00707E69">
        <w:t>Percentage of patients</w:t>
      </w:r>
      <w:r w:rsidR="00707E69" w:rsidRPr="00A629B7">
        <w:t xml:space="preserve"> </w:t>
      </w:r>
      <w:r w:rsidR="00707E69">
        <w:t>by age groups who received a service under item 11509</w:t>
      </w:r>
      <w:r w:rsidR="00110749">
        <w:t>, 2014-15</w:t>
      </w:r>
      <w:bookmarkEnd w:id="337"/>
    </w:p>
    <w:tbl>
      <w:tblPr>
        <w:tblW w:w="9072" w:type="dxa"/>
        <w:tblInd w:w="108" w:type="dxa"/>
        <w:tblBorders>
          <w:top w:val="single" w:sz="4" w:space="0" w:color="B56011"/>
          <w:bottom w:val="single" w:sz="4" w:space="0" w:color="B56011"/>
          <w:insideH w:val="single" w:sz="4" w:space="0" w:color="B56011"/>
        </w:tblBorders>
        <w:tblLook w:val="04A0" w:firstRow="1" w:lastRow="0" w:firstColumn="1" w:lastColumn="0" w:noHBand="0" w:noVBand="1"/>
        <w:tblDescription w:val="Table B4 provides the numbers and pecentages of patients by age group who received a service under item 11509 in 2014-15."/>
      </w:tblPr>
      <w:tblGrid>
        <w:gridCol w:w="1814"/>
        <w:gridCol w:w="2949"/>
        <w:gridCol w:w="4309"/>
      </w:tblGrid>
      <w:tr w:rsidR="001872A8" w:rsidRPr="00DD77BD" w14:paraId="497120F2" w14:textId="77777777" w:rsidTr="00FF6AB5">
        <w:trPr>
          <w:trHeight w:val="345"/>
          <w:tblHeader/>
        </w:trPr>
        <w:tc>
          <w:tcPr>
            <w:tcW w:w="1814" w:type="dxa"/>
            <w:shd w:val="clear" w:color="auto" w:fill="auto"/>
            <w:hideMark/>
          </w:tcPr>
          <w:p w14:paraId="577E6720" w14:textId="77777777" w:rsidR="001872A8" w:rsidRPr="00DD77BD" w:rsidRDefault="001872A8" w:rsidP="00DD77BD">
            <w:pPr>
              <w:pStyle w:val="Tableheading"/>
            </w:pPr>
            <w:r w:rsidRPr="00DD77BD">
              <w:t>Age Group</w:t>
            </w:r>
          </w:p>
        </w:tc>
        <w:tc>
          <w:tcPr>
            <w:tcW w:w="2949" w:type="dxa"/>
            <w:shd w:val="clear" w:color="auto" w:fill="auto"/>
            <w:hideMark/>
          </w:tcPr>
          <w:p w14:paraId="27470F58" w14:textId="77777777" w:rsidR="001872A8" w:rsidRPr="00DD77BD" w:rsidRDefault="001872A8" w:rsidP="00DD77BD">
            <w:pPr>
              <w:pStyle w:val="Tableheading"/>
            </w:pPr>
            <w:r w:rsidRPr="00DD77BD">
              <w:t>Number of Services</w:t>
            </w:r>
          </w:p>
        </w:tc>
        <w:tc>
          <w:tcPr>
            <w:tcW w:w="4309" w:type="dxa"/>
            <w:shd w:val="clear" w:color="auto" w:fill="auto"/>
            <w:hideMark/>
          </w:tcPr>
          <w:p w14:paraId="6C2458D7" w14:textId="77777777" w:rsidR="001872A8" w:rsidRPr="00DD77BD" w:rsidRDefault="001872A8" w:rsidP="00DD77BD">
            <w:pPr>
              <w:pStyle w:val="Tableheading"/>
            </w:pPr>
            <w:r w:rsidRPr="00DD77BD">
              <w:t>% provided to the age group</w:t>
            </w:r>
          </w:p>
        </w:tc>
      </w:tr>
      <w:tr w:rsidR="001872A8" w:rsidRPr="00B27179" w14:paraId="7158B1F4" w14:textId="77777777" w:rsidTr="00CA461B">
        <w:trPr>
          <w:trHeight w:val="300"/>
        </w:trPr>
        <w:tc>
          <w:tcPr>
            <w:tcW w:w="1814" w:type="dxa"/>
            <w:shd w:val="clear" w:color="auto" w:fill="auto"/>
            <w:noWrap/>
            <w:hideMark/>
          </w:tcPr>
          <w:p w14:paraId="1409D309" w14:textId="77777777" w:rsidR="001872A8" w:rsidRPr="00364CDE" w:rsidRDefault="001872A8" w:rsidP="00A403FC">
            <w:pPr>
              <w:pStyle w:val="Tabletext"/>
              <w:jc w:val="center"/>
            </w:pPr>
            <w:r w:rsidRPr="00364CDE">
              <w:t>0-4</w:t>
            </w:r>
          </w:p>
        </w:tc>
        <w:tc>
          <w:tcPr>
            <w:tcW w:w="2949" w:type="dxa"/>
            <w:shd w:val="clear" w:color="auto" w:fill="auto"/>
            <w:noWrap/>
            <w:hideMark/>
          </w:tcPr>
          <w:p w14:paraId="57F1C20E" w14:textId="77777777" w:rsidR="001872A8" w:rsidRPr="00364CDE" w:rsidRDefault="001872A8" w:rsidP="00DD77BD">
            <w:pPr>
              <w:pStyle w:val="TableTextDecimalAlign"/>
            </w:pPr>
            <w:r w:rsidRPr="00364CDE">
              <w:t>31</w:t>
            </w:r>
          </w:p>
        </w:tc>
        <w:tc>
          <w:tcPr>
            <w:tcW w:w="4309" w:type="dxa"/>
            <w:shd w:val="clear" w:color="auto" w:fill="auto"/>
            <w:noWrap/>
            <w:hideMark/>
          </w:tcPr>
          <w:p w14:paraId="70AE7F5B" w14:textId="77777777" w:rsidR="001872A8" w:rsidRPr="00364CDE" w:rsidRDefault="001872A8" w:rsidP="00A403FC">
            <w:pPr>
              <w:pStyle w:val="Tabletext"/>
              <w:jc w:val="center"/>
            </w:pPr>
            <w:r w:rsidRPr="00364CDE">
              <w:t>0%</w:t>
            </w:r>
          </w:p>
        </w:tc>
      </w:tr>
      <w:tr w:rsidR="001872A8" w:rsidRPr="00B27179" w14:paraId="7D786D28" w14:textId="77777777" w:rsidTr="00CA461B">
        <w:trPr>
          <w:trHeight w:val="300"/>
        </w:trPr>
        <w:tc>
          <w:tcPr>
            <w:tcW w:w="1814" w:type="dxa"/>
            <w:shd w:val="clear" w:color="auto" w:fill="auto"/>
            <w:noWrap/>
            <w:hideMark/>
          </w:tcPr>
          <w:p w14:paraId="72AFCD0E" w14:textId="77777777" w:rsidR="001872A8" w:rsidRPr="00364CDE" w:rsidRDefault="001872A8" w:rsidP="00A403FC">
            <w:pPr>
              <w:pStyle w:val="Tabletext"/>
              <w:jc w:val="center"/>
            </w:pPr>
            <w:r w:rsidRPr="00364CDE">
              <w:t>5-9</w:t>
            </w:r>
          </w:p>
        </w:tc>
        <w:tc>
          <w:tcPr>
            <w:tcW w:w="2949" w:type="dxa"/>
            <w:shd w:val="clear" w:color="auto" w:fill="auto"/>
            <w:noWrap/>
            <w:hideMark/>
          </w:tcPr>
          <w:p w14:paraId="5D5A962F" w14:textId="77777777" w:rsidR="001872A8" w:rsidRPr="00364CDE" w:rsidRDefault="001872A8" w:rsidP="00DD77BD">
            <w:pPr>
              <w:pStyle w:val="TableTextDecimalAlign"/>
            </w:pPr>
            <w:r w:rsidRPr="00364CDE">
              <w:t>1,135</w:t>
            </w:r>
          </w:p>
        </w:tc>
        <w:tc>
          <w:tcPr>
            <w:tcW w:w="4309" w:type="dxa"/>
            <w:shd w:val="clear" w:color="auto" w:fill="auto"/>
            <w:noWrap/>
            <w:hideMark/>
          </w:tcPr>
          <w:p w14:paraId="77406BE7" w14:textId="77777777" w:rsidR="001872A8" w:rsidRPr="00364CDE" w:rsidRDefault="001872A8" w:rsidP="00A403FC">
            <w:pPr>
              <w:pStyle w:val="Tabletext"/>
              <w:jc w:val="center"/>
            </w:pPr>
            <w:r w:rsidRPr="00364CDE">
              <w:t>7%</w:t>
            </w:r>
          </w:p>
        </w:tc>
      </w:tr>
      <w:tr w:rsidR="001872A8" w:rsidRPr="00B27179" w14:paraId="1675C6B6" w14:textId="77777777" w:rsidTr="00CA461B">
        <w:trPr>
          <w:trHeight w:val="300"/>
        </w:trPr>
        <w:tc>
          <w:tcPr>
            <w:tcW w:w="1814" w:type="dxa"/>
            <w:shd w:val="clear" w:color="auto" w:fill="auto"/>
            <w:noWrap/>
            <w:hideMark/>
          </w:tcPr>
          <w:p w14:paraId="10009BA2" w14:textId="77777777" w:rsidR="001872A8" w:rsidRPr="00364CDE" w:rsidRDefault="001872A8" w:rsidP="00A403FC">
            <w:pPr>
              <w:pStyle w:val="Tabletext"/>
              <w:jc w:val="center"/>
            </w:pPr>
            <w:r w:rsidRPr="00364CDE">
              <w:t>10-14</w:t>
            </w:r>
          </w:p>
        </w:tc>
        <w:tc>
          <w:tcPr>
            <w:tcW w:w="2949" w:type="dxa"/>
            <w:shd w:val="clear" w:color="auto" w:fill="auto"/>
            <w:noWrap/>
            <w:hideMark/>
          </w:tcPr>
          <w:p w14:paraId="025F5253" w14:textId="77777777" w:rsidR="001872A8" w:rsidRPr="00364CDE" w:rsidRDefault="001872A8" w:rsidP="00DD77BD">
            <w:pPr>
              <w:pStyle w:val="TableTextDecimalAlign"/>
            </w:pPr>
            <w:r w:rsidRPr="00364CDE">
              <w:t>1,375</w:t>
            </w:r>
          </w:p>
        </w:tc>
        <w:tc>
          <w:tcPr>
            <w:tcW w:w="4309" w:type="dxa"/>
            <w:shd w:val="clear" w:color="auto" w:fill="auto"/>
            <w:noWrap/>
            <w:hideMark/>
          </w:tcPr>
          <w:p w14:paraId="1DE5DDAC" w14:textId="77777777" w:rsidR="001872A8" w:rsidRPr="00364CDE" w:rsidRDefault="001872A8" w:rsidP="00A403FC">
            <w:pPr>
              <w:pStyle w:val="Tabletext"/>
              <w:jc w:val="center"/>
            </w:pPr>
            <w:r w:rsidRPr="00364CDE">
              <w:t>8%</w:t>
            </w:r>
          </w:p>
        </w:tc>
      </w:tr>
      <w:tr w:rsidR="001872A8" w:rsidRPr="00B27179" w14:paraId="0197B23D" w14:textId="77777777" w:rsidTr="00CA461B">
        <w:trPr>
          <w:trHeight w:val="300"/>
        </w:trPr>
        <w:tc>
          <w:tcPr>
            <w:tcW w:w="1814" w:type="dxa"/>
            <w:shd w:val="clear" w:color="auto" w:fill="auto"/>
            <w:noWrap/>
            <w:hideMark/>
          </w:tcPr>
          <w:p w14:paraId="3F54F993" w14:textId="77777777" w:rsidR="001872A8" w:rsidRPr="00364CDE" w:rsidRDefault="001872A8" w:rsidP="00A403FC">
            <w:pPr>
              <w:pStyle w:val="Tabletext"/>
              <w:jc w:val="center"/>
            </w:pPr>
            <w:r w:rsidRPr="00364CDE">
              <w:t>15-19</w:t>
            </w:r>
          </w:p>
        </w:tc>
        <w:tc>
          <w:tcPr>
            <w:tcW w:w="2949" w:type="dxa"/>
            <w:shd w:val="clear" w:color="auto" w:fill="auto"/>
            <w:noWrap/>
            <w:hideMark/>
          </w:tcPr>
          <w:p w14:paraId="39F764DA" w14:textId="77777777" w:rsidR="001872A8" w:rsidRPr="00364CDE" w:rsidRDefault="001872A8" w:rsidP="00DD77BD">
            <w:pPr>
              <w:pStyle w:val="TableTextDecimalAlign"/>
            </w:pPr>
            <w:r w:rsidRPr="00364CDE">
              <w:t>809</w:t>
            </w:r>
          </w:p>
        </w:tc>
        <w:tc>
          <w:tcPr>
            <w:tcW w:w="4309" w:type="dxa"/>
            <w:shd w:val="clear" w:color="auto" w:fill="auto"/>
            <w:noWrap/>
            <w:hideMark/>
          </w:tcPr>
          <w:p w14:paraId="62E4E0FA" w14:textId="77777777" w:rsidR="001872A8" w:rsidRPr="00364CDE" w:rsidRDefault="001872A8" w:rsidP="00A403FC">
            <w:pPr>
              <w:pStyle w:val="Tabletext"/>
              <w:jc w:val="center"/>
            </w:pPr>
            <w:r w:rsidRPr="00364CDE">
              <w:t>5%</w:t>
            </w:r>
          </w:p>
        </w:tc>
      </w:tr>
      <w:tr w:rsidR="001872A8" w:rsidRPr="00B27179" w14:paraId="43CA6E9B" w14:textId="77777777" w:rsidTr="00CA461B">
        <w:trPr>
          <w:trHeight w:val="300"/>
        </w:trPr>
        <w:tc>
          <w:tcPr>
            <w:tcW w:w="1814" w:type="dxa"/>
            <w:shd w:val="clear" w:color="auto" w:fill="auto"/>
            <w:noWrap/>
            <w:hideMark/>
          </w:tcPr>
          <w:p w14:paraId="339D725A" w14:textId="77777777" w:rsidR="001872A8" w:rsidRPr="00364CDE" w:rsidRDefault="001872A8" w:rsidP="00A403FC">
            <w:pPr>
              <w:pStyle w:val="Tabletext"/>
              <w:jc w:val="center"/>
            </w:pPr>
            <w:r w:rsidRPr="00364CDE">
              <w:t>20-24</w:t>
            </w:r>
          </w:p>
        </w:tc>
        <w:tc>
          <w:tcPr>
            <w:tcW w:w="2949" w:type="dxa"/>
            <w:shd w:val="clear" w:color="auto" w:fill="auto"/>
            <w:noWrap/>
            <w:hideMark/>
          </w:tcPr>
          <w:p w14:paraId="3A38B645" w14:textId="77777777" w:rsidR="001872A8" w:rsidRPr="00364CDE" w:rsidRDefault="001872A8" w:rsidP="00DD77BD">
            <w:pPr>
              <w:pStyle w:val="TableTextDecimalAlign"/>
            </w:pPr>
            <w:r w:rsidRPr="00364CDE">
              <w:t>400</w:t>
            </w:r>
          </w:p>
        </w:tc>
        <w:tc>
          <w:tcPr>
            <w:tcW w:w="4309" w:type="dxa"/>
            <w:shd w:val="clear" w:color="auto" w:fill="auto"/>
            <w:noWrap/>
            <w:hideMark/>
          </w:tcPr>
          <w:p w14:paraId="2CB556A9" w14:textId="77777777" w:rsidR="001872A8" w:rsidRPr="00364CDE" w:rsidRDefault="001872A8" w:rsidP="00A403FC">
            <w:pPr>
              <w:pStyle w:val="Tabletext"/>
              <w:jc w:val="center"/>
            </w:pPr>
            <w:r w:rsidRPr="00364CDE">
              <w:t>2%</w:t>
            </w:r>
          </w:p>
        </w:tc>
      </w:tr>
      <w:tr w:rsidR="001872A8" w:rsidRPr="00B27179" w14:paraId="3980DA4A" w14:textId="77777777" w:rsidTr="00CA461B">
        <w:trPr>
          <w:trHeight w:val="300"/>
        </w:trPr>
        <w:tc>
          <w:tcPr>
            <w:tcW w:w="1814" w:type="dxa"/>
            <w:shd w:val="clear" w:color="auto" w:fill="auto"/>
            <w:noWrap/>
            <w:hideMark/>
          </w:tcPr>
          <w:p w14:paraId="480208A6" w14:textId="77777777" w:rsidR="001872A8" w:rsidRPr="00364CDE" w:rsidRDefault="001872A8" w:rsidP="00A403FC">
            <w:pPr>
              <w:pStyle w:val="Tabletext"/>
              <w:jc w:val="center"/>
            </w:pPr>
            <w:r w:rsidRPr="00364CDE">
              <w:t>25-29</w:t>
            </w:r>
          </w:p>
        </w:tc>
        <w:tc>
          <w:tcPr>
            <w:tcW w:w="2949" w:type="dxa"/>
            <w:shd w:val="clear" w:color="auto" w:fill="auto"/>
            <w:noWrap/>
            <w:hideMark/>
          </w:tcPr>
          <w:p w14:paraId="1112A811" w14:textId="77777777" w:rsidR="001872A8" w:rsidRPr="00364CDE" w:rsidRDefault="001872A8" w:rsidP="00DD77BD">
            <w:pPr>
              <w:pStyle w:val="TableTextDecimalAlign"/>
            </w:pPr>
            <w:r w:rsidRPr="00364CDE">
              <w:t>429</w:t>
            </w:r>
          </w:p>
        </w:tc>
        <w:tc>
          <w:tcPr>
            <w:tcW w:w="4309" w:type="dxa"/>
            <w:shd w:val="clear" w:color="auto" w:fill="auto"/>
            <w:noWrap/>
            <w:hideMark/>
          </w:tcPr>
          <w:p w14:paraId="13C64CE6" w14:textId="77777777" w:rsidR="001872A8" w:rsidRPr="00364CDE" w:rsidRDefault="001872A8" w:rsidP="00A403FC">
            <w:pPr>
              <w:pStyle w:val="Tabletext"/>
              <w:jc w:val="center"/>
            </w:pPr>
            <w:r w:rsidRPr="00364CDE">
              <w:t>3%</w:t>
            </w:r>
          </w:p>
        </w:tc>
      </w:tr>
      <w:tr w:rsidR="001872A8" w:rsidRPr="00B27179" w14:paraId="2F033A10" w14:textId="77777777" w:rsidTr="00CA461B">
        <w:trPr>
          <w:trHeight w:val="300"/>
        </w:trPr>
        <w:tc>
          <w:tcPr>
            <w:tcW w:w="1814" w:type="dxa"/>
            <w:shd w:val="clear" w:color="auto" w:fill="auto"/>
            <w:noWrap/>
            <w:hideMark/>
          </w:tcPr>
          <w:p w14:paraId="1F430E58" w14:textId="77777777" w:rsidR="001872A8" w:rsidRPr="00364CDE" w:rsidRDefault="001872A8" w:rsidP="00A403FC">
            <w:pPr>
              <w:pStyle w:val="Tabletext"/>
              <w:jc w:val="center"/>
            </w:pPr>
            <w:r w:rsidRPr="00364CDE">
              <w:t>30-34</w:t>
            </w:r>
          </w:p>
        </w:tc>
        <w:tc>
          <w:tcPr>
            <w:tcW w:w="2949" w:type="dxa"/>
            <w:shd w:val="clear" w:color="auto" w:fill="auto"/>
            <w:noWrap/>
            <w:hideMark/>
          </w:tcPr>
          <w:p w14:paraId="6A8A080E" w14:textId="77777777" w:rsidR="001872A8" w:rsidRPr="00364CDE" w:rsidRDefault="001872A8" w:rsidP="00DD77BD">
            <w:pPr>
              <w:pStyle w:val="TableTextDecimalAlign"/>
            </w:pPr>
            <w:r w:rsidRPr="00364CDE">
              <w:t>424</w:t>
            </w:r>
          </w:p>
        </w:tc>
        <w:tc>
          <w:tcPr>
            <w:tcW w:w="4309" w:type="dxa"/>
            <w:shd w:val="clear" w:color="auto" w:fill="auto"/>
            <w:noWrap/>
            <w:hideMark/>
          </w:tcPr>
          <w:p w14:paraId="4C63E2DE" w14:textId="77777777" w:rsidR="001872A8" w:rsidRPr="00364CDE" w:rsidRDefault="001872A8" w:rsidP="00A403FC">
            <w:pPr>
              <w:pStyle w:val="Tabletext"/>
              <w:jc w:val="center"/>
            </w:pPr>
            <w:r w:rsidRPr="00364CDE">
              <w:t>3%</w:t>
            </w:r>
          </w:p>
        </w:tc>
      </w:tr>
      <w:tr w:rsidR="001872A8" w:rsidRPr="00B27179" w14:paraId="5F01627F" w14:textId="77777777" w:rsidTr="00CA461B">
        <w:trPr>
          <w:trHeight w:val="300"/>
        </w:trPr>
        <w:tc>
          <w:tcPr>
            <w:tcW w:w="1814" w:type="dxa"/>
            <w:shd w:val="clear" w:color="auto" w:fill="auto"/>
            <w:noWrap/>
            <w:hideMark/>
          </w:tcPr>
          <w:p w14:paraId="29D7425E" w14:textId="77777777" w:rsidR="001872A8" w:rsidRPr="00364CDE" w:rsidRDefault="001872A8" w:rsidP="00A403FC">
            <w:pPr>
              <w:pStyle w:val="Tabletext"/>
              <w:jc w:val="center"/>
            </w:pPr>
            <w:r w:rsidRPr="00364CDE">
              <w:t>35-39</w:t>
            </w:r>
          </w:p>
        </w:tc>
        <w:tc>
          <w:tcPr>
            <w:tcW w:w="2949" w:type="dxa"/>
            <w:shd w:val="clear" w:color="auto" w:fill="auto"/>
            <w:noWrap/>
            <w:hideMark/>
          </w:tcPr>
          <w:p w14:paraId="4219DFB9" w14:textId="77777777" w:rsidR="001872A8" w:rsidRPr="00364CDE" w:rsidRDefault="001872A8" w:rsidP="00DD77BD">
            <w:pPr>
              <w:pStyle w:val="TableTextDecimalAlign"/>
            </w:pPr>
            <w:r w:rsidRPr="00364CDE">
              <w:t>512</w:t>
            </w:r>
          </w:p>
        </w:tc>
        <w:tc>
          <w:tcPr>
            <w:tcW w:w="4309" w:type="dxa"/>
            <w:shd w:val="clear" w:color="auto" w:fill="auto"/>
            <w:noWrap/>
            <w:hideMark/>
          </w:tcPr>
          <w:p w14:paraId="75A8924C" w14:textId="77777777" w:rsidR="001872A8" w:rsidRPr="00364CDE" w:rsidRDefault="001872A8" w:rsidP="00A403FC">
            <w:pPr>
              <w:pStyle w:val="Tabletext"/>
              <w:jc w:val="center"/>
            </w:pPr>
            <w:r w:rsidRPr="00364CDE">
              <w:t>3%</w:t>
            </w:r>
          </w:p>
        </w:tc>
      </w:tr>
      <w:tr w:rsidR="001872A8" w:rsidRPr="00B27179" w14:paraId="7CCE9CDD" w14:textId="77777777" w:rsidTr="00CA461B">
        <w:trPr>
          <w:trHeight w:val="300"/>
        </w:trPr>
        <w:tc>
          <w:tcPr>
            <w:tcW w:w="1814" w:type="dxa"/>
            <w:shd w:val="clear" w:color="auto" w:fill="auto"/>
            <w:noWrap/>
            <w:hideMark/>
          </w:tcPr>
          <w:p w14:paraId="532C89C3" w14:textId="77777777" w:rsidR="001872A8" w:rsidRPr="00364CDE" w:rsidRDefault="001872A8" w:rsidP="00A403FC">
            <w:pPr>
              <w:pStyle w:val="Tabletext"/>
              <w:jc w:val="center"/>
            </w:pPr>
            <w:r w:rsidRPr="00364CDE">
              <w:t>40-44</w:t>
            </w:r>
          </w:p>
        </w:tc>
        <w:tc>
          <w:tcPr>
            <w:tcW w:w="2949" w:type="dxa"/>
            <w:shd w:val="clear" w:color="auto" w:fill="auto"/>
            <w:noWrap/>
            <w:hideMark/>
          </w:tcPr>
          <w:p w14:paraId="6EADDFB2" w14:textId="77777777" w:rsidR="001872A8" w:rsidRPr="00364CDE" w:rsidRDefault="001872A8" w:rsidP="00DD77BD">
            <w:pPr>
              <w:pStyle w:val="TableTextDecimalAlign"/>
            </w:pPr>
            <w:r w:rsidRPr="00364CDE">
              <w:t>615</w:t>
            </w:r>
          </w:p>
        </w:tc>
        <w:tc>
          <w:tcPr>
            <w:tcW w:w="4309" w:type="dxa"/>
            <w:shd w:val="clear" w:color="auto" w:fill="auto"/>
            <w:noWrap/>
            <w:hideMark/>
          </w:tcPr>
          <w:p w14:paraId="1F6B920C" w14:textId="77777777" w:rsidR="001872A8" w:rsidRPr="00364CDE" w:rsidRDefault="001872A8" w:rsidP="00A403FC">
            <w:pPr>
              <w:pStyle w:val="Tabletext"/>
              <w:jc w:val="center"/>
            </w:pPr>
            <w:r w:rsidRPr="00364CDE">
              <w:t>4%</w:t>
            </w:r>
          </w:p>
        </w:tc>
      </w:tr>
      <w:tr w:rsidR="001872A8" w:rsidRPr="00B27179" w14:paraId="67BDA022" w14:textId="77777777" w:rsidTr="00CA461B">
        <w:trPr>
          <w:trHeight w:val="300"/>
        </w:trPr>
        <w:tc>
          <w:tcPr>
            <w:tcW w:w="1814" w:type="dxa"/>
            <w:shd w:val="clear" w:color="auto" w:fill="auto"/>
            <w:noWrap/>
            <w:hideMark/>
          </w:tcPr>
          <w:p w14:paraId="1D64C791" w14:textId="77777777" w:rsidR="001872A8" w:rsidRPr="00364CDE" w:rsidRDefault="001872A8" w:rsidP="00A403FC">
            <w:pPr>
              <w:pStyle w:val="Tabletext"/>
              <w:jc w:val="center"/>
            </w:pPr>
            <w:r w:rsidRPr="00364CDE">
              <w:t>45-49</w:t>
            </w:r>
          </w:p>
        </w:tc>
        <w:tc>
          <w:tcPr>
            <w:tcW w:w="2949" w:type="dxa"/>
            <w:shd w:val="clear" w:color="auto" w:fill="auto"/>
            <w:noWrap/>
            <w:hideMark/>
          </w:tcPr>
          <w:p w14:paraId="3E48D420" w14:textId="77777777" w:rsidR="001872A8" w:rsidRPr="00364CDE" w:rsidRDefault="001872A8" w:rsidP="00DD77BD">
            <w:pPr>
              <w:pStyle w:val="TableTextDecimalAlign"/>
            </w:pPr>
            <w:r w:rsidRPr="00364CDE">
              <w:t>639</w:t>
            </w:r>
          </w:p>
        </w:tc>
        <w:tc>
          <w:tcPr>
            <w:tcW w:w="4309" w:type="dxa"/>
            <w:shd w:val="clear" w:color="auto" w:fill="auto"/>
            <w:noWrap/>
            <w:hideMark/>
          </w:tcPr>
          <w:p w14:paraId="0AFEB049" w14:textId="77777777" w:rsidR="001872A8" w:rsidRPr="00364CDE" w:rsidRDefault="001872A8" w:rsidP="00A403FC">
            <w:pPr>
              <w:pStyle w:val="Tabletext"/>
              <w:jc w:val="center"/>
            </w:pPr>
            <w:r w:rsidRPr="00364CDE">
              <w:t>4%</w:t>
            </w:r>
          </w:p>
        </w:tc>
      </w:tr>
      <w:tr w:rsidR="001872A8" w:rsidRPr="00B27179" w14:paraId="31D0E49B" w14:textId="77777777" w:rsidTr="00CA461B">
        <w:trPr>
          <w:trHeight w:val="300"/>
        </w:trPr>
        <w:tc>
          <w:tcPr>
            <w:tcW w:w="1814" w:type="dxa"/>
            <w:shd w:val="clear" w:color="auto" w:fill="auto"/>
            <w:noWrap/>
            <w:hideMark/>
          </w:tcPr>
          <w:p w14:paraId="70B51A5B" w14:textId="77777777" w:rsidR="001872A8" w:rsidRPr="00364CDE" w:rsidRDefault="001872A8" w:rsidP="00A403FC">
            <w:pPr>
              <w:pStyle w:val="Tabletext"/>
              <w:jc w:val="center"/>
            </w:pPr>
            <w:r w:rsidRPr="00364CDE">
              <w:t>50-54</w:t>
            </w:r>
          </w:p>
        </w:tc>
        <w:tc>
          <w:tcPr>
            <w:tcW w:w="2949" w:type="dxa"/>
            <w:shd w:val="clear" w:color="auto" w:fill="auto"/>
            <w:noWrap/>
            <w:hideMark/>
          </w:tcPr>
          <w:p w14:paraId="6EC10560" w14:textId="77777777" w:rsidR="001872A8" w:rsidRPr="00364CDE" w:rsidRDefault="001872A8" w:rsidP="00DD77BD">
            <w:pPr>
              <w:pStyle w:val="TableTextDecimalAlign"/>
            </w:pPr>
            <w:r w:rsidRPr="00364CDE">
              <w:t>823</w:t>
            </w:r>
          </w:p>
        </w:tc>
        <w:tc>
          <w:tcPr>
            <w:tcW w:w="4309" w:type="dxa"/>
            <w:shd w:val="clear" w:color="auto" w:fill="auto"/>
            <w:noWrap/>
            <w:hideMark/>
          </w:tcPr>
          <w:p w14:paraId="7DF81880" w14:textId="77777777" w:rsidR="001872A8" w:rsidRPr="00364CDE" w:rsidRDefault="001872A8" w:rsidP="00A403FC">
            <w:pPr>
              <w:pStyle w:val="Tabletext"/>
              <w:jc w:val="center"/>
            </w:pPr>
            <w:r w:rsidRPr="00364CDE">
              <w:t>5%</w:t>
            </w:r>
          </w:p>
        </w:tc>
      </w:tr>
      <w:tr w:rsidR="001872A8" w:rsidRPr="00B27179" w14:paraId="32E7D586" w14:textId="77777777" w:rsidTr="00CA461B">
        <w:trPr>
          <w:trHeight w:val="300"/>
        </w:trPr>
        <w:tc>
          <w:tcPr>
            <w:tcW w:w="1814" w:type="dxa"/>
            <w:shd w:val="clear" w:color="auto" w:fill="auto"/>
            <w:noWrap/>
            <w:hideMark/>
          </w:tcPr>
          <w:p w14:paraId="35DEDCC2" w14:textId="77777777" w:rsidR="001872A8" w:rsidRPr="00364CDE" w:rsidRDefault="001872A8" w:rsidP="00A403FC">
            <w:pPr>
              <w:pStyle w:val="Tabletext"/>
              <w:jc w:val="center"/>
            </w:pPr>
            <w:r w:rsidRPr="00364CDE">
              <w:t>55-59</w:t>
            </w:r>
          </w:p>
        </w:tc>
        <w:tc>
          <w:tcPr>
            <w:tcW w:w="2949" w:type="dxa"/>
            <w:shd w:val="clear" w:color="auto" w:fill="auto"/>
            <w:noWrap/>
            <w:hideMark/>
          </w:tcPr>
          <w:p w14:paraId="41C7DF22" w14:textId="77777777" w:rsidR="001872A8" w:rsidRPr="00364CDE" w:rsidRDefault="001872A8" w:rsidP="00DD77BD">
            <w:pPr>
              <w:pStyle w:val="TableTextDecimalAlign"/>
            </w:pPr>
            <w:r w:rsidRPr="00364CDE">
              <w:t>1,082</w:t>
            </w:r>
          </w:p>
        </w:tc>
        <w:tc>
          <w:tcPr>
            <w:tcW w:w="4309" w:type="dxa"/>
            <w:shd w:val="clear" w:color="auto" w:fill="auto"/>
            <w:noWrap/>
            <w:hideMark/>
          </w:tcPr>
          <w:p w14:paraId="2BC80155" w14:textId="77777777" w:rsidR="001872A8" w:rsidRPr="00364CDE" w:rsidRDefault="001872A8" w:rsidP="00A403FC">
            <w:pPr>
              <w:pStyle w:val="Tabletext"/>
              <w:jc w:val="center"/>
            </w:pPr>
            <w:r w:rsidRPr="00364CDE">
              <w:t>6%</w:t>
            </w:r>
          </w:p>
        </w:tc>
      </w:tr>
      <w:tr w:rsidR="001872A8" w:rsidRPr="00B27179" w14:paraId="268E5D37" w14:textId="77777777" w:rsidTr="00CA461B">
        <w:trPr>
          <w:trHeight w:val="300"/>
        </w:trPr>
        <w:tc>
          <w:tcPr>
            <w:tcW w:w="1814" w:type="dxa"/>
            <w:shd w:val="clear" w:color="auto" w:fill="auto"/>
            <w:noWrap/>
            <w:hideMark/>
          </w:tcPr>
          <w:p w14:paraId="02F73FA3" w14:textId="77777777" w:rsidR="001872A8" w:rsidRPr="00364CDE" w:rsidRDefault="001872A8" w:rsidP="00A403FC">
            <w:pPr>
              <w:pStyle w:val="Tabletext"/>
              <w:jc w:val="center"/>
            </w:pPr>
            <w:r w:rsidRPr="00364CDE">
              <w:t>60-64</w:t>
            </w:r>
          </w:p>
        </w:tc>
        <w:tc>
          <w:tcPr>
            <w:tcW w:w="2949" w:type="dxa"/>
            <w:shd w:val="clear" w:color="auto" w:fill="auto"/>
            <w:noWrap/>
            <w:hideMark/>
          </w:tcPr>
          <w:p w14:paraId="62510E67" w14:textId="77777777" w:rsidR="001872A8" w:rsidRPr="00364CDE" w:rsidRDefault="001872A8" w:rsidP="00DD77BD">
            <w:pPr>
              <w:pStyle w:val="TableTextDecimalAlign"/>
            </w:pPr>
            <w:r w:rsidRPr="00364CDE">
              <w:t>1,467</w:t>
            </w:r>
          </w:p>
        </w:tc>
        <w:tc>
          <w:tcPr>
            <w:tcW w:w="4309" w:type="dxa"/>
            <w:shd w:val="clear" w:color="auto" w:fill="auto"/>
            <w:noWrap/>
            <w:hideMark/>
          </w:tcPr>
          <w:p w14:paraId="5AA27C7B" w14:textId="77777777" w:rsidR="001872A8" w:rsidRPr="00364CDE" w:rsidRDefault="001872A8" w:rsidP="00A403FC">
            <w:pPr>
              <w:pStyle w:val="Tabletext"/>
              <w:jc w:val="center"/>
            </w:pPr>
            <w:r w:rsidRPr="00364CDE">
              <w:t>9%</w:t>
            </w:r>
          </w:p>
        </w:tc>
      </w:tr>
      <w:tr w:rsidR="001872A8" w:rsidRPr="00B27179" w14:paraId="432AD0E6" w14:textId="77777777" w:rsidTr="00CA461B">
        <w:trPr>
          <w:trHeight w:val="300"/>
        </w:trPr>
        <w:tc>
          <w:tcPr>
            <w:tcW w:w="1814" w:type="dxa"/>
            <w:shd w:val="clear" w:color="auto" w:fill="auto"/>
            <w:noWrap/>
            <w:hideMark/>
          </w:tcPr>
          <w:p w14:paraId="3E9ADB5A" w14:textId="77777777" w:rsidR="001872A8" w:rsidRPr="00364CDE" w:rsidRDefault="001872A8" w:rsidP="00A403FC">
            <w:pPr>
              <w:pStyle w:val="Tabletext"/>
              <w:jc w:val="center"/>
            </w:pPr>
            <w:r w:rsidRPr="00364CDE">
              <w:t>65-69</w:t>
            </w:r>
          </w:p>
        </w:tc>
        <w:tc>
          <w:tcPr>
            <w:tcW w:w="2949" w:type="dxa"/>
            <w:shd w:val="clear" w:color="auto" w:fill="auto"/>
            <w:noWrap/>
            <w:hideMark/>
          </w:tcPr>
          <w:p w14:paraId="55DDD367" w14:textId="77777777" w:rsidR="001872A8" w:rsidRPr="00364CDE" w:rsidRDefault="001872A8" w:rsidP="00DD77BD">
            <w:pPr>
              <w:pStyle w:val="TableTextDecimalAlign"/>
            </w:pPr>
            <w:r w:rsidRPr="00364CDE">
              <w:t>1,999</w:t>
            </w:r>
          </w:p>
        </w:tc>
        <w:tc>
          <w:tcPr>
            <w:tcW w:w="4309" w:type="dxa"/>
            <w:shd w:val="clear" w:color="auto" w:fill="auto"/>
            <w:noWrap/>
            <w:hideMark/>
          </w:tcPr>
          <w:p w14:paraId="3A03E9BD" w14:textId="77777777" w:rsidR="001872A8" w:rsidRPr="00364CDE" w:rsidRDefault="001872A8" w:rsidP="00A403FC">
            <w:pPr>
              <w:pStyle w:val="Tabletext"/>
              <w:jc w:val="center"/>
            </w:pPr>
            <w:r w:rsidRPr="00364CDE">
              <w:t>12%</w:t>
            </w:r>
          </w:p>
        </w:tc>
      </w:tr>
      <w:tr w:rsidR="001872A8" w:rsidRPr="00B27179" w14:paraId="6B8D1D3E" w14:textId="77777777" w:rsidTr="00CA461B">
        <w:trPr>
          <w:trHeight w:val="300"/>
        </w:trPr>
        <w:tc>
          <w:tcPr>
            <w:tcW w:w="1814" w:type="dxa"/>
            <w:shd w:val="clear" w:color="auto" w:fill="auto"/>
            <w:noWrap/>
            <w:hideMark/>
          </w:tcPr>
          <w:p w14:paraId="5C9CEE34" w14:textId="77777777" w:rsidR="001872A8" w:rsidRPr="00364CDE" w:rsidRDefault="001872A8" w:rsidP="00A403FC">
            <w:pPr>
              <w:pStyle w:val="Tabletext"/>
              <w:jc w:val="center"/>
            </w:pPr>
            <w:r w:rsidRPr="00364CDE">
              <w:t>70-74</w:t>
            </w:r>
          </w:p>
        </w:tc>
        <w:tc>
          <w:tcPr>
            <w:tcW w:w="2949" w:type="dxa"/>
            <w:shd w:val="clear" w:color="auto" w:fill="auto"/>
            <w:noWrap/>
            <w:hideMark/>
          </w:tcPr>
          <w:p w14:paraId="0B6B3B41" w14:textId="77777777" w:rsidR="001872A8" w:rsidRPr="00364CDE" w:rsidRDefault="001872A8" w:rsidP="00DD77BD">
            <w:pPr>
              <w:pStyle w:val="TableTextDecimalAlign"/>
            </w:pPr>
            <w:r w:rsidRPr="00364CDE">
              <w:t>1,826</w:t>
            </w:r>
          </w:p>
        </w:tc>
        <w:tc>
          <w:tcPr>
            <w:tcW w:w="4309" w:type="dxa"/>
            <w:shd w:val="clear" w:color="auto" w:fill="auto"/>
            <w:noWrap/>
            <w:hideMark/>
          </w:tcPr>
          <w:p w14:paraId="2BCCD17B" w14:textId="77777777" w:rsidR="001872A8" w:rsidRPr="00364CDE" w:rsidRDefault="001872A8" w:rsidP="00A403FC">
            <w:pPr>
              <w:pStyle w:val="Tabletext"/>
              <w:jc w:val="center"/>
            </w:pPr>
            <w:r w:rsidRPr="00364CDE">
              <w:t>11%</w:t>
            </w:r>
          </w:p>
        </w:tc>
      </w:tr>
      <w:tr w:rsidR="001872A8" w:rsidRPr="00B27179" w14:paraId="3BE22B53" w14:textId="77777777" w:rsidTr="00CA461B">
        <w:trPr>
          <w:trHeight w:val="300"/>
        </w:trPr>
        <w:tc>
          <w:tcPr>
            <w:tcW w:w="1814" w:type="dxa"/>
            <w:shd w:val="clear" w:color="auto" w:fill="auto"/>
            <w:noWrap/>
            <w:hideMark/>
          </w:tcPr>
          <w:p w14:paraId="1FA7D141" w14:textId="77777777" w:rsidR="001872A8" w:rsidRPr="00364CDE" w:rsidRDefault="001872A8" w:rsidP="00A403FC">
            <w:pPr>
              <w:pStyle w:val="Tabletext"/>
              <w:jc w:val="center"/>
            </w:pPr>
            <w:r w:rsidRPr="00364CDE">
              <w:t>75-79</w:t>
            </w:r>
          </w:p>
        </w:tc>
        <w:tc>
          <w:tcPr>
            <w:tcW w:w="2949" w:type="dxa"/>
            <w:shd w:val="clear" w:color="auto" w:fill="auto"/>
            <w:noWrap/>
            <w:hideMark/>
          </w:tcPr>
          <w:p w14:paraId="04137CAA" w14:textId="77777777" w:rsidR="001872A8" w:rsidRPr="00364CDE" w:rsidRDefault="001872A8" w:rsidP="00DD77BD">
            <w:pPr>
              <w:pStyle w:val="TableTextDecimalAlign"/>
            </w:pPr>
            <w:r w:rsidRPr="00364CDE">
              <w:t>1,636</w:t>
            </w:r>
          </w:p>
        </w:tc>
        <w:tc>
          <w:tcPr>
            <w:tcW w:w="4309" w:type="dxa"/>
            <w:shd w:val="clear" w:color="auto" w:fill="auto"/>
            <w:noWrap/>
            <w:hideMark/>
          </w:tcPr>
          <w:p w14:paraId="7AA23542" w14:textId="77777777" w:rsidR="001872A8" w:rsidRPr="00364CDE" w:rsidRDefault="001872A8" w:rsidP="00A403FC">
            <w:pPr>
              <w:pStyle w:val="Tabletext"/>
              <w:jc w:val="center"/>
            </w:pPr>
            <w:r w:rsidRPr="00364CDE">
              <w:t>10%</w:t>
            </w:r>
          </w:p>
        </w:tc>
      </w:tr>
      <w:tr w:rsidR="001872A8" w:rsidRPr="00B27179" w14:paraId="307B77B7" w14:textId="77777777" w:rsidTr="00CA461B">
        <w:trPr>
          <w:trHeight w:val="300"/>
        </w:trPr>
        <w:tc>
          <w:tcPr>
            <w:tcW w:w="1814" w:type="dxa"/>
            <w:shd w:val="clear" w:color="auto" w:fill="auto"/>
            <w:noWrap/>
            <w:hideMark/>
          </w:tcPr>
          <w:p w14:paraId="6EA4DCDA" w14:textId="77777777" w:rsidR="001872A8" w:rsidRPr="00364CDE" w:rsidRDefault="001872A8" w:rsidP="00A403FC">
            <w:pPr>
              <w:pStyle w:val="Tabletext"/>
              <w:jc w:val="center"/>
            </w:pPr>
            <w:r w:rsidRPr="00364CDE">
              <w:t>80-84</w:t>
            </w:r>
          </w:p>
        </w:tc>
        <w:tc>
          <w:tcPr>
            <w:tcW w:w="2949" w:type="dxa"/>
            <w:shd w:val="clear" w:color="auto" w:fill="auto"/>
            <w:noWrap/>
            <w:hideMark/>
          </w:tcPr>
          <w:p w14:paraId="45B97EE5" w14:textId="77777777" w:rsidR="001872A8" w:rsidRPr="00364CDE" w:rsidRDefault="001872A8" w:rsidP="00DD77BD">
            <w:pPr>
              <w:pStyle w:val="TableTextDecimalAlign"/>
            </w:pPr>
            <w:r w:rsidRPr="00364CDE">
              <w:t>1,076</w:t>
            </w:r>
          </w:p>
        </w:tc>
        <w:tc>
          <w:tcPr>
            <w:tcW w:w="4309" w:type="dxa"/>
            <w:shd w:val="clear" w:color="auto" w:fill="auto"/>
            <w:noWrap/>
            <w:hideMark/>
          </w:tcPr>
          <w:p w14:paraId="78460003" w14:textId="77777777" w:rsidR="001872A8" w:rsidRPr="00364CDE" w:rsidRDefault="001872A8" w:rsidP="00A403FC">
            <w:pPr>
              <w:pStyle w:val="Tabletext"/>
              <w:jc w:val="center"/>
            </w:pPr>
            <w:r w:rsidRPr="00364CDE">
              <w:t>6%</w:t>
            </w:r>
          </w:p>
        </w:tc>
      </w:tr>
      <w:tr w:rsidR="001872A8" w:rsidRPr="00B27179" w14:paraId="050ADF2F" w14:textId="77777777" w:rsidTr="00CA461B">
        <w:trPr>
          <w:trHeight w:val="300"/>
        </w:trPr>
        <w:tc>
          <w:tcPr>
            <w:tcW w:w="1814" w:type="dxa"/>
            <w:shd w:val="clear" w:color="auto" w:fill="auto"/>
            <w:noWrap/>
            <w:hideMark/>
          </w:tcPr>
          <w:p w14:paraId="0BAC6E71" w14:textId="77777777" w:rsidR="001872A8" w:rsidRPr="00364CDE" w:rsidRDefault="001872A8" w:rsidP="00A403FC">
            <w:pPr>
              <w:pStyle w:val="Tabletext"/>
              <w:jc w:val="center"/>
            </w:pPr>
            <w:r w:rsidRPr="00364CDE">
              <w:t>&gt;=85</w:t>
            </w:r>
          </w:p>
        </w:tc>
        <w:tc>
          <w:tcPr>
            <w:tcW w:w="2949" w:type="dxa"/>
            <w:shd w:val="clear" w:color="auto" w:fill="auto"/>
            <w:noWrap/>
            <w:hideMark/>
          </w:tcPr>
          <w:p w14:paraId="7115990C" w14:textId="77777777" w:rsidR="001872A8" w:rsidRPr="00364CDE" w:rsidRDefault="001872A8" w:rsidP="00DD77BD">
            <w:pPr>
              <w:pStyle w:val="TableTextDecimalAlign"/>
            </w:pPr>
            <w:r w:rsidRPr="00364CDE">
              <w:t>526</w:t>
            </w:r>
          </w:p>
        </w:tc>
        <w:tc>
          <w:tcPr>
            <w:tcW w:w="4309" w:type="dxa"/>
            <w:shd w:val="clear" w:color="auto" w:fill="auto"/>
            <w:noWrap/>
            <w:hideMark/>
          </w:tcPr>
          <w:p w14:paraId="649D63CF" w14:textId="77777777" w:rsidR="001872A8" w:rsidRPr="00364CDE" w:rsidRDefault="001872A8" w:rsidP="00A403FC">
            <w:pPr>
              <w:pStyle w:val="Tabletext"/>
              <w:jc w:val="center"/>
            </w:pPr>
            <w:r w:rsidRPr="00364CDE">
              <w:t>3%</w:t>
            </w:r>
          </w:p>
        </w:tc>
      </w:tr>
    </w:tbl>
    <w:p w14:paraId="0D20BF88" w14:textId="77777777" w:rsidR="005A38A8" w:rsidRDefault="005A38A8" w:rsidP="0099709F">
      <w:pPr>
        <w:pStyle w:val="TableUnder"/>
      </w:pPr>
      <w:r w:rsidRPr="00B36B81">
        <w:t>Unpublished data (Department of Health)</w:t>
      </w:r>
    </w:p>
    <w:p w14:paraId="3C607363" w14:textId="77777777" w:rsidR="00491404" w:rsidRDefault="001132C1" w:rsidP="00491404">
      <w:pPr>
        <w:pStyle w:val="TableUnderLast"/>
      </w:pPr>
      <w:r>
        <w:t xml:space="preserve">Note: Total number of </w:t>
      </w:r>
      <w:r w:rsidRPr="008F23CC">
        <w:t>services</w:t>
      </w:r>
      <w:r>
        <w:t xml:space="preserve"> is 16, 804.</w:t>
      </w:r>
      <w:r w:rsidR="00491404">
        <w:br w:type="page"/>
      </w:r>
    </w:p>
    <w:p w14:paraId="5B377288" w14:textId="77777777" w:rsidR="001872A8" w:rsidRPr="00E52BC8" w:rsidRDefault="00006172" w:rsidP="00006172">
      <w:pPr>
        <w:pStyle w:val="Caption"/>
      </w:pPr>
      <w:bookmarkStart w:id="338" w:name="_Toc478721564"/>
      <w:r>
        <w:lastRenderedPageBreak/>
        <w:t>Table B5:</w:t>
      </w:r>
      <w:r>
        <w:tab/>
      </w:r>
      <w:r w:rsidR="00BE39AE">
        <w:t>Number of services by state, item 11509</w:t>
      </w:r>
      <w:r w:rsidR="00110749">
        <w:t>,</w:t>
      </w:r>
      <w:r w:rsidR="00BE39AE">
        <w:t xml:space="preserve"> 2014-15</w:t>
      </w:r>
      <w:bookmarkEnd w:id="338"/>
    </w:p>
    <w:tbl>
      <w:tblPr>
        <w:tblW w:w="9214" w:type="dxa"/>
        <w:tblInd w:w="108" w:type="dxa"/>
        <w:tblBorders>
          <w:top w:val="single" w:sz="4" w:space="0" w:color="B56011"/>
          <w:bottom w:val="single" w:sz="4" w:space="0" w:color="B56011"/>
          <w:insideH w:val="single" w:sz="4" w:space="0" w:color="B56011"/>
        </w:tblBorders>
        <w:tblLayout w:type="fixed"/>
        <w:tblLook w:val="04A0" w:firstRow="1" w:lastRow="0" w:firstColumn="1" w:lastColumn="0" w:noHBand="0" w:noVBand="1"/>
        <w:tblDescription w:val="Table B5 provides, for each jurisdiction, the number of services for item 11509, the estimated residential population and the service rate per 1,000 people."/>
      </w:tblPr>
      <w:tblGrid>
        <w:gridCol w:w="1134"/>
        <w:gridCol w:w="768"/>
        <w:gridCol w:w="910"/>
        <w:gridCol w:w="909"/>
        <w:gridCol w:w="910"/>
        <w:gridCol w:w="909"/>
        <w:gridCol w:w="910"/>
        <w:gridCol w:w="780"/>
        <w:gridCol w:w="850"/>
        <w:gridCol w:w="1134"/>
      </w:tblGrid>
      <w:tr w:rsidR="0002627F" w:rsidRPr="00364CDE" w14:paraId="6FEEDBAC" w14:textId="77777777" w:rsidTr="0099709F">
        <w:trPr>
          <w:trHeight w:val="300"/>
          <w:tblHeader/>
        </w:trPr>
        <w:tc>
          <w:tcPr>
            <w:tcW w:w="1134" w:type="dxa"/>
            <w:shd w:val="clear" w:color="auto" w:fill="auto"/>
            <w:noWrap/>
            <w:hideMark/>
          </w:tcPr>
          <w:p w14:paraId="7931B5E0" w14:textId="77777777" w:rsidR="001872A8" w:rsidRPr="00364CDE" w:rsidRDefault="00FF6AB5" w:rsidP="00A403FC">
            <w:pPr>
              <w:pStyle w:val="Tableheading"/>
            </w:pPr>
            <w:r>
              <w:t>Factor</w:t>
            </w:r>
          </w:p>
        </w:tc>
        <w:tc>
          <w:tcPr>
            <w:tcW w:w="768" w:type="dxa"/>
            <w:shd w:val="clear" w:color="auto" w:fill="auto"/>
            <w:noWrap/>
            <w:hideMark/>
          </w:tcPr>
          <w:p w14:paraId="031B56DA" w14:textId="77777777" w:rsidR="001872A8" w:rsidRPr="00364CDE" w:rsidRDefault="001872A8" w:rsidP="00A403FC">
            <w:pPr>
              <w:pStyle w:val="Tableheading"/>
            </w:pPr>
            <w:r w:rsidRPr="00364CDE">
              <w:t>NSW</w:t>
            </w:r>
          </w:p>
        </w:tc>
        <w:tc>
          <w:tcPr>
            <w:tcW w:w="910" w:type="dxa"/>
            <w:shd w:val="clear" w:color="auto" w:fill="auto"/>
            <w:noWrap/>
            <w:hideMark/>
          </w:tcPr>
          <w:p w14:paraId="4ADFA211" w14:textId="77777777" w:rsidR="001872A8" w:rsidRPr="00364CDE" w:rsidRDefault="001872A8" w:rsidP="00A403FC">
            <w:pPr>
              <w:pStyle w:val="Tableheading"/>
            </w:pPr>
            <w:r w:rsidRPr="00364CDE">
              <w:t>VIC</w:t>
            </w:r>
          </w:p>
        </w:tc>
        <w:tc>
          <w:tcPr>
            <w:tcW w:w="909" w:type="dxa"/>
            <w:shd w:val="clear" w:color="auto" w:fill="auto"/>
            <w:noWrap/>
            <w:hideMark/>
          </w:tcPr>
          <w:p w14:paraId="00593ADA" w14:textId="77777777" w:rsidR="001872A8" w:rsidRPr="00364CDE" w:rsidRDefault="001872A8" w:rsidP="00A403FC">
            <w:pPr>
              <w:pStyle w:val="Tableheading"/>
            </w:pPr>
            <w:r w:rsidRPr="00364CDE">
              <w:t>QLD</w:t>
            </w:r>
          </w:p>
        </w:tc>
        <w:tc>
          <w:tcPr>
            <w:tcW w:w="910" w:type="dxa"/>
            <w:shd w:val="clear" w:color="auto" w:fill="auto"/>
            <w:noWrap/>
            <w:hideMark/>
          </w:tcPr>
          <w:p w14:paraId="7A336B0C" w14:textId="77777777" w:rsidR="001872A8" w:rsidRPr="00364CDE" w:rsidRDefault="001872A8" w:rsidP="00A403FC">
            <w:pPr>
              <w:pStyle w:val="Tableheading"/>
            </w:pPr>
            <w:r w:rsidRPr="00364CDE">
              <w:t>SA</w:t>
            </w:r>
          </w:p>
        </w:tc>
        <w:tc>
          <w:tcPr>
            <w:tcW w:w="909" w:type="dxa"/>
            <w:shd w:val="clear" w:color="auto" w:fill="auto"/>
            <w:noWrap/>
            <w:hideMark/>
          </w:tcPr>
          <w:p w14:paraId="219EB1DC" w14:textId="77777777" w:rsidR="001872A8" w:rsidRPr="00364CDE" w:rsidRDefault="001872A8" w:rsidP="00A403FC">
            <w:pPr>
              <w:pStyle w:val="Tableheading"/>
            </w:pPr>
            <w:r w:rsidRPr="00364CDE">
              <w:t>WA</w:t>
            </w:r>
          </w:p>
        </w:tc>
        <w:tc>
          <w:tcPr>
            <w:tcW w:w="910" w:type="dxa"/>
            <w:shd w:val="clear" w:color="auto" w:fill="auto"/>
            <w:noWrap/>
            <w:hideMark/>
          </w:tcPr>
          <w:p w14:paraId="601A0895" w14:textId="77777777" w:rsidR="001872A8" w:rsidRPr="00364CDE" w:rsidRDefault="001872A8" w:rsidP="00A403FC">
            <w:pPr>
              <w:pStyle w:val="Tableheading"/>
            </w:pPr>
            <w:r w:rsidRPr="00364CDE">
              <w:t>TAS</w:t>
            </w:r>
          </w:p>
        </w:tc>
        <w:tc>
          <w:tcPr>
            <w:tcW w:w="780" w:type="dxa"/>
            <w:shd w:val="clear" w:color="auto" w:fill="auto"/>
            <w:noWrap/>
            <w:hideMark/>
          </w:tcPr>
          <w:p w14:paraId="61C816CA" w14:textId="77777777" w:rsidR="001872A8" w:rsidRPr="00364CDE" w:rsidRDefault="001872A8" w:rsidP="00A403FC">
            <w:pPr>
              <w:pStyle w:val="Tableheading"/>
            </w:pPr>
            <w:r w:rsidRPr="00364CDE">
              <w:t>NT</w:t>
            </w:r>
          </w:p>
        </w:tc>
        <w:tc>
          <w:tcPr>
            <w:tcW w:w="850" w:type="dxa"/>
            <w:shd w:val="clear" w:color="auto" w:fill="auto"/>
            <w:noWrap/>
            <w:hideMark/>
          </w:tcPr>
          <w:p w14:paraId="541F3B58" w14:textId="77777777" w:rsidR="001872A8" w:rsidRPr="00364CDE" w:rsidRDefault="001872A8" w:rsidP="00A403FC">
            <w:pPr>
              <w:pStyle w:val="Tableheading"/>
            </w:pPr>
            <w:r w:rsidRPr="00364CDE">
              <w:t>ACT</w:t>
            </w:r>
          </w:p>
        </w:tc>
        <w:tc>
          <w:tcPr>
            <w:tcW w:w="1134" w:type="dxa"/>
            <w:shd w:val="clear" w:color="auto" w:fill="auto"/>
            <w:noWrap/>
            <w:hideMark/>
          </w:tcPr>
          <w:p w14:paraId="4D347164" w14:textId="77777777" w:rsidR="001872A8" w:rsidRPr="00364CDE" w:rsidRDefault="001872A8" w:rsidP="00A403FC">
            <w:pPr>
              <w:pStyle w:val="Tableheading"/>
            </w:pPr>
            <w:r w:rsidRPr="00364CDE">
              <w:t>Australia</w:t>
            </w:r>
          </w:p>
        </w:tc>
      </w:tr>
      <w:tr w:rsidR="0002627F" w:rsidRPr="00E90C0F" w14:paraId="08EF9041" w14:textId="77777777" w:rsidTr="0099709F">
        <w:trPr>
          <w:trHeight w:val="300"/>
        </w:trPr>
        <w:tc>
          <w:tcPr>
            <w:tcW w:w="1134" w:type="dxa"/>
            <w:shd w:val="clear" w:color="auto" w:fill="auto"/>
            <w:noWrap/>
            <w:hideMark/>
          </w:tcPr>
          <w:p w14:paraId="396E473A" w14:textId="77777777" w:rsidR="001872A8" w:rsidRPr="00E90C0F" w:rsidRDefault="004A7561" w:rsidP="00E90C0F">
            <w:pPr>
              <w:pStyle w:val="Tabletext"/>
              <w:rPr>
                <w:sz w:val="16"/>
                <w:szCs w:val="16"/>
              </w:rPr>
            </w:pPr>
            <w:r w:rsidRPr="004A7561">
              <w:rPr>
                <w:sz w:val="16"/>
                <w:szCs w:val="16"/>
              </w:rPr>
              <w:t xml:space="preserve">Estimated residential population </w:t>
            </w:r>
            <w:r w:rsidR="001872A8" w:rsidRPr="00E90C0F">
              <w:rPr>
                <w:sz w:val="16"/>
                <w:szCs w:val="16"/>
              </w:rPr>
              <w:t>*</w:t>
            </w:r>
          </w:p>
        </w:tc>
        <w:tc>
          <w:tcPr>
            <w:tcW w:w="768" w:type="dxa"/>
            <w:shd w:val="clear" w:color="auto" w:fill="auto"/>
            <w:noWrap/>
            <w:hideMark/>
          </w:tcPr>
          <w:p w14:paraId="56AF4BB8" w14:textId="77777777" w:rsidR="001872A8" w:rsidRPr="004A7561" w:rsidRDefault="001872A8" w:rsidP="004A7561">
            <w:pPr>
              <w:pStyle w:val="TableTextDecimalAlign"/>
              <w:rPr>
                <w:sz w:val="16"/>
                <w:szCs w:val="16"/>
              </w:rPr>
            </w:pPr>
            <w:r w:rsidRPr="004A7561">
              <w:rPr>
                <w:sz w:val="16"/>
                <w:szCs w:val="16"/>
              </w:rPr>
              <w:t>7,565,497</w:t>
            </w:r>
          </w:p>
        </w:tc>
        <w:tc>
          <w:tcPr>
            <w:tcW w:w="910" w:type="dxa"/>
            <w:shd w:val="clear" w:color="auto" w:fill="auto"/>
            <w:noWrap/>
            <w:hideMark/>
          </w:tcPr>
          <w:p w14:paraId="1DF8AEE8" w14:textId="77777777" w:rsidR="001872A8" w:rsidRPr="004A7561" w:rsidRDefault="001872A8" w:rsidP="004A7561">
            <w:pPr>
              <w:pStyle w:val="TableTextDecimalAlign"/>
              <w:rPr>
                <w:sz w:val="16"/>
                <w:szCs w:val="16"/>
              </w:rPr>
            </w:pPr>
            <w:r w:rsidRPr="004A7561">
              <w:rPr>
                <w:sz w:val="16"/>
                <w:szCs w:val="16"/>
              </w:rPr>
              <w:t>5,886,436</w:t>
            </w:r>
          </w:p>
        </w:tc>
        <w:tc>
          <w:tcPr>
            <w:tcW w:w="909" w:type="dxa"/>
            <w:shd w:val="clear" w:color="auto" w:fill="auto"/>
            <w:noWrap/>
            <w:hideMark/>
          </w:tcPr>
          <w:p w14:paraId="685AC4AF" w14:textId="77777777" w:rsidR="001872A8" w:rsidRPr="004A7561" w:rsidRDefault="001872A8" w:rsidP="004A7561">
            <w:pPr>
              <w:pStyle w:val="TableTextDecimalAlign"/>
              <w:rPr>
                <w:sz w:val="16"/>
                <w:szCs w:val="16"/>
              </w:rPr>
            </w:pPr>
            <w:r w:rsidRPr="004A7561">
              <w:rPr>
                <w:sz w:val="16"/>
                <w:szCs w:val="16"/>
              </w:rPr>
              <w:t>4,750,513</w:t>
            </w:r>
          </w:p>
        </w:tc>
        <w:tc>
          <w:tcPr>
            <w:tcW w:w="910" w:type="dxa"/>
            <w:shd w:val="clear" w:color="auto" w:fill="auto"/>
            <w:noWrap/>
            <w:hideMark/>
          </w:tcPr>
          <w:p w14:paraId="7D385592" w14:textId="77777777" w:rsidR="001872A8" w:rsidRPr="004A7561" w:rsidRDefault="001872A8" w:rsidP="004A7561">
            <w:pPr>
              <w:pStyle w:val="TableTextDecimalAlign"/>
              <w:rPr>
                <w:sz w:val="16"/>
                <w:szCs w:val="16"/>
              </w:rPr>
            </w:pPr>
            <w:r w:rsidRPr="004A7561">
              <w:rPr>
                <w:sz w:val="16"/>
                <w:szCs w:val="16"/>
              </w:rPr>
              <w:t>1,691,503</w:t>
            </w:r>
          </w:p>
        </w:tc>
        <w:tc>
          <w:tcPr>
            <w:tcW w:w="909" w:type="dxa"/>
            <w:shd w:val="clear" w:color="auto" w:fill="auto"/>
            <w:noWrap/>
            <w:hideMark/>
          </w:tcPr>
          <w:p w14:paraId="7537C6BC" w14:textId="77777777" w:rsidR="001872A8" w:rsidRPr="004A7561" w:rsidRDefault="001872A8" w:rsidP="004A7561">
            <w:pPr>
              <w:pStyle w:val="TableTextDecimalAlign"/>
              <w:rPr>
                <w:sz w:val="16"/>
                <w:szCs w:val="16"/>
              </w:rPr>
            </w:pPr>
            <w:r w:rsidRPr="004A7561">
              <w:rPr>
                <w:sz w:val="16"/>
                <w:szCs w:val="16"/>
              </w:rPr>
              <w:t>2,581,250</w:t>
            </w:r>
          </w:p>
        </w:tc>
        <w:tc>
          <w:tcPr>
            <w:tcW w:w="910" w:type="dxa"/>
            <w:shd w:val="clear" w:color="auto" w:fill="auto"/>
            <w:noWrap/>
            <w:hideMark/>
          </w:tcPr>
          <w:p w14:paraId="77D00E82" w14:textId="77777777" w:rsidR="001872A8" w:rsidRPr="004A7561" w:rsidRDefault="001872A8" w:rsidP="004A7561">
            <w:pPr>
              <w:pStyle w:val="TableTextDecimalAlign"/>
              <w:rPr>
                <w:sz w:val="16"/>
                <w:szCs w:val="16"/>
              </w:rPr>
            </w:pPr>
            <w:r w:rsidRPr="004A7561">
              <w:rPr>
                <w:sz w:val="16"/>
                <w:szCs w:val="16"/>
              </w:rPr>
              <w:t>515,235</w:t>
            </w:r>
          </w:p>
        </w:tc>
        <w:tc>
          <w:tcPr>
            <w:tcW w:w="780" w:type="dxa"/>
            <w:shd w:val="clear" w:color="auto" w:fill="auto"/>
            <w:noWrap/>
            <w:hideMark/>
          </w:tcPr>
          <w:p w14:paraId="03C986F1" w14:textId="77777777" w:rsidR="001872A8" w:rsidRPr="004A7561" w:rsidRDefault="001872A8" w:rsidP="004A7561">
            <w:pPr>
              <w:pStyle w:val="TableTextDecimalAlign"/>
              <w:rPr>
                <w:sz w:val="16"/>
                <w:szCs w:val="16"/>
              </w:rPr>
            </w:pPr>
            <w:r w:rsidRPr="004A7561">
              <w:rPr>
                <w:sz w:val="16"/>
                <w:szCs w:val="16"/>
              </w:rPr>
              <w:t>244,265</w:t>
            </w:r>
          </w:p>
        </w:tc>
        <w:tc>
          <w:tcPr>
            <w:tcW w:w="850" w:type="dxa"/>
            <w:shd w:val="clear" w:color="auto" w:fill="auto"/>
            <w:noWrap/>
            <w:hideMark/>
          </w:tcPr>
          <w:p w14:paraId="654A8CD0" w14:textId="77777777" w:rsidR="001872A8" w:rsidRPr="004A7561" w:rsidRDefault="001872A8" w:rsidP="004A7561">
            <w:pPr>
              <w:pStyle w:val="TableTextDecimalAlign"/>
              <w:rPr>
                <w:sz w:val="16"/>
                <w:szCs w:val="16"/>
              </w:rPr>
            </w:pPr>
            <w:r w:rsidRPr="004A7561">
              <w:rPr>
                <w:sz w:val="16"/>
                <w:szCs w:val="16"/>
              </w:rPr>
              <w:t>387,640</w:t>
            </w:r>
          </w:p>
        </w:tc>
        <w:tc>
          <w:tcPr>
            <w:tcW w:w="1134" w:type="dxa"/>
            <w:shd w:val="clear" w:color="auto" w:fill="auto"/>
            <w:noWrap/>
            <w:hideMark/>
          </w:tcPr>
          <w:p w14:paraId="7808E96A" w14:textId="77777777" w:rsidR="001872A8" w:rsidRPr="004A7561" w:rsidRDefault="001872A8" w:rsidP="004A7561">
            <w:pPr>
              <w:pStyle w:val="TableTextDecimalAlign"/>
              <w:rPr>
                <w:sz w:val="16"/>
                <w:szCs w:val="16"/>
              </w:rPr>
            </w:pPr>
            <w:r w:rsidRPr="004A7561">
              <w:rPr>
                <w:sz w:val="16"/>
                <w:szCs w:val="16"/>
              </w:rPr>
              <w:t>23,625,561</w:t>
            </w:r>
          </w:p>
        </w:tc>
      </w:tr>
      <w:tr w:rsidR="00364CDE" w:rsidRPr="00E90C0F" w14:paraId="71442223" w14:textId="77777777" w:rsidTr="0099709F">
        <w:trPr>
          <w:trHeight w:val="300"/>
        </w:trPr>
        <w:tc>
          <w:tcPr>
            <w:tcW w:w="1134" w:type="dxa"/>
            <w:shd w:val="clear" w:color="auto" w:fill="auto"/>
            <w:noWrap/>
            <w:hideMark/>
          </w:tcPr>
          <w:p w14:paraId="697DD41E" w14:textId="77777777" w:rsidR="001872A8" w:rsidRPr="00E90C0F" w:rsidRDefault="001872A8" w:rsidP="00E90C0F">
            <w:pPr>
              <w:pStyle w:val="Tabletext"/>
              <w:rPr>
                <w:sz w:val="16"/>
                <w:szCs w:val="16"/>
              </w:rPr>
            </w:pPr>
            <w:r w:rsidRPr="00E90C0F">
              <w:rPr>
                <w:sz w:val="16"/>
                <w:szCs w:val="16"/>
              </w:rPr>
              <w:t>11509</w:t>
            </w:r>
          </w:p>
        </w:tc>
        <w:tc>
          <w:tcPr>
            <w:tcW w:w="768" w:type="dxa"/>
            <w:shd w:val="clear" w:color="auto" w:fill="auto"/>
            <w:noWrap/>
            <w:hideMark/>
          </w:tcPr>
          <w:p w14:paraId="1B3F802E" w14:textId="77777777" w:rsidR="001872A8" w:rsidRPr="004A7561" w:rsidRDefault="001872A8" w:rsidP="004A7561">
            <w:pPr>
              <w:pStyle w:val="TableTextDecimalAlign"/>
              <w:rPr>
                <w:sz w:val="16"/>
                <w:szCs w:val="16"/>
              </w:rPr>
            </w:pPr>
            <w:r w:rsidRPr="004A7561">
              <w:rPr>
                <w:sz w:val="16"/>
                <w:szCs w:val="16"/>
              </w:rPr>
              <w:t>7,544</w:t>
            </w:r>
          </w:p>
        </w:tc>
        <w:tc>
          <w:tcPr>
            <w:tcW w:w="910" w:type="dxa"/>
            <w:shd w:val="clear" w:color="auto" w:fill="auto"/>
            <w:noWrap/>
            <w:hideMark/>
          </w:tcPr>
          <w:p w14:paraId="6E253329" w14:textId="77777777" w:rsidR="001872A8" w:rsidRPr="004A7561" w:rsidRDefault="001872A8" w:rsidP="004A7561">
            <w:pPr>
              <w:pStyle w:val="TableTextDecimalAlign"/>
              <w:rPr>
                <w:sz w:val="16"/>
                <w:szCs w:val="16"/>
              </w:rPr>
            </w:pPr>
            <w:r w:rsidRPr="004A7561">
              <w:rPr>
                <w:sz w:val="16"/>
                <w:szCs w:val="16"/>
              </w:rPr>
              <w:t>469</w:t>
            </w:r>
          </w:p>
        </w:tc>
        <w:tc>
          <w:tcPr>
            <w:tcW w:w="909" w:type="dxa"/>
            <w:shd w:val="clear" w:color="auto" w:fill="auto"/>
            <w:noWrap/>
            <w:hideMark/>
          </w:tcPr>
          <w:p w14:paraId="24288C8E" w14:textId="77777777" w:rsidR="001872A8" w:rsidRPr="004A7561" w:rsidRDefault="001872A8" w:rsidP="004A7561">
            <w:pPr>
              <w:pStyle w:val="TableTextDecimalAlign"/>
              <w:rPr>
                <w:sz w:val="16"/>
                <w:szCs w:val="16"/>
              </w:rPr>
            </w:pPr>
            <w:r w:rsidRPr="004A7561">
              <w:rPr>
                <w:sz w:val="16"/>
                <w:szCs w:val="16"/>
              </w:rPr>
              <w:t>6,405</w:t>
            </w:r>
          </w:p>
        </w:tc>
        <w:tc>
          <w:tcPr>
            <w:tcW w:w="910" w:type="dxa"/>
            <w:shd w:val="clear" w:color="auto" w:fill="auto"/>
            <w:noWrap/>
            <w:hideMark/>
          </w:tcPr>
          <w:p w14:paraId="42A4E35A" w14:textId="77777777" w:rsidR="001872A8" w:rsidRPr="004A7561" w:rsidRDefault="001872A8" w:rsidP="004A7561">
            <w:pPr>
              <w:pStyle w:val="TableTextDecimalAlign"/>
              <w:rPr>
                <w:sz w:val="16"/>
                <w:szCs w:val="16"/>
              </w:rPr>
            </w:pPr>
            <w:r w:rsidRPr="004A7561">
              <w:rPr>
                <w:sz w:val="16"/>
                <w:szCs w:val="16"/>
              </w:rPr>
              <w:t>1,772</w:t>
            </w:r>
          </w:p>
        </w:tc>
        <w:tc>
          <w:tcPr>
            <w:tcW w:w="909" w:type="dxa"/>
            <w:shd w:val="clear" w:color="auto" w:fill="auto"/>
            <w:noWrap/>
            <w:hideMark/>
          </w:tcPr>
          <w:p w14:paraId="4AB2BD46" w14:textId="77777777" w:rsidR="001872A8" w:rsidRPr="004A7561" w:rsidRDefault="001872A8" w:rsidP="004A7561">
            <w:pPr>
              <w:pStyle w:val="TableTextDecimalAlign"/>
              <w:rPr>
                <w:sz w:val="16"/>
                <w:szCs w:val="16"/>
              </w:rPr>
            </w:pPr>
            <w:r w:rsidRPr="004A7561">
              <w:rPr>
                <w:sz w:val="16"/>
                <w:szCs w:val="16"/>
              </w:rPr>
              <w:t>351</w:t>
            </w:r>
          </w:p>
        </w:tc>
        <w:tc>
          <w:tcPr>
            <w:tcW w:w="910" w:type="dxa"/>
            <w:shd w:val="clear" w:color="auto" w:fill="auto"/>
            <w:noWrap/>
            <w:hideMark/>
          </w:tcPr>
          <w:p w14:paraId="46140E81" w14:textId="77777777" w:rsidR="001872A8" w:rsidRPr="004A7561" w:rsidRDefault="001872A8" w:rsidP="004A7561">
            <w:pPr>
              <w:pStyle w:val="TableTextDecimalAlign"/>
              <w:rPr>
                <w:sz w:val="16"/>
                <w:szCs w:val="16"/>
              </w:rPr>
            </w:pPr>
            <w:r w:rsidRPr="004A7561">
              <w:rPr>
                <w:sz w:val="16"/>
                <w:szCs w:val="16"/>
              </w:rPr>
              <w:t>221</w:t>
            </w:r>
          </w:p>
        </w:tc>
        <w:tc>
          <w:tcPr>
            <w:tcW w:w="780" w:type="dxa"/>
            <w:shd w:val="clear" w:color="auto" w:fill="auto"/>
            <w:noWrap/>
            <w:hideMark/>
          </w:tcPr>
          <w:p w14:paraId="0A7D502C" w14:textId="77777777" w:rsidR="001872A8" w:rsidRPr="004A7561" w:rsidRDefault="001872A8" w:rsidP="004A7561">
            <w:pPr>
              <w:pStyle w:val="TableTextDecimalAlign"/>
              <w:rPr>
                <w:sz w:val="16"/>
                <w:szCs w:val="16"/>
              </w:rPr>
            </w:pPr>
            <w:r w:rsidRPr="004A7561">
              <w:rPr>
                <w:sz w:val="16"/>
                <w:szCs w:val="16"/>
              </w:rPr>
              <w:t>13</w:t>
            </w:r>
          </w:p>
        </w:tc>
        <w:tc>
          <w:tcPr>
            <w:tcW w:w="850" w:type="dxa"/>
            <w:shd w:val="clear" w:color="auto" w:fill="auto"/>
            <w:noWrap/>
            <w:hideMark/>
          </w:tcPr>
          <w:p w14:paraId="04794B48" w14:textId="77777777" w:rsidR="001872A8" w:rsidRPr="004A7561" w:rsidRDefault="001872A8" w:rsidP="004A7561">
            <w:pPr>
              <w:pStyle w:val="TableTextDecimalAlign"/>
              <w:rPr>
                <w:sz w:val="16"/>
                <w:szCs w:val="16"/>
              </w:rPr>
            </w:pPr>
            <w:r w:rsidRPr="004A7561">
              <w:rPr>
                <w:sz w:val="16"/>
                <w:szCs w:val="16"/>
              </w:rPr>
              <w:t>28</w:t>
            </w:r>
          </w:p>
        </w:tc>
        <w:tc>
          <w:tcPr>
            <w:tcW w:w="1134" w:type="dxa"/>
            <w:shd w:val="clear" w:color="auto" w:fill="auto"/>
            <w:noWrap/>
            <w:hideMark/>
          </w:tcPr>
          <w:p w14:paraId="3C49AB79" w14:textId="77777777" w:rsidR="001872A8" w:rsidRPr="004A7561" w:rsidRDefault="001872A8" w:rsidP="004A7561">
            <w:pPr>
              <w:pStyle w:val="TableTextDecimalAlign"/>
              <w:rPr>
                <w:sz w:val="16"/>
                <w:szCs w:val="16"/>
              </w:rPr>
            </w:pPr>
            <w:r w:rsidRPr="004A7561">
              <w:rPr>
                <w:sz w:val="16"/>
                <w:szCs w:val="16"/>
              </w:rPr>
              <w:t>16,804</w:t>
            </w:r>
          </w:p>
        </w:tc>
      </w:tr>
      <w:tr w:rsidR="00364CDE" w:rsidRPr="00E90C0F" w14:paraId="047D42F4" w14:textId="77777777" w:rsidTr="0099709F">
        <w:trPr>
          <w:trHeight w:val="300"/>
        </w:trPr>
        <w:tc>
          <w:tcPr>
            <w:tcW w:w="1134" w:type="dxa"/>
            <w:shd w:val="clear" w:color="auto" w:fill="auto"/>
            <w:noWrap/>
            <w:hideMark/>
          </w:tcPr>
          <w:p w14:paraId="5DDE891B" w14:textId="77777777" w:rsidR="001872A8" w:rsidRPr="00E90C0F" w:rsidRDefault="001872A8" w:rsidP="00E90C0F">
            <w:pPr>
              <w:pStyle w:val="Tabletext"/>
              <w:rPr>
                <w:sz w:val="16"/>
                <w:szCs w:val="16"/>
              </w:rPr>
            </w:pPr>
            <w:r w:rsidRPr="00E90C0F">
              <w:rPr>
                <w:sz w:val="16"/>
                <w:szCs w:val="16"/>
              </w:rPr>
              <w:t>Service rate per 1,000</w:t>
            </w:r>
          </w:p>
        </w:tc>
        <w:tc>
          <w:tcPr>
            <w:tcW w:w="768" w:type="dxa"/>
            <w:shd w:val="clear" w:color="auto" w:fill="auto"/>
            <w:noWrap/>
            <w:hideMark/>
          </w:tcPr>
          <w:p w14:paraId="3D3EBC55" w14:textId="77777777" w:rsidR="001872A8" w:rsidRPr="004A7561" w:rsidRDefault="001872A8" w:rsidP="004A7561">
            <w:pPr>
              <w:pStyle w:val="TableTextDecimalAlign"/>
              <w:rPr>
                <w:sz w:val="16"/>
                <w:szCs w:val="16"/>
              </w:rPr>
            </w:pPr>
            <w:r w:rsidRPr="004A7561">
              <w:rPr>
                <w:sz w:val="16"/>
                <w:szCs w:val="16"/>
              </w:rPr>
              <w:t>1</w:t>
            </w:r>
          </w:p>
        </w:tc>
        <w:tc>
          <w:tcPr>
            <w:tcW w:w="910" w:type="dxa"/>
            <w:shd w:val="clear" w:color="auto" w:fill="auto"/>
            <w:noWrap/>
            <w:hideMark/>
          </w:tcPr>
          <w:p w14:paraId="2ACBD575" w14:textId="77777777" w:rsidR="001872A8" w:rsidRPr="004A7561" w:rsidRDefault="001872A8" w:rsidP="004A7561">
            <w:pPr>
              <w:pStyle w:val="TableTextDecimalAlign"/>
              <w:rPr>
                <w:sz w:val="16"/>
                <w:szCs w:val="16"/>
              </w:rPr>
            </w:pPr>
            <w:r w:rsidRPr="004A7561">
              <w:rPr>
                <w:sz w:val="16"/>
                <w:szCs w:val="16"/>
              </w:rPr>
              <w:t>0.1</w:t>
            </w:r>
          </w:p>
        </w:tc>
        <w:tc>
          <w:tcPr>
            <w:tcW w:w="909" w:type="dxa"/>
            <w:shd w:val="clear" w:color="auto" w:fill="auto"/>
            <w:noWrap/>
            <w:hideMark/>
          </w:tcPr>
          <w:p w14:paraId="68C8B567" w14:textId="77777777" w:rsidR="001872A8" w:rsidRPr="004A7561" w:rsidRDefault="001872A8" w:rsidP="004A7561">
            <w:pPr>
              <w:pStyle w:val="TableTextDecimalAlign"/>
              <w:rPr>
                <w:sz w:val="16"/>
                <w:szCs w:val="16"/>
              </w:rPr>
            </w:pPr>
            <w:r w:rsidRPr="004A7561">
              <w:rPr>
                <w:sz w:val="16"/>
                <w:szCs w:val="16"/>
              </w:rPr>
              <w:t>1.3</w:t>
            </w:r>
          </w:p>
        </w:tc>
        <w:tc>
          <w:tcPr>
            <w:tcW w:w="910" w:type="dxa"/>
            <w:shd w:val="clear" w:color="auto" w:fill="auto"/>
            <w:noWrap/>
            <w:hideMark/>
          </w:tcPr>
          <w:p w14:paraId="76E430B1" w14:textId="77777777" w:rsidR="001872A8" w:rsidRPr="004A7561" w:rsidRDefault="001872A8" w:rsidP="004A7561">
            <w:pPr>
              <w:pStyle w:val="TableTextDecimalAlign"/>
              <w:rPr>
                <w:sz w:val="16"/>
                <w:szCs w:val="16"/>
              </w:rPr>
            </w:pPr>
            <w:r w:rsidRPr="004A7561">
              <w:rPr>
                <w:sz w:val="16"/>
                <w:szCs w:val="16"/>
              </w:rPr>
              <w:t>1</w:t>
            </w:r>
          </w:p>
        </w:tc>
        <w:tc>
          <w:tcPr>
            <w:tcW w:w="909" w:type="dxa"/>
            <w:shd w:val="clear" w:color="auto" w:fill="auto"/>
            <w:noWrap/>
            <w:hideMark/>
          </w:tcPr>
          <w:p w14:paraId="2B2CF54E" w14:textId="77777777" w:rsidR="001872A8" w:rsidRPr="004A7561" w:rsidRDefault="001872A8" w:rsidP="004A7561">
            <w:pPr>
              <w:pStyle w:val="TableTextDecimalAlign"/>
              <w:rPr>
                <w:sz w:val="16"/>
                <w:szCs w:val="16"/>
              </w:rPr>
            </w:pPr>
            <w:r w:rsidRPr="004A7561">
              <w:rPr>
                <w:sz w:val="16"/>
                <w:szCs w:val="16"/>
              </w:rPr>
              <w:t>0.1</w:t>
            </w:r>
          </w:p>
        </w:tc>
        <w:tc>
          <w:tcPr>
            <w:tcW w:w="910" w:type="dxa"/>
            <w:shd w:val="clear" w:color="auto" w:fill="auto"/>
            <w:noWrap/>
            <w:hideMark/>
          </w:tcPr>
          <w:p w14:paraId="76CB86AD" w14:textId="77777777" w:rsidR="001872A8" w:rsidRPr="004A7561" w:rsidRDefault="001872A8" w:rsidP="004A7561">
            <w:pPr>
              <w:pStyle w:val="TableTextDecimalAlign"/>
              <w:rPr>
                <w:sz w:val="16"/>
                <w:szCs w:val="16"/>
              </w:rPr>
            </w:pPr>
            <w:r w:rsidRPr="004A7561">
              <w:rPr>
                <w:sz w:val="16"/>
                <w:szCs w:val="16"/>
              </w:rPr>
              <w:t>0.4</w:t>
            </w:r>
          </w:p>
        </w:tc>
        <w:tc>
          <w:tcPr>
            <w:tcW w:w="780" w:type="dxa"/>
            <w:shd w:val="clear" w:color="auto" w:fill="auto"/>
            <w:noWrap/>
            <w:hideMark/>
          </w:tcPr>
          <w:p w14:paraId="78FA96C7" w14:textId="77777777" w:rsidR="001872A8" w:rsidRPr="004A7561" w:rsidRDefault="001872A8" w:rsidP="004A7561">
            <w:pPr>
              <w:pStyle w:val="TableTextDecimalAlign"/>
              <w:rPr>
                <w:sz w:val="16"/>
                <w:szCs w:val="16"/>
              </w:rPr>
            </w:pPr>
            <w:r w:rsidRPr="004A7561">
              <w:rPr>
                <w:sz w:val="16"/>
                <w:szCs w:val="16"/>
              </w:rPr>
              <w:t>0.1</w:t>
            </w:r>
          </w:p>
        </w:tc>
        <w:tc>
          <w:tcPr>
            <w:tcW w:w="850" w:type="dxa"/>
            <w:shd w:val="clear" w:color="auto" w:fill="auto"/>
            <w:noWrap/>
            <w:hideMark/>
          </w:tcPr>
          <w:p w14:paraId="40773AEB" w14:textId="77777777" w:rsidR="001872A8" w:rsidRPr="004A7561" w:rsidRDefault="001872A8" w:rsidP="004A7561">
            <w:pPr>
              <w:pStyle w:val="TableTextDecimalAlign"/>
              <w:rPr>
                <w:sz w:val="16"/>
                <w:szCs w:val="16"/>
              </w:rPr>
            </w:pPr>
            <w:r w:rsidRPr="004A7561">
              <w:rPr>
                <w:sz w:val="16"/>
                <w:szCs w:val="16"/>
              </w:rPr>
              <w:t>0.1</w:t>
            </w:r>
          </w:p>
        </w:tc>
        <w:tc>
          <w:tcPr>
            <w:tcW w:w="1134" w:type="dxa"/>
            <w:shd w:val="clear" w:color="auto" w:fill="auto"/>
            <w:noWrap/>
            <w:hideMark/>
          </w:tcPr>
          <w:p w14:paraId="391C0F21" w14:textId="77777777" w:rsidR="001872A8" w:rsidRPr="004A7561" w:rsidRDefault="001872A8" w:rsidP="004A7561">
            <w:pPr>
              <w:pStyle w:val="TableTextDecimalAlign"/>
              <w:rPr>
                <w:sz w:val="16"/>
                <w:szCs w:val="16"/>
              </w:rPr>
            </w:pPr>
            <w:r w:rsidRPr="004A7561">
              <w:rPr>
                <w:sz w:val="16"/>
                <w:szCs w:val="16"/>
              </w:rPr>
              <w:t>0.7</w:t>
            </w:r>
          </w:p>
        </w:tc>
      </w:tr>
    </w:tbl>
    <w:p w14:paraId="547E3593" w14:textId="77777777" w:rsidR="00FF6AB5" w:rsidRDefault="001872A8" w:rsidP="004A7561">
      <w:pPr>
        <w:pStyle w:val="TableUnderLast"/>
      </w:pPr>
      <w:r w:rsidRPr="00577935">
        <w:rPr>
          <w:rFonts w:eastAsiaTheme="minorHAnsi"/>
        </w:rPr>
        <w:t xml:space="preserve">* Estimated </w:t>
      </w:r>
      <w:r w:rsidRPr="008F23CC">
        <w:rPr>
          <w:rFonts w:eastAsiaTheme="minorHAnsi"/>
        </w:rPr>
        <w:t>residential</w:t>
      </w:r>
      <w:r w:rsidRPr="00577935">
        <w:rPr>
          <w:rFonts w:eastAsiaTheme="minorHAnsi"/>
        </w:rPr>
        <w:t xml:space="preserve"> population at December 2014 (ABS). </w:t>
      </w:r>
      <w:r w:rsidRPr="00577935">
        <w:t xml:space="preserve">Note that states with a service rate greater than 1 standard deviation from the mean are </w:t>
      </w:r>
      <w:r w:rsidR="00142B3D">
        <w:t>NSW and SA</w:t>
      </w:r>
      <w:r w:rsidRPr="00577935">
        <w:t>.</w:t>
      </w:r>
      <w:r w:rsidR="005A38A8" w:rsidRPr="005A38A8">
        <w:t xml:space="preserve"> Unpublished data (Department of Health)</w:t>
      </w:r>
    </w:p>
    <w:p w14:paraId="08DA2551" w14:textId="77777777" w:rsidR="001872A8" w:rsidRPr="007F0A36" w:rsidRDefault="00006172" w:rsidP="00006172">
      <w:pPr>
        <w:pStyle w:val="Caption"/>
      </w:pPr>
      <w:bookmarkStart w:id="339" w:name="_Toc478721565"/>
      <w:r>
        <w:t>Table B6:</w:t>
      </w:r>
      <w:r>
        <w:tab/>
      </w:r>
      <w:r w:rsidR="00BE39AE">
        <w:t xml:space="preserve">Percentage </w:t>
      </w:r>
      <w:r w:rsidR="00045147">
        <w:t xml:space="preserve">of </w:t>
      </w:r>
      <w:r w:rsidR="00045147" w:rsidRPr="00045147">
        <w:t>services</w:t>
      </w:r>
      <w:r w:rsidR="001872A8" w:rsidRPr="00045147">
        <w:t xml:space="preserve"> by specialty group - 11509, 2014-</w:t>
      </w:r>
      <w:r w:rsidR="00045147" w:rsidRPr="00E52BC8">
        <w:t>15</w:t>
      </w:r>
      <w:bookmarkEnd w:id="339"/>
    </w:p>
    <w:tbl>
      <w:tblPr>
        <w:tblW w:w="9072" w:type="dxa"/>
        <w:tblInd w:w="93" w:type="dxa"/>
        <w:tblBorders>
          <w:top w:val="single" w:sz="4" w:space="0" w:color="B56011"/>
          <w:bottom w:val="single" w:sz="4" w:space="0" w:color="B56011"/>
          <w:insideH w:val="single" w:sz="4" w:space="0" w:color="B56011"/>
        </w:tblBorders>
        <w:tblLook w:val="04A0" w:firstRow="1" w:lastRow="0" w:firstColumn="1" w:lastColumn="0" w:noHBand="0" w:noVBand="1"/>
        <w:tblDescription w:val="Table B6 provides the number of services provided for item 11509 in 2014-2015 by the specialities respiratory and sleep medicine, internal medicine, immunology and allergy, pathology, paediatric medicine and geriatric medicine, and by GPs and other groups."/>
      </w:tblPr>
      <w:tblGrid>
        <w:gridCol w:w="5419"/>
        <w:gridCol w:w="1826"/>
        <w:gridCol w:w="1827"/>
      </w:tblGrid>
      <w:tr w:rsidR="001872A8" w:rsidRPr="00A403FC" w14:paraId="64B3B371" w14:textId="77777777" w:rsidTr="00FF6AB5">
        <w:trPr>
          <w:trHeight w:val="334"/>
          <w:tblHeader/>
        </w:trPr>
        <w:tc>
          <w:tcPr>
            <w:tcW w:w="0" w:type="auto"/>
            <w:shd w:val="clear" w:color="auto" w:fill="auto"/>
            <w:noWrap/>
            <w:hideMark/>
          </w:tcPr>
          <w:p w14:paraId="33D650E5" w14:textId="77777777" w:rsidR="001872A8" w:rsidRPr="00A403FC" w:rsidRDefault="001872A8" w:rsidP="00A403FC">
            <w:pPr>
              <w:pStyle w:val="Tableheading"/>
            </w:pPr>
            <w:r w:rsidRPr="00A403FC">
              <w:t>Specialty group</w:t>
            </w:r>
          </w:p>
        </w:tc>
        <w:tc>
          <w:tcPr>
            <w:tcW w:w="1826" w:type="dxa"/>
            <w:shd w:val="clear" w:color="auto" w:fill="auto"/>
            <w:hideMark/>
          </w:tcPr>
          <w:p w14:paraId="3FEA2B12" w14:textId="77777777" w:rsidR="001872A8" w:rsidRPr="00A403FC" w:rsidRDefault="001872A8" w:rsidP="000B202F">
            <w:pPr>
              <w:pStyle w:val="Tableheading"/>
              <w:jc w:val="center"/>
            </w:pPr>
            <w:r w:rsidRPr="00A403FC">
              <w:t>11509</w:t>
            </w:r>
          </w:p>
        </w:tc>
        <w:tc>
          <w:tcPr>
            <w:tcW w:w="1827" w:type="dxa"/>
            <w:shd w:val="clear" w:color="auto" w:fill="auto"/>
            <w:hideMark/>
          </w:tcPr>
          <w:p w14:paraId="15832F21" w14:textId="77777777" w:rsidR="001872A8" w:rsidRPr="00A403FC" w:rsidRDefault="001872A8" w:rsidP="00A403FC">
            <w:pPr>
              <w:pStyle w:val="Tableheading"/>
            </w:pPr>
            <w:r w:rsidRPr="00A403FC">
              <w:t>% of total services</w:t>
            </w:r>
          </w:p>
        </w:tc>
      </w:tr>
      <w:tr w:rsidR="001872A8" w:rsidRPr="00A403FC" w14:paraId="5C8D6B20" w14:textId="77777777" w:rsidTr="00364CDE">
        <w:trPr>
          <w:trHeight w:val="300"/>
        </w:trPr>
        <w:tc>
          <w:tcPr>
            <w:tcW w:w="0" w:type="auto"/>
            <w:shd w:val="clear" w:color="auto" w:fill="auto"/>
            <w:noWrap/>
            <w:hideMark/>
          </w:tcPr>
          <w:p w14:paraId="5CF7E791" w14:textId="77777777" w:rsidR="001872A8" w:rsidRPr="00A403FC" w:rsidRDefault="001872A8" w:rsidP="00A403FC">
            <w:pPr>
              <w:pStyle w:val="Tabletext"/>
            </w:pPr>
            <w:r w:rsidRPr="00A403FC">
              <w:t>Specialist - Respiratory and Sleep Medicine</w:t>
            </w:r>
          </w:p>
        </w:tc>
        <w:tc>
          <w:tcPr>
            <w:tcW w:w="1826" w:type="dxa"/>
            <w:shd w:val="clear" w:color="auto" w:fill="auto"/>
            <w:hideMark/>
          </w:tcPr>
          <w:p w14:paraId="2D7B86A2" w14:textId="77777777" w:rsidR="001872A8" w:rsidRPr="00A403FC" w:rsidRDefault="001872A8" w:rsidP="000B202F">
            <w:pPr>
              <w:pStyle w:val="TableTextDecimalAlign"/>
            </w:pPr>
            <w:r w:rsidRPr="00A403FC">
              <w:t>8,181</w:t>
            </w:r>
          </w:p>
        </w:tc>
        <w:tc>
          <w:tcPr>
            <w:tcW w:w="1827" w:type="dxa"/>
            <w:shd w:val="clear" w:color="auto" w:fill="auto"/>
            <w:hideMark/>
          </w:tcPr>
          <w:p w14:paraId="76E8D056" w14:textId="77777777" w:rsidR="001872A8" w:rsidRPr="00A403FC" w:rsidRDefault="001872A8" w:rsidP="000B202F">
            <w:pPr>
              <w:pStyle w:val="TableTextDecimalAlign"/>
            </w:pPr>
            <w:r w:rsidRPr="00A403FC">
              <w:t>49%</w:t>
            </w:r>
          </w:p>
        </w:tc>
      </w:tr>
      <w:tr w:rsidR="001872A8" w:rsidRPr="00A403FC" w14:paraId="10C50AE3" w14:textId="77777777" w:rsidTr="00364CDE">
        <w:trPr>
          <w:trHeight w:val="300"/>
        </w:trPr>
        <w:tc>
          <w:tcPr>
            <w:tcW w:w="0" w:type="auto"/>
            <w:shd w:val="clear" w:color="auto" w:fill="auto"/>
            <w:noWrap/>
            <w:hideMark/>
          </w:tcPr>
          <w:p w14:paraId="38539C71" w14:textId="77777777" w:rsidR="001872A8" w:rsidRPr="00A403FC" w:rsidRDefault="001872A8" w:rsidP="00A403FC">
            <w:pPr>
              <w:pStyle w:val="Tabletext"/>
            </w:pPr>
            <w:r w:rsidRPr="00A403FC">
              <w:t>Specialist - Internal Medicine</w:t>
            </w:r>
          </w:p>
        </w:tc>
        <w:tc>
          <w:tcPr>
            <w:tcW w:w="1826" w:type="dxa"/>
            <w:shd w:val="clear" w:color="auto" w:fill="auto"/>
            <w:hideMark/>
          </w:tcPr>
          <w:p w14:paraId="7AA57184" w14:textId="77777777" w:rsidR="001872A8" w:rsidRPr="00A403FC" w:rsidRDefault="001872A8" w:rsidP="000B202F">
            <w:pPr>
              <w:pStyle w:val="TableTextDecimalAlign"/>
            </w:pPr>
            <w:r w:rsidRPr="00A403FC">
              <w:t>2,524</w:t>
            </w:r>
          </w:p>
        </w:tc>
        <w:tc>
          <w:tcPr>
            <w:tcW w:w="1827" w:type="dxa"/>
            <w:shd w:val="clear" w:color="auto" w:fill="auto"/>
            <w:hideMark/>
          </w:tcPr>
          <w:p w14:paraId="3800C652" w14:textId="77777777" w:rsidR="001872A8" w:rsidRPr="00A403FC" w:rsidRDefault="001872A8" w:rsidP="000B202F">
            <w:pPr>
              <w:pStyle w:val="TableTextDecimalAlign"/>
            </w:pPr>
            <w:r w:rsidRPr="00A403FC">
              <w:t>15%</w:t>
            </w:r>
          </w:p>
        </w:tc>
      </w:tr>
      <w:tr w:rsidR="001872A8" w:rsidRPr="00A403FC" w14:paraId="6366A2CC" w14:textId="77777777" w:rsidTr="00364CDE">
        <w:trPr>
          <w:trHeight w:val="300"/>
        </w:trPr>
        <w:tc>
          <w:tcPr>
            <w:tcW w:w="0" w:type="auto"/>
            <w:shd w:val="clear" w:color="auto" w:fill="auto"/>
            <w:noWrap/>
            <w:hideMark/>
          </w:tcPr>
          <w:p w14:paraId="723F6ACC" w14:textId="77777777" w:rsidR="001872A8" w:rsidRPr="00A403FC" w:rsidRDefault="001872A8" w:rsidP="00A403FC">
            <w:pPr>
              <w:pStyle w:val="Tabletext"/>
            </w:pPr>
            <w:r w:rsidRPr="00A403FC">
              <w:t>Specialist - Immunology and Allergy</w:t>
            </w:r>
          </w:p>
        </w:tc>
        <w:tc>
          <w:tcPr>
            <w:tcW w:w="1826" w:type="dxa"/>
            <w:shd w:val="clear" w:color="auto" w:fill="auto"/>
            <w:hideMark/>
          </w:tcPr>
          <w:p w14:paraId="05F10721" w14:textId="77777777" w:rsidR="001872A8" w:rsidRPr="00A403FC" w:rsidRDefault="001872A8" w:rsidP="000B202F">
            <w:pPr>
              <w:pStyle w:val="TableTextDecimalAlign"/>
            </w:pPr>
            <w:r w:rsidRPr="00A403FC">
              <w:t>1,905</w:t>
            </w:r>
          </w:p>
        </w:tc>
        <w:tc>
          <w:tcPr>
            <w:tcW w:w="1827" w:type="dxa"/>
            <w:shd w:val="clear" w:color="auto" w:fill="auto"/>
            <w:hideMark/>
          </w:tcPr>
          <w:p w14:paraId="0AAB2993" w14:textId="77777777" w:rsidR="001872A8" w:rsidRPr="00A403FC" w:rsidRDefault="001872A8" w:rsidP="000B202F">
            <w:pPr>
              <w:pStyle w:val="TableTextDecimalAlign"/>
            </w:pPr>
            <w:r w:rsidRPr="00A403FC">
              <w:t>11%</w:t>
            </w:r>
          </w:p>
        </w:tc>
      </w:tr>
      <w:tr w:rsidR="001872A8" w:rsidRPr="00A403FC" w14:paraId="18912BC8" w14:textId="77777777" w:rsidTr="00364CDE">
        <w:trPr>
          <w:trHeight w:val="300"/>
        </w:trPr>
        <w:tc>
          <w:tcPr>
            <w:tcW w:w="0" w:type="auto"/>
            <w:shd w:val="clear" w:color="auto" w:fill="auto"/>
            <w:noWrap/>
            <w:hideMark/>
          </w:tcPr>
          <w:p w14:paraId="7380675D" w14:textId="77777777" w:rsidR="001872A8" w:rsidRPr="00A403FC" w:rsidRDefault="001872A8" w:rsidP="00A403FC">
            <w:pPr>
              <w:pStyle w:val="Tabletext"/>
            </w:pPr>
            <w:r w:rsidRPr="00A403FC">
              <w:t>Specialist - Pathology</w:t>
            </w:r>
          </w:p>
        </w:tc>
        <w:tc>
          <w:tcPr>
            <w:tcW w:w="1826" w:type="dxa"/>
            <w:shd w:val="clear" w:color="auto" w:fill="auto"/>
            <w:hideMark/>
          </w:tcPr>
          <w:p w14:paraId="200A5346" w14:textId="77777777" w:rsidR="001872A8" w:rsidRPr="00A403FC" w:rsidRDefault="001872A8" w:rsidP="000B202F">
            <w:pPr>
              <w:pStyle w:val="TableTextDecimalAlign"/>
            </w:pPr>
            <w:r w:rsidRPr="00A403FC">
              <w:t>1,344</w:t>
            </w:r>
          </w:p>
        </w:tc>
        <w:tc>
          <w:tcPr>
            <w:tcW w:w="1827" w:type="dxa"/>
            <w:shd w:val="clear" w:color="auto" w:fill="auto"/>
            <w:hideMark/>
          </w:tcPr>
          <w:p w14:paraId="47295AE7" w14:textId="77777777" w:rsidR="001872A8" w:rsidRPr="00A403FC" w:rsidRDefault="001872A8" w:rsidP="000B202F">
            <w:pPr>
              <w:pStyle w:val="TableTextDecimalAlign"/>
            </w:pPr>
            <w:r w:rsidRPr="00A403FC">
              <w:t>8%</w:t>
            </w:r>
          </w:p>
        </w:tc>
      </w:tr>
      <w:tr w:rsidR="001872A8" w:rsidRPr="00A403FC" w14:paraId="12DB2B0C" w14:textId="77777777" w:rsidTr="00364CDE">
        <w:trPr>
          <w:trHeight w:val="300"/>
        </w:trPr>
        <w:tc>
          <w:tcPr>
            <w:tcW w:w="0" w:type="auto"/>
            <w:shd w:val="clear" w:color="auto" w:fill="auto"/>
            <w:noWrap/>
            <w:hideMark/>
          </w:tcPr>
          <w:p w14:paraId="144965A9" w14:textId="77777777" w:rsidR="001872A8" w:rsidRPr="00A403FC" w:rsidRDefault="001872A8" w:rsidP="00A403FC">
            <w:pPr>
              <w:pStyle w:val="Tabletext"/>
            </w:pPr>
            <w:r w:rsidRPr="00A403FC">
              <w:t>Specialist - Paediatric Medicine</w:t>
            </w:r>
          </w:p>
        </w:tc>
        <w:tc>
          <w:tcPr>
            <w:tcW w:w="1826" w:type="dxa"/>
            <w:shd w:val="clear" w:color="auto" w:fill="auto"/>
            <w:hideMark/>
          </w:tcPr>
          <w:p w14:paraId="5ECDBB3E" w14:textId="77777777" w:rsidR="001872A8" w:rsidRPr="00A403FC" w:rsidRDefault="001872A8" w:rsidP="000B202F">
            <w:pPr>
              <w:pStyle w:val="TableTextDecimalAlign"/>
            </w:pPr>
            <w:r w:rsidRPr="00A403FC">
              <w:t>1,111</w:t>
            </w:r>
          </w:p>
        </w:tc>
        <w:tc>
          <w:tcPr>
            <w:tcW w:w="1827" w:type="dxa"/>
            <w:shd w:val="clear" w:color="auto" w:fill="auto"/>
            <w:hideMark/>
          </w:tcPr>
          <w:p w14:paraId="159511DE" w14:textId="77777777" w:rsidR="001872A8" w:rsidRPr="00A403FC" w:rsidRDefault="001872A8" w:rsidP="000B202F">
            <w:pPr>
              <w:pStyle w:val="TableTextDecimalAlign"/>
            </w:pPr>
            <w:r w:rsidRPr="00A403FC">
              <w:t>7%</w:t>
            </w:r>
          </w:p>
        </w:tc>
      </w:tr>
      <w:tr w:rsidR="001872A8" w:rsidRPr="00A403FC" w14:paraId="70CFF3F9" w14:textId="77777777" w:rsidTr="00364CDE">
        <w:trPr>
          <w:trHeight w:val="300"/>
        </w:trPr>
        <w:tc>
          <w:tcPr>
            <w:tcW w:w="0" w:type="auto"/>
            <w:shd w:val="clear" w:color="auto" w:fill="auto"/>
            <w:noWrap/>
            <w:hideMark/>
          </w:tcPr>
          <w:p w14:paraId="7D0F2414" w14:textId="77777777" w:rsidR="001872A8" w:rsidRPr="00A403FC" w:rsidRDefault="001872A8" w:rsidP="00A403FC">
            <w:pPr>
              <w:pStyle w:val="Tabletext"/>
            </w:pPr>
            <w:r w:rsidRPr="00A403FC">
              <w:t xml:space="preserve">GP </w:t>
            </w:r>
            <w:r w:rsidR="00142B3D">
              <w:t>–</w:t>
            </w:r>
            <w:r w:rsidRPr="00A403FC">
              <w:t xml:space="preserve"> V</w:t>
            </w:r>
            <w:r w:rsidR="00142B3D">
              <w:t xml:space="preserve">ocationally </w:t>
            </w:r>
            <w:r w:rsidRPr="00A403FC">
              <w:t>R</w:t>
            </w:r>
            <w:r w:rsidR="00142B3D">
              <w:t xml:space="preserve">egistered </w:t>
            </w:r>
            <w:r w:rsidRPr="00A403FC">
              <w:t>G</w:t>
            </w:r>
            <w:r w:rsidR="00142B3D">
              <w:t xml:space="preserve">eneral </w:t>
            </w:r>
            <w:r w:rsidRPr="00A403FC">
              <w:t>P</w:t>
            </w:r>
            <w:r w:rsidR="00142B3D">
              <w:t>ractitioner</w:t>
            </w:r>
          </w:p>
        </w:tc>
        <w:tc>
          <w:tcPr>
            <w:tcW w:w="1826" w:type="dxa"/>
            <w:shd w:val="clear" w:color="auto" w:fill="auto"/>
            <w:hideMark/>
          </w:tcPr>
          <w:p w14:paraId="48E8005C" w14:textId="77777777" w:rsidR="001872A8" w:rsidRPr="00A403FC" w:rsidRDefault="001872A8" w:rsidP="000B202F">
            <w:pPr>
              <w:pStyle w:val="TableTextDecimalAlign"/>
            </w:pPr>
            <w:r w:rsidRPr="00A403FC">
              <w:t>465</w:t>
            </w:r>
          </w:p>
        </w:tc>
        <w:tc>
          <w:tcPr>
            <w:tcW w:w="1827" w:type="dxa"/>
            <w:shd w:val="clear" w:color="auto" w:fill="auto"/>
            <w:hideMark/>
          </w:tcPr>
          <w:p w14:paraId="0762B53F" w14:textId="77777777" w:rsidR="001872A8" w:rsidRPr="00A403FC" w:rsidRDefault="001872A8" w:rsidP="000B202F">
            <w:pPr>
              <w:pStyle w:val="TableTextDecimalAlign"/>
            </w:pPr>
            <w:r w:rsidRPr="00A403FC">
              <w:t>3%</w:t>
            </w:r>
          </w:p>
        </w:tc>
      </w:tr>
      <w:tr w:rsidR="001872A8" w:rsidRPr="00A403FC" w14:paraId="6C445156" w14:textId="77777777" w:rsidTr="00364CDE">
        <w:trPr>
          <w:trHeight w:val="300"/>
        </w:trPr>
        <w:tc>
          <w:tcPr>
            <w:tcW w:w="0" w:type="auto"/>
            <w:shd w:val="clear" w:color="auto" w:fill="auto"/>
            <w:noWrap/>
            <w:hideMark/>
          </w:tcPr>
          <w:p w14:paraId="74CF793C" w14:textId="77777777" w:rsidR="001872A8" w:rsidRPr="00A403FC" w:rsidRDefault="001872A8" w:rsidP="00A403FC">
            <w:pPr>
              <w:pStyle w:val="Tabletext"/>
            </w:pPr>
            <w:r w:rsidRPr="00A403FC">
              <w:t>Specialist - Geriatric Medicine</w:t>
            </w:r>
          </w:p>
        </w:tc>
        <w:tc>
          <w:tcPr>
            <w:tcW w:w="1826" w:type="dxa"/>
            <w:shd w:val="clear" w:color="auto" w:fill="auto"/>
            <w:hideMark/>
          </w:tcPr>
          <w:p w14:paraId="566AF4A6" w14:textId="77777777" w:rsidR="001872A8" w:rsidRPr="00A403FC" w:rsidRDefault="001872A8" w:rsidP="000B202F">
            <w:pPr>
              <w:pStyle w:val="TableTextDecimalAlign"/>
            </w:pPr>
            <w:r w:rsidRPr="00A403FC">
              <w:t>463</w:t>
            </w:r>
          </w:p>
        </w:tc>
        <w:tc>
          <w:tcPr>
            <w:tcW w:w="1827" w:type="dxa"/>
            <w:shd w:val="clear" w:color="auto" w:fill="auto"/>
            <w:hideMark/>
          </w:tcPr>
          <w:p w14:paraId="603855E6" w14:textId="77777777" w:rsidR="001872A8" w:rsidRPr="00A403FC" w:rsidRDefault="001872A8" w:rsidP="000B202F">
            <w:pPr>
              <w:pStyle w:val="TableTextDecimalAlign"/>
            </w:pPr>
            <w:r w:rsidRPr="00A403FC">
              <w:t>3%</w:t>
            </w:r>
          </w:p>
        </w:tc>
      </w:tr>
      <w:tr w:rsidR="001872A8" w:rsidRPr="00A403FC" w14:paraId="0B29F372" w14:textId="77777777" w:rsidTr="00364CDE">
        <w:trPr>
          <w:trHeight w:val="300"/>
        </w:trPr>
        <w:tc>
          <w:tcPr>
            <w:tcW w:w="0" w:type="auto"/>
            <w:shd w:val="clear" w:color="auto" w:fill="auto"/>
            <w:noWrap/>
            <w:hideMark/>
          </w:tcPr>
          <w:p w14:paraId="13F148F4" w14:textId="77777777" w:rsidR="001872A8" w:rsidRPr="00A403FC" w:rsidRDefault="001872A8" w:rsidP="00A403FC">
            <w:pPr>
              <w:pStyle w:val="Tabletext"/>
            </w:pPr>
            <w:r w:rsidRPr="00A403FC">
              <w:t>Other</w:t>
            </w:r>
          </w:p>
        </w:tc>
        <w:tc>
          <w:tcPr>
            <w:tcW w:w="1826" w:type="dxa"/>
            <w:shd w:val="clear" w:color="auto" w:fill="auto"/>
            <w:hideMark/>
          </w:tcPr>
          <w:p w14:paraId="2A888418" w14:textId="77777777" w:rsidR="001872A8" w:rsidRPr="00A403FC" w:rsidRDefault="001872A8" w:rsidP="000B202F">
            <w:pPr>
              <w:pStyle w:val="TableTextDecimalAlign"/>
            </w:pPr>
            <w:r w:rsidRPr="00A403FC">
              <w:t>808</w:t>
            </w:r>
          </w:p>
        </w:tc>
        <w:tc>
          <w:tcPr>
            <w:tcW w:w="1827" w:type="dxa"/>
            <w:shd w:val="clear" w:color="auto" w:fill="auto"/>
            <w:hideMark/>
          </w:tcPr>
          <w:p w14:paraId="5240632F" w14:textId="77777777" w:rsidR="001872A8" w:rsidRPr="00A403FC" w:rsidRDefault="001872A8" w:rsidP="000B202F">
            <w:pPr>
              <w:pStyle w:val="TableTextDecimalAlign"/>
            </w:pPr>
            <w:r w:rsidRPr="00A403FC">
              <w:t>4%</w:t>
            </w:r>
          </w:p>
        </w:tc>
      </w:tr>
    </w:tbl>
    <w:p w14:paraId="636D0912" w14:textId="77777777" w:rsidR="005A38A8" w:rsidRDefault="001872A8" w:rsidP="0099709F">
      <w:pPr>
        <w:pStyle w:val="TableUnder"/>
      </w:pPr>
      <w:r w:rsidRPr="00DD77BD">
        <w:t>*some data has been omitted because of low service volumes</w:t>
      </w:r>
      <w:r w:rsidR="005A38A8" w:rsidRPr="00DD77BD">
        <w:t xml:space="preserve"> Unpublished data (Department of Health)</w:t>
      </w:r>
    </w:p>
    <w:p w14:paraId="6901DB44" w14:textId="77777777" w:rsidR="008F23CC" w:rsidRPr="00DD77BD" w:rsidRDefault="008F23CC" w:rsidP="0099709F">
      <w:pPr>
        <w:pStyle w:val="TableUnder"/>
      </w:pPr>
      <w:r>
        <w:t xml:space="preserve">Note: Total number of </w:t>
      </w:r>
      <w:r w:rsidRPr="008F23CC">
        <w:t>services</w:t>
      </w:r>
      <w:r>
        <w:t xml:space="preserve"> is </w:t>
      </w:r>
      <w:r w:rsidRPr="008F23CC">
        <w:t>16,804</w:t>
      </w:r>
      <w:r>
        <w:t>.</w:t>
      </w:r>
    </w:p>
    <w:p w14:paraId="0745B6D8" w14:textId="77777777" w:rsidR="001872A8" w:rsidRPr="00045147" w:rsidRDefault="00006172" w:rsidP="00006172">
      <w:pPr>
        <w:pStyle w:val="Caption"/>
      </w:pPr>
      <w:bookmarkStart w:id="340" w:name="_Toc478721566"/>
      <w:r w:rsidRPr="00FF6AB5">
        <w:t>Table B7:</w:t>
      </w:r>
      <w:r w:rsidRPr="00E52BC8">
        <w:tab/>
      </w:r>
      <w:r w:rsidR="00045147" w:rsidRPr="00E52BC8">
        <w:t>S</w:t>
      </w:r>
      <w:r w:rsidR="00045147" w:rsidRPr="00045147">
        <w:t xml:space="preserve">ame </w:t>
      </w:r>
      <w:r w:rsidR="001872A8" w:rsidRPr="00045147">
        <w:t>day item combinations - item 11509 with other MBS items, 2014-15</w:t>
      </w:r>
      <w:bookmarkEnd w:id="340"/>
    </w:p>
    <w:tbl>
      <w:tblPr>
        <w:tblW w:w="9072" w:type="dxa"/>
        <w:tblInd w:w="93" w:type="dxa"/>
        <w:tblBorders>
          <w:top w:val="single" w:sz="4" w:space="0" w:color="B56011"/>
          <w:bottom w:val="single" w:sz="4" w:space="0" w:color="B56011"/>
          <w:insideH w:val="single" w:sz="4" w:space="0" w:color="B56011"/>
        </w:tblBorders>
        <w:tblLayout w:type="fixed"/>
        <w:tblLook w:val="04A0" w:firstRow="1" w:lastRow="0" w:firstColumn="1" w:lastColumn="0" w:noHBand="0" w:noVBand="1"/>
        <w:tblDescription w:val="Table B7 provides the number of episodes, the number of services, the percentage of total episodes and a description of the episode for same day item combinations that included item 11509 in 2014-15."/>
      </w:tblPr>
      <w:tblGrid>
        <w:gridCol w:w="1433"/>
        <w:gridCol w:w="1134"/>
        <w:gridCol w:w="1559"/>
        <w:gridCol w:w="1109"/>
        <w:gridCol w:w="3837"/>
      </w:tblGrid>
      <w:tr w:rsidR="001F705A" w:rsidRPr="00364CDE" w14:paraId="744E32F3" w14:textId="77777777" w:rsidTr="000B202F">
        <w:trPr>
          <w:trHeight w:val="531"/>
          <w:tblHeader/>
        </w:trPr>
        <w:tc>
          <w:tcPr>
            <w:tcW w:w="1433" w:type="dxa"/>
            <w:shd w:val="clear" w:color="auto" w:fill="auto"/>
            <w:hideMark/>
          </w:tcPr>
          <w:p w14:paraId="1884289B" w14:textId="77777777" w:rsidR="001872A8" w:rsidRPr="00364CDE" w:rsidRDefault="001872A8" w:rsidP="00A403FC">
            <w:pPr>
              <w:pStyle w:val="Tableheading"/>
            </w:pPr>
            <w:r w:rsidRPr="00364CDE">
              <w:t xml:space="preserve">Item combination </w:t>
            </w:r>
          </w:p>
        </w:tc>
        <w:tc>
          <w:tcPr>
            <w:tcW w:w="1134" w:type="dxa"/>
            <w:shd w:val="clear" w:color="auto" w:fill="auto"/>
            <w:hideMark/>
          </w:tcPr>
          <w:p w14:paraId="21167543" w14:textId="77777777" w:rsidR="001872A8" w:rsidRPr="00364CDE" w:rsidRDefault="001872A8" w:rsidP="000B202F">
            <w:pPr>
              <w:pStyle w:val="Tableheading"/>
              <w:jc w:val="center"/>
            </w:pPr>
            <w:r w:rsidRPr="00364CDE">
              <w:t>Number of Episodes</w:t>
            </w:r>
          </w:p>
        </w:tc>
        <w:tc>
          <w:tcPr>
            <w:tcW w:w="1559" w:type="dxa"/>
            <w:shd w:val="clear" w:color="auto" w:fill="auto"/>
            <w:hideMark/>
          </w:tcPr>
          <w:p w14:paraId="759D5298" w14:textId="77777777" w:rsidR="001872A8" w:rsidRPr="00364CDE" w:rsidRDefault="001872A8" w:rsidP="000B202F">
            <w:pPr>
              <w:pStyle w:val="Tableheading"/>
              <w:jc w:val="center"/>
            </w:pPr>
            <w:r w:rsidRPr="00364CDE">
              <w:t>Number of services</w:t>
            </w:r>
          </w:p>
        </w:tc>
        <w:tc>
          <w:tcPr>
            <w:tcW w:w="1109" w:type="dxa"/>
            <w:shd w:val="clear" w:color="auto" w:fill="auto"/>
            <w:hideMark/>
          </w:tcPr>
          <w:p w14:paraId="2F768775" w14:textId="77777777" w:rsidR="001872A8" w:rsidRPr="00364CDE" w:rsidRDefault="001872A8" w:rsidP="000B202F">
            <w:pPr>
              <w:pStyle w:val="Tableheading"/>
              <w:jc w:val="center"/>
            </w:pPr>
            <w:r w:rsidRPr="00364CDE">
              <w:t>% of total episodes</w:t>
            </w:r>
          </w:p>
        </w:tc>
        <w:tc>
          <w:tcPr>
            <w:tcW w:w="3837" w:type="dxa"/>
            <w:shd w:val="clear" w:color="auto" w:fill="auto"/>
            <w:hideMark/>
          </w:tcPr>
          <w:p w14:paraId="71375F41" w14:textId="77777777" w:rsidR="001872A8" w:rsidRPr="00364CDE" w:rsidRDefault="001872A8" w:rsidP="00A403FC">
            <w:pPr>
              <w:pStyle w:val="Tableheading"/>
            </w:pPr>
            <w:r w:rsidRPr="00364CDE">
              <w:t>Description of episodes</w:t>
            </w:r>
          </w:p>
        </w:tc>
      </w:tr>
      <w:tr w:rsidR="001F705A" w:rsidRPr="002A1305" w14:paraId="7D76BD34" w14:textId="77777777" w:rsidTr="000B202F">
        <w:trPr>
          <w:trHeight w:val="676"/>
        </w:trPr>
        <w:tc>
          <w:tcPr>
            <w:tcW w:w="1433" w:type="dxa"/>
            <w:shd w:val="clear" w:color="auto" w:fill="auto"/>
          </w:tcPr>
          <w:p w14:paraId="77059BAB" w14:textId="77777777" w:rsidR="001872A8" w:rsidRPr="00364CDE" w:rsidRDefault="001872A8" w:rsidP="00A403FC">
            <w:pPr>
              <w:pStyle w:val="Tabletext"/>
            </w:pPr>
            <w:r w:rsidRPr="00364CDE">
              <w:t>11509, 00116</w:t>
            </w:r>
          </w:p>
        </w:tc>
        <w:tc>
          <w:tcPr>
            <w:tcW w:w="1134" w:type="dxa"/>
            <w:shd w:val="clear" w:color="auto" w:fill="auto"/>
          </w:tcPr>
          <w:p w14:paraId="2D31F804" w14:textId="77777777" w:rsidR="001872A8" w:rsidRPr="00364CDE" w:rsidRDefault="001872A8" w:rsidP="000B202F">
            <w:pPr>
              <w:pStyle w:val="TableTextDecimalAlign"/>
            </w:pPr>
            <w:r w:rsidRPr="00364CDE">
              <w:t>8,905</w:t>
            </w:r>
          </w:p>
        </w:tc>
        <w:tc>
          <w:tcPr>
            <w:tcW w:w="1559" w:type="dxa"/>
            <w:shd w:val="clear" w:color="auto" w:fill="auto"/>
          </w:tcPr>
          <w:p w14:paraId="710485E5" w14:textId="77777777" w:rsidR="001872A8" w:rsidRPr="00364CDE" w:rsidRDefault="001872A8" w:rsidP="000B202F">
            <w:pPr>
              <w:pStyle w:val="TableTextDecimalAlign"/>
            </w:pPr>
            <w:r w:rsidRPr="00364CDE">
              <w:t>17,820</w:t>
            </w:r>
          </w:p>
        </w:tc>
        <w:tc>
          <w:tcPr>
            <w:tcW w:w="1109" w:type="dxa"/>
            <w:shd w:val="clear" w:color="auto" w:fill="auto"/>
          </w:tcPr>
          <w:p w14:paraId="5591973A" w14:textId="77777777" w:rsidR="001872A8" w:rsidRPr="00364CDE" w:rsidRDefault="001872A8" w:rsidP="000B202F">
            <w:pPr>
              <w:pStyle w:val="TableTextDecimalAlign"/>
            </w:pPr>
            <w:r w:rsidRPr="00364CDE">
              <w:t>53%</w:t>
            </w:r>
          </w:p>
        </w:tc>
        <w:tc>
          <w:tcPr>
            <w:tcW w:w="3837" w:type="dxa"/>
            <w:shd w:val="clear" w:color="auto" w:fill="auto"/>
          </w:tcPr>
          <w:p w14:paraId="4D6381C8" w14:textId="77777777" w:rsidR="001872A8" w:rsidRPr="00364CDE" w:rsidRDefault="001872A8" w:rsidP="00A403FC">
            <w:pPr>
              <w:pStyle w:val="Tabletext"/>
            </w:pPr>
            <w:r w:rsidRPr="00364CDE">
              <w:t>Measurement of respiratory function tests after bronchodilator (supervised by consultant physician) &amp;</w:t>
            </w:r>
            <w:r w:rsidRPr="00364CDE">
              <w:rPr>
                <w:rFonts w:eastAsiaTheme="minorHAnsi"/>
              </w:rPr>
              <w:t xml:space="preserve"> subsequent consultant physician consultation</w:t>
            </w:r>
          </w:p>
        </w:tc>
      </w:tr>
      <w:tr w:rsidR="001F705A" w:rsidRPr="002A1305" w14:paraId="3E756F27" w14:textId="77777777" w:rsidTr="000B202F">
        <w:trPr>
          <w:trHeight w:val="435"/>
        </w:trPr>
        <w:tc>
          <w:tcPr>
            <w:tcW w:w="1433" w:type="dxa"/>
            <w:shd w:val="clear" w:color="auto" w:fill="auto"/>
          </w:tcPr>
          <w:p w14:paraId="4F457524" w14:textId="77777777" w:rsidR="001872A8" w:rsidRPr="00364CDE" w:rsidRDefault="001872A8" w:rsidP="00A403FC">
            <w:pPr>
              <w:pStyle w:val="Tabletext"/>
            </w:pPr>
            <w:r w:rsidRPr="00364CDE">
              <w:t>11509</w:t>
            </w:r>
          </w:p>
        </w:tc>
        <w:tc>
          <w:tcPr>
            <w:tcW w:w="1134" w:type="dxa"/>
            <w:shd w:val="clear" w:color="auto" w:fill="auto"/>
          </w:tcPr>
          <w:p w14:paraId="36ABCCA8" w14:textId="77777777" w:rsidR="001872A8" w:rsidRPr="00364CDE" w:rsidRDefault="001872A8" w:rsidP="000B202F">
            <w:pPr>
              <w:pStyle w:val="TableTextDecimalAlign"/>
            </w:pPr>
            <w:r w:rsidRPr="00364CDE">
              <w:t>2,783</w:t>
            </w:r>
          </w:p>
        </w:tc>
        <w:tc>
          <w:tcPr>
            <w:tcW w:w="1559" w:type="dxa"/>
            <w:shd w:val="clear" w:color="auto" w:fill="auto"/>
          </w:tcPr>
          <w:p w14:paraId="77D7160E" w14:textId="77777777" w:rsidR="001872A8" w:rsidRPr="00364CDE" w:rsidRDefault="001872A8" w:rsidP="000B202F">
            <w:pPr>
              <w:pStyle w:val="TableTextDecimalAlign"/>
            </w:pPr>
            <w:r w:rsidRPr="00364CDE">
              <w:t>2,797</w:t>
            </w:r>
          </w:p>
        </w:tc>
        <w:tc>
          <w:tcPr>
            <w:tcW w:w="1109" w:type="dxa"/>
            <w:shd w:val="clear" w:color="auto" w:fill="auto"/>
          </w:tcPr>
          <w:p w14:paraId="11760CCD" w14:textId="77777777" w:rsidR="001872A8" w:rsidRPr="00364CDE" w:rsidRDefault="001872A8" w:rsidP="000B202F">
            <w:pPr>
              <w:pStyle w:val="TableTextDecimalAlign"/>
            </w:pPr>
            <w:r w:rsidRPr="00364CDE">
              <w:t>17%</w:t>
            </w:r>
          </w:p>
        </w:tc>
        <w:tc>
          <w:tcPr>
            <w:tcW w:w="3837" w:type="dxa"/>
            <w:shd w:val="clear" w:color="auto" w:fill="auto"/>
          </w:tcPr>
          <w:p w14:paraId="78D5D5BB" w14:textId="77777777" w:rsidR="001872A8" w:rsidRPr="00364CDE" w:rsidRDefault="001872A8" w:rsidP="00A403FC">
            <w:pPr>
              <w:pStyle w:val="Tabletext"/>
            </w:pPr>
            <w:r w:rsidRPr="00364CDE">
              <w:t>Measurement of respiratory function tests after bronchodilator (supervised by consultant physician) only</w:t>
            </w:r>
          </w:p>
        </w:tc>
      </w:tr>
      <w:tr w:rsidR="001F705A" w:rsidRPr="002A1305" w14:paraId="24BE6101" w14:textId="77777777" w:rsidTr="000B202F">
        <w:trPr>
          <w:trHeight w:val="676"/>
        </w:trPr>
        <w:tc>
          <w:tcPr>
            <w:tcW w:w="1433" w:type="dxa"/>
            <w:shd w:val="clear" w:color="auto" w:fill="auto"/>
          </w:tcPr>
          <w:p w14:paraId="3A360DB3" w14:textId="77777777" w:rsidR="001872A8" w:rsidRPr="00364CDE" w:rsidRDefault="001872A8" w:rsidP="00A403FC">
            <w:pPr>
              <w:pStyle w:val="Tabletext"/>
            </w:pPr>
            <w:r w:rsidRPr="00364CDE">
              <w:t>12003, 11509, 00110</w:t>
            </w:r>
          </w:p>
        </w:tc>
        <w:tc>
          <w:tcPr>
            <w:tcW w:w="1134" w:type="dxa"/>
            <w:shd w:val="clear" w:color="auto" w:fill="auto"/>
          </w:tcPr>
          <w:p w14:paraId="46B86066" w14:textId="77777777" w:rsidR="001872A8" w:rsidRPr="00364CDE" w:rsidRDefault="001872A8" w:rsidP="000B202F">
            <w:pPr>
              <w:pStyle w:val="TableTextDecimalAlign"/>
            </w:pPr>
            <w:r w:rsidRPr="00364CDE">
              <w:t>1,903</w:t>
            </w:r>
          </w:p>
        </w:tc>
        <w:tc>
          <w:tcPr>
            <w:tcW w:w="1559" w:type="dxa"/>
            <w:shd w:val="clear" w:color="auto" w:fill="auto"/>
          </w:tcPr>
          <w:p w14:paraId="2A56F0C3" w14:textId="77777777" w:rsidR="001872A8" w:rsidRPr="00364CDE" w:rsidRDefault="001872A8" w:rsidP="000B202F">
            <w:pPr>
              <w:pStyle w:val="TableTextDecimalAlign"/>
            </w:pPr>
            <w:r w:rsidRPr="00364CDE">
              <w:t>5,709</w:t>
            </w:r>
          </w:p>
        </w:tc>
        <w:tc>
          <w:tcPr>
            <w:tcW w:w="1109" w:type="dxa"/>
            <w:shd w:val="clear" w:color="auto" w:fill="auto"/>
          </w:tcPr>
          <w:p w14:paraId="645F3C29" w14:textId="77777777" w:rsidR="001872A8" w:rsidRPr="00364CDE" w:rsidRDefault="001872A8" w:rsidP="000B202F">
            <w:pPr>
              <w:pStyle w:val="TableTextDecimalAlign"/>
            </w:pPr>
            <w:r w:rsidRPr="00364CDE">
              <w:t>11%</w:t>
            </w:r>
          </w:p>
        </w:tc>
        <w:tc>
          <w:tcPr>
            <w:tcW w:w="3837" w:type="dxa"/>
            <w:shd w:val="clear" w:color="auto" w:fill="auto"/>
          </w:tcPr>
          <w:p w14:paraId="3493CA23" w14:textId="77777777" w:rsidR="001872A8" w:rsidRPr="00364CDE" w:rsidRDefault="001872A8" w:rsidP="00A403FC">
            <w:pPr>
              <w:pStyle w:val="Tabletext"/>
            </w:pPr>
            <w:r w:rsidRPr="00364CDE">
              <w:t xml:space="preserve">Measurement of respiratory function tests after bronchodilator (supervised by consultant physician, ) </w:t>
            </w:r>
            <w:r w:rsidRPr="00E90C0F">
              <w:t xml:space="preserve">Skin sensitivity testing (more than 20 allergens) </w:t>
            </w:r>
            <w:r w:rsidRPr="00364CDE">
              <w:t xml:space="preserve">&amp; </w:t>
            </w:r>
            <w:r w:rsidRPr="00364CDE">
              <w:rPr>
                <w:rFonts w:eastAsiaTheme="minorHAnsi"/>
              </w:rPr>
              <w:t>initial consultant physician consultation</w:t>
            </w:r>
          </w:p>
        </w:tc>
      </w:tr>
      <w:tr w:rsidR="001F705A" w:rsidRPr="002A1305" w14:paraId="67226B71" w14:textId="77777777" w:rsidTr="000B202F">
        <w:trPr>
          <w:trHeight w:val="579"/>
        </w:trPr>
        <w:tc>
          <w:tcPr>
            <w:tcW w:w="1433" w:type="dxa"/>
            <w:shd w:val="clear" w:color="auto" w:fill="auto"/>
          </w:tcPr>
          <w:p w14:paraId="369C375C" w14:textId="77777777" w:rsidR="001872A8" w:rsidRPr="00364CDE" w:rsidRDefault="001872A8" w:rsidP="00A403FC">
            <w:pPr>
              <w:pStyle w:val="Tabletext"/>
            </w:pPr>
            <w:r w:rsidRPr="00364CDE">
              <w:t>11509, 00110</w:t>
            </w:r>
          </w:p>
        </w:tc>
        <w:tc>
          <w:tcPr>
            <w:tcW w:w="1134" w:type="dxa"/>
            <w:shd w:val="clear" w:color="auto" w:fill="auto"/>
          </w:tcPr>
          <w:p w14:paraId="22048FA7" w14:textId="77777777" w:rsidR="001872A8" w:rsidRPr="00364CDE" w:rsidRDefault="001872A8" w:rsidP="000B202F">
            <w:pPr>
              <w:pStyle w:val="TableTextDecimalAlign"/>
            </w:pPr>
            <w:r w:rsidRPr="00364CDE">
              <w:t>724</w:t>
            </w:r>
          </w:p>
        </w:tc>
        <w:tc>
          <w:tcPr>
            <w:tcW w:w="1559" w:type="dxa"/>
            <w:shd w:val="clear" w:color="auto" w:fill="auto"/>
          </w:tcPr>
          <w:p w14:paraId="2407BB3B" w14:textId="77777777" w:rsidR="001872A8" w:rsidRPr="00364CDE" w:rsidRDefault="001872A8" w:rsidP="000B202F">
            <w:pPr>
              <w:pStyle w:val="TableTextDecimalAlign"/>
            </w:pPr>
            <w:r w:rsidRPr="00364CDE">
              <w:t>1,448</w:t>
            </w:r>
          </w:p>
        </w:tc>
        <w:tc>
          <w:tcPr>
            <w:tcW w:w="1109" w:type="dxa"/>
            <w:shd w:val="clear" w:color="auto" w:fill="auto"/>
          </w:tcPr>
          <w:p w14:paraId="57A69DCD" w14:textId="77777777" w:rsidR="001872A8" w:rsidRPr="00364CDE" w:rsidRDefault="001872A8" w:rsidP="000B202F">
            <w:pPr>
              <w:pStyle w:val="TableTextDecimalAlign"/>
            </w:pPr>
            <w:r w:rsidRPr="00364CDE">
              <w:t>4%</w:t>
            </w:r>
          </w:p>
        </w:tc>
        <w:tc>
          <w:tcPr>
            <w:tcW w:w="3837" w:type="dxa"/>
            <w:shd w:val="clear" w:color="auto" w:fill="auto"/>
          </w:tcPr>
          <w:p w14:paraId="2E00935F" w14:textId="77777777" w:rsidR="001872A8" w:rsidRPr="00364CDE" w:rsidRDefault="001872A8" w:rsidP="00A403FC">
            <w:pPr>
              <w:pStyle w:val="Tabletext"/>
            </w:pPr>
            <w:r w:rsidRPr="00364CDE">
              <w:t>Measurement of respiratory function tests after bronchodilator (supervised by consultant physician) &amp;</w:t>
            </w:r>
            <w:r w:rsidRPr="00364CDE">
              <w:rPr>
                <w:rFonts w:eastAsiaTheme="minorHAnsi"/>
              </w:rPr>
              <w:t xml:space="preserve"> initial consultant physician consultation</w:t>
            </w:r>
          </w:p>
        </w:tc>
      </w:tr>
      <w:tr w:rsidR="001F705A" w:rsidRPr="002A1305" w14:paraId="336D011F" w14:textId="77777777" w:rsidTr="000B202F">
        <w:trPr>
          <w:trHeight w:val="310"/>
        </w:trPr>
        <w:tc>
          <w:tcPr>
            <w:tcW w:w="1433" w:type="dxa"/>
            <w:shd w:val="clear" w:color="auto" w:fill="auto"/>
          </w:tcPr>
          <w:p w14:paraId="2E80B647" w14:textId="77777777" w:rsidR="001872A8" w:rsidRPr="00364CDE" w:rsidRDefault="001872A8" w:rsidP="00A403FC">
            <w:pPr>
              <w:pStyle w:val="Tabletext"/>
            </w:pPr>
            <w:r w:rsidRPr="00364CDE">
              <w:t>11509, 00132</w:t>
            </w:r>
          </w:p>
        </w:tc>
        <w:tc>
          <w:tcPr>
            <w:tcW w:w="1134" w:type="dxa"/>
            <w:shd w:val="clear" w:color="auto" w:fill="auto"/>
          </w:tcPr>
          <w:p w14:paraId="1ADD8EAC" w14:textId="77777777" w:rsidR="001872A8" w:rsidRPr="00364CDE" w:rsidRDefault="001872A8" w:rsidP="000B202F">
            <w:pPr>
              <w:pStyle w:val="TableTextDecimalAlign"/>
            </w:pPr>
            <w:r w:rsidRPr="00364CDE">
              <w:t>383</w:t>
            </w:r>
          </w:p>
        </w:tc>
        <w:tc>
          <w:tcPr>
            <w:tcW w:w="1559" w:type="dxa"/>
            <w:shd w:val="clear" w:color="auto" w:fill="auto"/>
          </w:tcPr>
          <w:p w14:paraId="40B71DE6" w14:textId="77777777" w:rsidR="001872A8" w:rsidRPr="00364CDE" w:rsidRDefault="001872A8" w:rsidP="000B202F">
            <w:pPr>
              <w:pStyle w:val="TableTextDecimalAlign"/>
            </w:pPr>
            <w:r w:rsidRPr="00364CDE">
              <w:t>766</w:t>
            </w:r>
          </w:p>
        </w:tc>
        <w:tc>
          <w:tcPr>
            <w:tcW w:w="1109" w:type="dxa"/>
            <w:shd w:val="clear" w:color="auto" w:fill="auto"/>
          </w:tcPr>
          <w:p w14:paraId="4C02C9FC" w14:textId="77777777" w:rsidR="001872A8" w:rsidRPr="00364CDE" w:rsidRDefault="001872A8" w:rsidP="000B202F">
            <w:pPr>
              <w:pStyle w:val="TableTextDecimalAlign"/>
            </w:pPr>
            <w:r w:rsidRPr="00364CDE">
              <w:t>2%</w:t>
            </w:r>
          </w:p>
        </w:tc>
        <w:tc>
          <w:tcPr>
            <w:tcW w:w="3837" w:type="dxa"/>
            <w:shd w:val="clear" w:color="auto" w:fill="auto"/>
          </w:tcPr>
          <w:p w14:paraId="220BA2B0" w14:textId="77777777" w:rsidR="001872A8" w:rsidRPr="00364CDE" w:rsidRDefault="001872A8" w:rsidP="00142B3D">
            <w:pPr>
              <w:pStyle w:val="Tabletext"/>
            </w:pPr>
            <w:r w:rsidRPr="00364CDE">
              <w:t>Measurement of respiratory function tests after bronchodilator (supervised by consultant physician) &amp;</w:t>
            </w:r>
            <w:r w:rsidRPr="00364CDE">
              <w:rPr>
                <w:rFonts w:eastAsiaTheme="minorHAnsi"/>
              </w:rPr>
              <w:t xml:space="preserve"> consultant physician treatment &amp; management plan</w:t>
            </w:r>
          </w:p>
        </w:tc>
      </w:tr>
      <w:tr w:rsidR="001F705A" w:rsidRPr="002A1305" w14:paraId="74C57FF5" w14:textId="77777777" w:rsidTr="000B202F">
        <w:trPr>
          <w:trHeight w:val="676"/>
        </w:trPr>
        <w:tc>
          <w:tcPr>
            <w:tcW w:w="1433" w:type="dxa"/>
            <w:shd w:val="clear" w:color="auto" w:fill="auto"/>
          </w:tcPr>
          <w:p w14:paraId="77D0CB2A" w14:textId="77777777" w:rsidR="001872A8" w:rsidRPr="00364CDE" w:rsidRDefault="001872A8" w:rsidP="00A403FC">
            <w:pPr>
              <w:pStyle w:val="Tabletext"/>
            </w:pPr>
            <w:r w:rsidRPr="00364CDE">
              <w:t>11700, 11509, 00132</w:t>
            </w:r>
          </w:p>
        </w:tc>
        <w:tc>
          <w:tcPr>
            <w:tcW w:w="1134" w:type="dxa"/>
            <w:shd w:val="clear" w:color="auto" w:fill="auto"/>
          </w:tcPr>
          <w:p w14:paraId="200F0059" w14:textId="77777777" w:rsidR="001872A8" w:rsidRPr="00364CDE" w:rsidRDefault="001872A8" w:rsidP="000B202F">
            <w:pPr>
              <w:pStyle w:val="TableTextDecimalAlign"/>
            </w:pPr>
            <w:r w:rsidRPr="00364CDE">
              <w:t>322</w:t>
            </w:r>
          </w:p>
        </w:tc>
        <w:tc>
          <w:tcPr>
            <w:tcW w:w="1559" w:type="dxa"/>
            <w:shd w:val="clear" w:color="auto" w:fill="auto"/>
          </w:tcPr>
          <w:p w14:paraId="7A8D13FF" w14:textId="77777777" w:rsidR="001872A8" w:rsidRPr="00364CDE" w:rsidRDefault="001872A8" w:rsidP="000B202F">
            <w:pPr>
              <w:pStyle w:val="TableTextDecimalAlign"/>
            </w:pPr>
            <w:r w:rsidRPr="00364CDE">
              <w:t>966</w:t>
            </w:r>
          </w:p>
        </w:tc>
        <w:tc>
          <w:tcPr>
            <w:tcW w:w="1109" w:type="dxa"/>
            <w:shd w:val="clear" w:color="auto" w:fill="auto"/>
          </w:tcPr>
          <w:p w14:paraId="11450A49" w14:textId="77777777" w:rsidR="001872A8" w:rsidRPr="00364CDE" w:rsidRDefault="001872A8" w:rsidP="000B202F">
            <w:pPr>
              <w:pStyle w:val="TableTextDecimalAlign"/>
            </w:pPr>
            <w:r w:rsidRPr="00364CDE">
              <w:t>2%</w:t>
            </w:r>
          </w:p>
        </w:tc>
        <w:tc>
          <w:tcPr>
            <w:tcW w:w="3837" w:type="dxa"/>
            <w:shd w:val="clear" w:color="auto" w:fill="auto"/>
          </w:tcPr>
          <w:p w14:paraId="20A854AF" w14:textId="77777777" w:rsidR="001872A8" w:rsidRPr="00364CDE" w:rsidRDefault="001872A8" w:rsidP="00A403FC">
            <w:pPr>
              <w:pStyle w:val="Tabletext"/>
            </w:pPr>
            <w:r w:rsidRPr="00364CDE">
              <w:t xml:space="preserve">Measurement of respiratory function tests after bronchodilator (supervised by </w:t>
            </w:r>
            <w:r w:rsidRPr="00364CDE">
              <w:lastRenderedPageBreak/>
              <w:t xml:space="preserve">consultant physician), </w:t>
            </w:r>
            <w:r w:rsidRPr="00364CDE">
              <w:rPr>
                <w:rFonts w:eastAsiaTheme="minorHAnsi"/>
              </w:rPr>
              <w:t>consultant physician treatment and management plan &amp; 12 lead ECG</w:t>
            </w:r>
          </w:p>
        </w:tc>
      </w:tr>
      <w:tr w:rsidR="001F705A" w:rsidRPr="002A1305" w14:paraId="4A78D89F" w14:textId="77777777" w:rsidTr="000B202F">
        <w:trPr>
          <w:trHeight w:val="676"/>
        </w:trPr>
        <w:tc>
          <w:tcPr>
            <w:tcW w:w="1433" w:type="dxa"/>
            <w:shd w:val="clear" w:color="auto" w:fill="auto"/>
          </w:tcPr>
          <w:p w14:paraId="57CAD7A8" w14:textId="77777777" w:rsidR="001872A8" w:rsidRPr="00364CDE" w:rsidRDefault="001872A8" w:rsidP="00A403FC">
            <w:pPr>
              <w:pStyle w:val="Tabletext"/>
            </w:pPr>
            <w:r w:rsidRPr="00364CDE">
              <w:lastRenderedPageBreak/>
              <w:t>12003, 11509, 00132</w:t>
            </w:r>
          </w:p>
        </w:tc>
        <w:tc>
          <w:tcPr>
            <w:tcW w:w="1134" w:type="dxa"/>
            <w:shd w:val="clear" w:color="auto" w:fill="auto"/>
          </w:tcPr>
          <w:p w14:paraId="1BC03966" w14:textId="77777777" w:rsidR="001872A8" w:rsidRPr="00364CDE" w:rsidRDefault="001872A8" w:rsidP="000B202F">
            <w:pPr>
              <w:pStyle w:val="TableTextDecimalAlign"/>
            </w:pPr>
            <w:r w:rsidRPr="00364CDE">
              <w:t>224</w:t>
            </w:r>
          </w:p>
        </w:tc>
        <w:tc>
          <w:tcPr>
            <w:tcW w:w="1559" w:type="dxa"/>
            <w:shd w:val="clear" w:color="auto" w:fill="auto"/>
          </w:tcPr>
          <w:p w14:paraId="3866D113" w14:textId="77777777" w:rsidR="001872A8" w:rsidRPr="00364CDE" w:rsidRDefault="001872A8" w:rsidP="000B202F">
            <w:pPr>
              <w:pStyle w:val="TableTextDecimalAlign"/>
            </w:pPr>
            <w:r w:rsidRPr="00364CDE">
              <w:t>672</w:t>
            </w:r>
          </w:p>
        </w:tc>
        <w:tc>
          <w:tcPr>
            <w:tcW w:w="1109" w:type="dxa"/>
            <w:shd w:val="clear" w:color="auto" w:fill="auto"/>
          </w:tcPr>
          <w:p w14:paraId="5B6FA9A1" w14:textId="77777777" w:rsidR="001872A8" w:rsidRPr="00364CDE" w:rsidRDefault="001872A8" w:rsidP="000B202F">
            <w:pPr>
              <w:pStyle w:val="TableTextDecimalAlign"/>
            </w:pPr>
            <w:r w:rsidRPr="00364CDE">
              <w:t>1%</w:t>
            </w:r>
          </w:p>
        </w:tc>
        <w:tc>
          <w:tcPr>
            <w:tcW w:w="3837" w:type="dxa"/>
            <w:shd w:val="clear" w:color="auto" w:fill="auto"/>
          </w:tcPr>
          <w:p w14:paraId="65CB7C9F" w14:textId="77777777" w:rsidR="001872A8" w:rsidRPr="00364CDE" w:rsidRDefault="001872A8" w:rsidP="00A403FC">
            <w:pPr>
              <w:pStyle w:val="Tabletext"/>
            </w:pPr>
            <w:r w:rsidRPr="00364CDE">
              <w:t xml:space="preserve">Measurement of respiratory function tests after bronchodilator (supervised by consultant physician, ) </w:t>
            </w:r>
            <w:r w:rsidRPr="00E90C0F">
              <w:t xml:space="preserve">Skin sensitivity testing (more than 20 allergens) </w:t>
            </w:r>
            <w:r w:rsidRPr="00364CDE">
              <w:t>&amp;</w:t>
            </w:r>
            <w:r w:rsidRPr="00364CDE">
              <w:rPr>
                <w:rFonts w:eastAsiaTheme="minorHAnsi"/>
              </w:rPr>
              <w:t xml:space="preserve"> consultant physician treatment &amp; management plan</w:t>
            </w:r>
          </w:p>
        </w:tc>
      </w:tr>
      <w:tr w:rsidR="001F705A" w:rsidRPr="002A1305" w14:paraId="38FB083B" w14:textId="77777777" w:rsidTr="000B202F">
        <w:trPr>
          <w:trHeight w:val="509"/>
        </w:trPr>
        <w:tc>
          <w:tcPr>
            <w:tcW w:w="1433" w:type="dxa"/>
            <w:shd w:val="clear" w:color="auto" w:fill="auto"/>
          </w:tcPr>
          <w:p w14:paraId="191B2514" w14:textId="77777777" w:rsidR="001872A8" w:rsidRPr="00364CDE" w:rsidRDefault="001872A8" w:rsidP="00A403FC">
            <w:pPr>
              <w:pStyle w:val="Tabletext"/>
            </w:pPr>
            <w:r w:rsidRPr="00364CDE">
              <w:t>11700, 11509</w:t>
            </w:r>
          </w:p>
        </w:tc>
        <w:tc>
          <w:tcPr>
            <w:tcW w:w="1134" w:type="dxa"/>
            <w:shd w:val="clear" w:color="auto" w:fill="auto"/>
          </w:tcPr>
          <w:p w14:paraId="416A3786" w14:textId="77777777" w:rsidR="001872A8" w:rsidRPr="00364CDE" w:rsidRDefault="001872A8" w:rsidP="000B202F">
            <w:pPr>
              <w:pStyle w:val="TableTextDecimalAlign"/>
            </w:pPr>
            <w:r w:rsidRPr="00364CDE">
              <w:t>199</w:t>
            </w:r>
          </w:p>
        </w:tc>
        <w:tc>
          <w:tcPr>
            <w:tcW w:w="1559" w:type="dxa"/>
            <w:shd w:val="clear" w:color="auto" w:fill="auto"/>
          </w:tcPr>
          <w:p w14:paraId="22E0DF8E" w14:textId="77777777" w:rsidR="001872A8" w:rsidRPr="00364CDE" w:rsidRDefault="001872A8" w:rsidP="000B202F">
            <w:pPr>
              <w:pStyle w:val="TableTextDecimalAlign"/>
            </w:pPr>
            <w:r w:rsidRPr="00364CDE">
              <w:t>398</w:t>
            </w:r>
          </w:p>
        </w:tc>
        <w:tc>
          <w:tcPr>
            <w:tcW w:w="1109" w:type="dxa"/>
            <w:shd w:val="clear" w:color="auto" w:fill="auto"/>
          </w:tcPr>
          <w:p w14:paraId="27ED1631" w14:textId="77777777" w:rsidR="001872A8" w:rsidRPr="00364CDE" w:rsidRDefault="001872A8" w:rsidP="000B202F">
            <w:pPr>
              <w:pStyle w:val="TableTextDecimalAlign"/>
            </w:pPr>
            <w:r w:rsidRPr="00364CDE">
              <w:t>1%</w:t>
            </w:r>
          </w:p>
        </w:tc>
        <w:tc>
          <w:tcPr>
            <w:tcW w:w="3837" w:type="dxa"/>
            <w:shd w:val="clear" w:color="auto" w:fill="auto"/>
          </w:tcPr>
          <w:p w14:paraId="4D7913D7" w14:textId="77777777" w:rsidR="001872A8" w:rsidRPr="00364CDE" w:rsidRDefault="001872A8" w:rsidP="00A403FC">
            <w:pPr>
              <w:pStyle w:val="Tabletext"/>
            </w:pPr>
            <w:r w:rsidRPr="00364CDE">
              <w:t>Measurement of respiratory function tests after bronchodilator (supervised by consultant physician) &amp; 12 lead ECG</w:t>
            </w:r>
          </w:p>
        </w:tc>
      </w:tr>
      <w:tr w:rsidR="001F705A" w:rsidRPr="002A1305" w14:paraId="68DD1763" w14:textId="77777777" w:rsidTr="000B202F">
        <w:trPr>
          <w:trHeight w:val="472"/>
        </w:trPr>
        <w:tc>
          <w:tcPr>
            <w:tcW w:w="1433" w:type="dxa"/>
            <w:shd w:val="clear" w:color="auto" w:fill="auto"/>
          </w:tcPr>
          <w:p w14:paraId="11779335" w14:textId="77777777" w:rsidR="001872A8" w:rsidRPr="00364CDE" w:rsidRDefault="001872A8" w:rsidP="00A403FC">
            <w:pPr>
              <w:pStyle w:val="Tabletext"/>
            </w:pPr>
            <w:r w:rsidRPr="00364CDE">
              <w:t>11509, 00023</w:t>
            </w:r>
          </w:p>
        </w:tc>
        <w:tc>
          <w:tcPr>
            <w:tcW w:w="1134" w:type="dxa"/>
            <w:shd w:val="clear" w:color="auto" w:fill="auto"/>
          </w:tcPr>
          <w:p w14:paraId="33570E94" w14:textId="77777777" w:rsidR="001872A8" w:rsidRPr="00364CDE" w:rsidRDefault="001872A8" w:rsidP="000B202F">
            <w:pPr>
              <w:pStyle w:val="TableTextDecimalAlign"/>
            </w:pPr>
            <w:r w:rsidRPr="00364CDE">
              <w:t>198</w:t>
            </w:r>
          </w:p>
        </w:tc>
        <w:tc>
          <w:tcPr>
            <w:tcW w:w="1559" w:type="dxa"/>
            <w:shd w:val="clear" w:color="auto" w:fill="auto"/>
          </w:tcPr>
          <w:p w14:paraId="2DD711B1" w14:textId="77777777" w:rsidR="001872A8" w:rsidRPr="00364CDE" w:rsidRDefault="001872A8" w:rsidP="000B202F">
            <w:pPr>
              <w:pStyle w:val="TableTextDecimalAlign"/>
            </w:pPr>
            <w:r w:rsidRPr="00364CDE">
              <w:t>399</w:t>
            </w:r>
          </w:p>
        </w:tc>
        <w:tc>
          <w:tcPr>
            <w:tcW w:w="1109" w:type="dxa"/>
            <w:shd w:val="clear" w:color="auto" w:fill="auto"/>
          </w:tcPr>
          <w:p w14:paraId="2ECE898B" w14:textId="77777777" w:rsidR="001872A8" w:rsidRPr="00364CDE" w:rsidRDefault="001872A8" w:rsidP="000B202F">
            <w:pPr>
              <w:pStyle w:val="TableTextDecimalAlign"/>
            </w:pPr>
            <w:r w:rsidRPr="00364CDE">
              <w:t>1%</w:t>
            </w:r>
          </w:p>
        </w:tc>
        <w:tc>
          <w:tcPr>
            <w:tcW w:w="3837" w:type="dxa"/>
            <w:shd w:val="clear" w:color="auto" w:fill="auto"/>
          </w:tcPr>
          <w:p w14:paraId="447F75F5" w14:textId="77777777" w:rsidR="001872A8" w:rsidRPr="00364CDE" w:rsidRDefault="001872A8" w:rsidP="00A403FC">
            <w:pPr>
              <w:pStyle w:val="Tabletext"/>
            </w:pPr>
            <w:r w:rsidRPr="00364CDE">
              <w:t>Measurement of respiratory function tests after bronchodilator (supervised by consultant physician &amp; Level B GP consultation</w:t>
            </w:r>
          </w:p>
        </w:tc>
      </w:tr>
      <w:tr w:rsidR="001F705A" w:rsidRPr="002A1305" w14:paraId="0120D1C6" w14:textId="77777777" w:rsidTr="000B202F">
        <w:trPr>
          <w:trHeight w:val="676"/>
        </w:trPr>
        <w:tc>
          <w:tcPr>
            <w:tcW w:w="1433" w:type="dxa"/>
            <w:shd w:val="clear" w:color="auto" w:fill="auto"/>
          </w:tcPr>
          <w:p w14:paraId="04D71393" w14:textId="77777777" w:rsidR="001872A8" w:rsidRPr="00364CDE" w:rsidRDefault="001872A8" w:rsidP="00A403FC">
            <w:pPr>
              <w:pStyle w:val="Tabletext"/>
            </w:pPr>
            <w:r w:rsidRPr="00364CDE">
              <w:t>12003, 11509</w:t>
            </w:r>
          </w:p>
        </w:tc>
        <w:tc>
          <w:tcPr>
            <w:tcW w:w="1134" w:type="dxa"/>
            <w:shd w:val="clear" w:color="auto" w:fill="auto"/>
          </w:tcPr>
          <w:p w14:paraId="4A16A360" w14:textId="77777777" w:rsidR="001872A8" w:rsidRPr="00364CDE" w:rsidRDefault="001872A8" w:rsidP="000B202F">
            <w:pPr>
              <w:pStyle w:val="TableTextDecimalAlign"/>
            </w:pPr>
            <w:r w:rsidRPr="00364CDE">
              <w:t>181</w:t>
            </w:r>
          </w:p>
        </w:tc>
        <w:tc>
          <w:tcPr>
            <w:tcW w:w="1559" w:type="dxa"/>
            <w:shd w:val="clear" w:color="auto" w:fill="auto"/>
          </w:tcPr>
          <w:p w14:paraId="618683D2" w14:textId="77777777" w:rsidR="001872A8" w:rsidRPr="00364CDE" w:rsidRDefault="001872A8" w:rsidP="000B202F">
            <w:pPr>
              <w:pStyle w:val="TableTextDecimalAlign"/>
            </w:pPr>
            <w:r w:rsidRPr="00364CDE">
              <w:t>362</w:t>
            </w:r>
          </w:p>
        </w:tc>
        <w:tc>
          <w:tcPr>
            <w:tcW w:w="1109" w:type="dxa"/>
            <w:shd w:val="clear" w:color="auto" w:fill="auto"/>
          </w:tcPr>
          <w:p w14:paraId="007C095A" w14:textId="77777777" w:rsidR="001872A8" w:rsidRPr="00364CDE" w:rsidRDefault="001872A8" w:rsidP="000B202F">
            <w:pPr>
              <w:pStyle w:val="TableTextDecimalAlign"/>
            </w:pPr>
            <w:r w:rsidRPr="00364CDE">
              <w:t>1%</w:t>
            </w:r>
          </w:p>
        </w:tc>
        <w:tc>
          <w:tcPr>
            <w:tcW w:w="3837" w:type="dxa"/>
            <w:shd w:val="clear" w:color="auto" w:fill="auto"/>
          </w:tcPr>
          <w:p w14:paraId="317F710D" w14:textId="77777777" w:rsidR="001872A8" w:rsidRPr="00364CDE" w:rsidRDefault="001872A8" w:rsidP="00A403FC">
            <w:pPr>
              <w:pStyle w:val="Tabletext"/>
            </w:pPr>
            <w:r w:rsidRPr="00364CDE">
              <w:t xml:space="preserve">Measurement of respiratory function tests after bronchodilator (supervised by consultant physician) &amp; </w:t>
            </w:r>
            <w:r w:rsidRPr="00E90C0F">
              <w:t xml:space="preserve">Skin sensitivity testing (more than 20 allergens) </w:t>
            </w:r>
          </w:p>
        </w:tc>
      </w:tr>
    </w:tbl>
    <w:p w14:paraId="631C53EF" w14:textId="77777777" w:rsidR="008B1C85" w:rsidRPr="008B1C85" w:rsidRDefault="005A38A8" w:rsidP="008B1C85">
      <w:pPr>
        <w:pStyle w:val="TableUnderLast"/>
        <w:sectPr w:rsidR="008B1C85" w:rsidRPr="008B1C85" w:rsidSect="008B1C85">
          <w:headerReference w:type="default" r:id="rId14"/>
          <w:footerReference w:type="default" r:id="rId15"/>
          <w:pgSz w:w="11906" w:h="16838" w:code="9"/>
          <w:pgMar w:top="1134" w:right="1134" w:bottom="1701" w:left="1701" w:header="567" w:footer="567" w:gutter="0"/>
          <w:cols w:space="708"/>
          <w:docGrid w:linePitch="360"/>
        </w:sectPr>
      </w:pPr>
      <w:r w:rsidRPr="008B1C85">
        <w:t>Unpublished data (Department of Health)</w:t>
      </w:r>
    </w:p>
    <w:p w14:paraId="50CCE675" w14:textId="77777777" w:rsidR="00C23694" w:rsidRPr="00350202" w:rsidRDefault="00350202" w:rsidP="00B04D68">
      <w:pPr>
        <w:pStyle w:val="AppendixStyle1"/>
      </w:pPr>
      <w:bookmarkStart w:id="341" w:name="_Toc458510023"/>
      <w:bookmarkStart w:id="342" w:name="_Toc458768509"/>
      <w:bookmarkStart w:id="343" w:name="_Toc458768669"/>
      <w:bookmarkStart w:id="344" w:name="_Toc478721530"/>
      <w:r w:rsidRPr="00B83773">
        <w:lastRenderedPageBreak/>
        <w:t>Spirometry</w:t>
      </w:r>
      <w:r>
        <w:t xml:space="preserve"> </w:t>
      </w:r>
      <w:r w:rsidR="00C23694" w:rsidRPr="00006172">
        <w:t>Rapid</w:t>
      </w:r>
      <w:r w:rsidR="00C23694" w:rsidRPr="00350202">
        <w:t xml:space="preserve"> Review Report</w:t>
      </w:r>
      <w:bookmarkEnd w:id="341"/>
      <w:bookmarkEnd w:id="342"/>
      <w:bookmarkEnd w:id="343"/>
      <w:bookmarkEnd w:id="344"/>
    </w:p>
    <w:p w14:paraId="5FB1F00B" w14:textId="77777777" w:rsidR="008B1C85" w:rsidRPr="007C600D" w:rsidRDefault="008B1C85" w:rsidP="008B1C85">
      <w:pPr>
        <w:pStyle w:val="TitlePageLowercase"/>
        <w:spacing w:before="2400"/>
        <w:rPr>
          <w:rFonts w:asciiTheme="minorHAnsi" w:hAnsiTheme="minorHAnsi" w:cstheme="minorHAnsi"/>
        </w:rPr>
      </w:pPr>
      <w:r w:rsidRPr="007C600D">
        <w:rPr>
          <w:rFonts w:asciiTheme="minorHAnsi" w:hAnsiTheme="minorHAnsi" w:cstheme="minorHAnsi"/>
        </w:rPr>
        <w:t>MBS Review</w:t>
      </w:r>
    </w:p>
    <w:p w14:paraId="4852B228" w14:textId="77777777" w:rsidR="008B1C85" w:rsidRPr="007C600D" w:rsidRDefault="008B1C85" w:rsidP="008B1C85">
      <w:pPr>
        <w:pStyle w:val="TITLEPAGECAPS"/>
        <w:spacing w:before="960"/>
        <w:rPr>
          <w:rFonts w:asciiTheme="minorHAnsi" w:hAnsiTheme="minorHAnsi" w:cstheme="minorHAnsi"/>
        </w:rPr>
      </w:pPr>
      <w:r w:rsidRPr="007C600D">
        <w:rPr>
          <w:rFonts w:asciiTheme="minorHAnsi" w:hAnsiTheme="minorHAnsi" w:cstheme="minorHAnsi"/>
        </w:rPr>
        <w:t>Spirometry in the diagnosis and management of people with airflow limitation</w:t>
      </w:r>
    </w:p>
    <w:p w14:paraId="27899268" w14:textId="77777777" w:rsidR="008B1C85" w:rsidRPr="007C600D" w:rsidRDefault="008B1C85" w:rsidP="008B1C85">
      <w:pPr>
        <w:pStyle w:val="TITLEPAGECAPS"/>
        <w:spacing w:before="960"/>
        <w:rPr>
          <w:rFonts w:asciiTheme="minorHAnsi" w:hAnsiTheme="minorHAnsi" w:cstheme="minorHAnsi"/>
        </w:rPr>
      </w:pPr>
      <w:r w:rsidRPr="007C600D">
        <w:rPr>
          <w:rFonts w:asciiTheme="minorHAnsi" w:hAnsiTheme="minorHAnsi" w:cstheme="minorHAnsi"/>
        </w:rPr>
        <w:t>Rapid Review Report</w:t>
      </w:r>
    </w:p>
    <w:p w14:paraId="63C26C82" w14:textId="77777777" w:rsidR="008B1C85" w:rsidRPr="007C600D" w:rsidRDefault="008B1C85" w:rsidP="008B1C85">
      <w:pPr>
        <w:pStyle w:val="TitlePageLowercase"/>
        <w:spacing w:before="3600"/>
        <w:jc w:val="right"/>
        <w:rPr>
          <w:rFonts w:asciiTheme="minorHAnsi" w:hAnsiTheme="minorHAnsi" w:cstheme="minorHAnsi"/>
        </w:rPr>
      </w:pPr>
      <w:bookmarkStart w:id="345" w:name="_Toc374972251"/>
      <w:bookmarkStart w:id="346" w:name="_Toc374972612"/>
      <w:r w:rsidRPr="007C600D">
        <w:rPr>
          <w:rFonts w:asciiTheme="minorHAnsi" w:hAnsiTheme="minorHAnsi" w:cstheme="minorHAnsi"/>
        </w:rPr>
        <w:t xml:space="preserve">February 2016 </w:t>
      </w:r>
    </w:p>
    <w:p w14:paraId="34C99111" w14:textId="77777777" w:rsidR="008B1C85" w:rsidRDefault="008B1C85" w:rsidP="00E52BC8">
      <w:pPr>
        <w:sectPr w:rsidR="008B1C85" w:rsidSect="008B1C85">
          <w:headerReference w:type="default" r:id="rId16"/>
          <w:pgSz w:w="11906" w:h="16838" w:code="9"/>
          <w:pgMar w:top="1134" w:right="1134" w:bottom="1701" w:left="1701" w:header="567" w:footer="567" w:gutter="0"/>
          <w:cols w:space="708"/>
          <w:docGrid w:linePitch="360"/>
        </w:sectPr>
      </w:pPr>
    </w:p>
    <w:p w14:paraId="33CF0AD9" w14:textId="77777777" w:rsidR="008B1C85" w:rsidRPr="00FE05D1" w:rsidRDefault="008B1C85" w:rsidP="008B1C85">
      <w:pPr>
        <w:pStyle w:val="Preamble1"/>
        <w:spacing w:before="200"/>
        <w:rPr>
          <w:rFonts w:asciiTheme="minorHAnsi" w:hAnsiTheme="minorHAnsi"/>
        </w:rPr>
      </w:pPr>
      <w:r w:rsidRPr="00FE05D1">
        <w:rPr>
          <w:rFonts w:asciiTheme="minorHAnsi" w:hAnsiTheme="minorHAnsi"/>
        </w:rPr>
        <w:lastRenderedPageBreak/>
        <w:t>Suggested Citation</w:t>
      </w:r>
    </w:p>
    <w:p w14:paraId="28E00039" w14:textId="77777777" w:rsidR="008B1C85" w:rsidRPr="00FE05D1" w:rsidRDefault="008B1C85" w:rsidP="00B04D68">
      <w:r w:rsidRPr="00FE05D1">
        <w:t>This report was prepared by Ms Kate Applegarth, Dr Diah Elhassen, Dr Sue Campbell, Dr Lisa Fodero and Mr Joe Scuteri from HealthConsult Pty Ltd.</w:t>
      </w:r>
    </w:p>
    <w:p w14:paraId="347558EF" w14:textId="77777777" w:rsidR="008B1C85" w:rsidRPr="00FE05D1" w:rsidRDefault="008B1C85" w:rsidP="00B04D68">
      <w:r w:rsidRPr="00FE05D1">
        <w:t>This report should be cited as follows:</w:t>
      </w:r>
    </w:p>
    <w:p w14:paraId="14E19494" w14:textId="77777777" w:rsidR="008B1C85" w:rsidRPr="00FE05D1" w:rsidRDefault="008B1C85" w:rsidP="00B04D68">
      <w:r w:rsidRPr="00FE05D1">
        <w:t>Applegarth K, Elhassen D, Campbell S, Fodero L, Scuteri J. (2016). Spirometry in the diagnosis and management of people with airflow limitation: a rapid review of the evidence. Commonwealth of Australia, Canberra, ACT.</w:t>
      </w:r>
    </w:p>
    <w:p w14:paraId="2D0DBDBF" w14:textId="77777777" w:rsidR="008B1C85" w:rsidRPr="00FE05D1" w:rsidRDefault="008B1C85" w:rsidP="008B1C85">
      <w:pPr>
        <w:pStyle w:val="Preamble1"/>
        <w:spacing w:before="200"/>
        <w:rPr>
          <w:rFonts w:asciiTheme="minorHAnsi" w:hAnsiTheme="minorHAnsi"/>
        </w:rPr>
      </w:pPr>
      <w:r w:rsidRPr="00FE05D1">
        <w:rPr>
          <w:rFonts w:asciiTheme="minorHAnsi" w:hAnsiTheme="minorHAnsi"/>
        </w:rPr>
        <w:t>Conflict of Interest Statement</w:t>
      </w:r>
    </w:p>
    <w:p w14:paraId="033502E9" w14:textId="77777777" w:rsidR="008B1C85" w:rsidRPr="00FE05D1" w:rsidRDefault="008B1C85" w:rsidP="00B04D68">
      <w:r w:rsidRPr="00FE05D1">
        <w:t>All authors engaged by the MBS Review Taskforce are impartial. There are no competing interests or conflicts of interest to declare.</w:t>
      </w:r>
    </w:p>
    <w:p w14:paraId="23BD52CD" w14:textId="77777777" w:rsidR="008B1C85" w:rsidRPr="00FE05D1" w:rsidRDefault="008B1C85" w:rsidP="008B1C85">
      <w:pPr>
        <w:pStyle w:val="Preamble1"/>
        <w:spacing w:before="200"/>
        <w:rPr>
          <w:rFonts w:asciiTheme="minorHAnsi" w:hAnsiTheme="minorHAnsi"/>
        </w:rPr>
      </w:pPr>
      <w:r w:rsidRPr="00FE05D1">
        <w:rPr>
          <w:rFonts w:asciiTheme="minorHAnsi" w:hAnsiTheme="minorHAnsi"/>
        </w:rPr>
        <w:t>Rapid Review Methodology</w:t>
      </w:r>
    </w:p>
    <w:p w14:paraId="311E581F" w14:textId="77777777" w:rsidR="008B1C85" w:rsidRPr="00FE05D1" w:rsidRDefault="008B1C85" w:rsidP="00B83773">
      <w:r w:rsidRPr="00FE05D1">
        <w:t>Rapid reviews are completed in 2–4-week time frames. Clinical questions are developed by the relevant MBS Review Clinical Committee or their Working Groups. A systematic literature search is then conducted to identify relevant systematic reviews, health technology assessments, meta-analyses, and evidence-based clinical practice guidelines.</w:t>
      </w:r>
    </w:p>
    <w:p w14:paraId="742758FA" w14:textId="77777777" w:rsidR="008B1C85" w:rsidRPr="00FE05D1" w:rsidRDefault="008B1C85" w:rsidP="00B83773">
      <w:r w:rsidRPr="00FE05D1">
        <w:t xml:space="preserve">Systematic reviews, if found, are rated by AMSTAR to determine the methodological quality of the review. If the systematic review has evaluated the included primary studies using the </w:t>
      </w:r>
      <w:hyperlink r:id="rId17" w:history="1">
        <w:r w:rsidRPr="007B0110">
          <w:rPr>
            <w:rStyle w:val="Hyperlink"/>
          </w:rPr>
          <w:t>GRADE Working Group criteria</w:t>
        </w:r>
      </w:hyperlink>
      <w:r w:rsidRPr="00FE05D1">
        <w:t>, the results are reported and the rapid review process is complete. If the systematic review has not evaluated the primary studies using GRADE, the primary studies in the systematic review are retrieved and the GRADE criteria are applied to two outcomes.</w:t>
      </w:r>
    </w:p>
    <w:p w14:paraId="248D661C" w14:textId="77777777" w:rsidR="008B1C85" w:rsidRPr="00FE05D1" w:rsidRDefault="008B1C85" w:rsidP="008B1C85">
      <w:pPr>
        <w:pStyle w:val="Preamble1"/>
        <w:spacing w:before="200"/>
        <w:rPr>
          <w:rFonts w:asciiTheme="minorHAnsi" w:hAnsiTheme="minorHAnsi"/>
        </w:rPr>
      </w:pPr>
      <w:r w:rsidRPr="00FE05D1">
        <w:rPr>
          <w:rFonts w:asciiTheme="minorHAnsi" w:hAnsiTheme="minorHAnsi"/>
        </w:rPr>
        <w:t>About the MBS Review Taskforce</w:t>
      </w:r>
    </w:p>
    <w:p w14:paraId="5F92FA3D" w14:textId="77777777" w:rsidR="008B1C85" w:rsidRPr="00FE05D1" w:rsidRDefault="008B1C85" w:rsidP="00B83773">
      <w:r w:rsidRPr="00FE05D1">
        <w:t>The MBS Review Taskforce was established in 2015 as part of the Government’s Healthier Medicare initiative. The Taskforce will review the MBS in its entirety, considering individual items as well as the rules and legislation governing their application, with the overarching goal of promoting the provision of the best patient outcomes for our health expenditure.</w:t>
      </w:r>
    </w:p>
    <w:p w14:paraId="2496ED99" w14:textId="77777777" w:rsidR="008B1C85" w:rsidRPr="00FE05D1" w:rsidRDefault="008B1C85" w:rsidP="00B83773">
      <w:r w:rsidRPr="00FE05D1">
        <w:t>The Taskforce’s membership includes doctors working in both the public and private sectors with expertise in general practice, surgery, pathology, radiology, public health and medical administration, as well as consumer representation and academic expertise in health technology assessment.</w:t>
      </w:r>
    </w:p>
    <w:p w14:paraId="4D25CE96" w14:textId="77777777" w:rsidR="008B1C85" w:rsidRPr="00FE05D1" w:rsidRDefault="008B1C85" w:rsidP="008B1C85">
      <w:pPr>
        <w:pStyle w:val="Preamble1"/>
        <w:spacing w:before="200"/>
        <w:rPr>
          <w:rFonts w:asciiTheme="minorHAnsi" w:hAnsiTheme="minorHAnsi"/>
        </w:rPr>
      </w:pPr>
      <w:r w:rsidRPr="00FE05D1">
        <w:rPr>
          <w:rFonts w:asciiTheme="minorHAnsi" w:hAnsiTheme="minorHAnsi"/>
        </w:rPr>
        <w:t>Disclaimer</w:t>
      </w:r>
    </w:p>
    <w:p w14:paraId="3E733FB0" w14:textId="77777777" w:rsidR="008B1C85" w:rsidRDefault="008B1C85" w:rsidP="00B83773">
      <w:r w:rsidRPr="00FE05D1">
        <w:t xml:space="preserve">This Rapid Review is the work of HealthConsult and was commissioned by the MBS Review Taskforce and its Thoracic Medicine Clinical Committee. It was developed from analysis, interpretation, and comparison of published scientific research. It also incorporates, when available, MBS data and information provided by experts. As this is a rapid review, it may not reflect all the available scientific </w:t>
      </w:r>
      <w:r w:rsidRPr="00FE05D1">
        <w:lastRenderedPageBreak/>
        <w:t xml:space="preserve">research and is not intended as an exhaustive analysis. HealthConsult, the MBS Review Taskforce and the Thoracic Medicine Clinical Committee assume no responsibility for omissions or incomplete analysis resulting from its rapid reviews. In addition, it is possible that other relevant scientific findings may have been reported since completion of the review. This report is current as of the date of the literature search specified in the Research Methods section. HealthConsult, the MBS Review Taskforce and the Thoracic Medicine Clinical Committee make no representation that the literature </w:t>
      </w:r>
      <w:r>
        <w:t>search captured every publication that was or could be applicable to the subject matter of the report.</w:t>
      </w:r>
    </w:p>
    <w:p w14:paraId="665F0BB1" w14:textId="77777777" w:rsidR="00304394" w:rsidRDefault="00304394">
      <w:pPr>
        <w:spacing w:before="0" w:after="0" w:line="240" w:lineRule="auto"/>
      </w:pPr>
      <w:r>
        <w:br w:type="page"/>
      </w:r>
    </w:p>
    <w:p w14:paraId="67506D73" w14:textId="77777777" w:rsidR="008B1C85" w:rsidRPr="00AF3788" w:rsidRDefault="00304394" w:rsidP="00304394">
      <w:pPr>
        <w:rPr>
          <w:b/>
        </w:rPr>
      </w:pPr>
      <w:r w:rsidRPr="00AF3788">
        <w:rPr>
          <w:b/>
        </w:rPr>
        <w:lastRenderedPageBreak/>
        <w:t>Table of contents</w:t>
      </w:r>
    </w:p>
    <w:p w14:paraId="1383C10D" w14:textId="77777777" w:rsidR="00814B7A" w:rsidRPr="00304394" w:rsidRDefault="00304394" w:rsidP="001C53D8">
      <w:pPr>
        <w:tabs>
          <w:tab w:val="right" w:pos="8222"/>
        </w:tabs>
      </w:pPr>
      <w:r w:rsidRPr="00710067">
        <w:t>Executive Summary</w:t>
      </w:r>
      <w:r w:rsidR="001C53D8">
        <w:rPr>
          <w:webHidden/>
        </w:rPr>
        <w:tab/>
      </w:r>
      <w:r w:rsidR="00CD03FD">
        <w:rPr>
          <w:webHidden/>
        </w:rPr>
        <w:t>88</w:t>
      </w:r>
    </w:p>
    <w:p w14:paraId="4091D542" w14:textId="77777777" w:rsidR="00814B7A" w:rsidRPr="00304394" w:rsidRDefault="00710067" w:rsidP="001C53D8">
      <w:pPr>
        <w:tabs>
          <w:tab w:val="left" w:pos="1134"/>
          <w:tab w:val="right" w:pos="8222"/>
        </w:tabs>
      </w:pPr>
      <w:r w:rsidRPr="008F1656">
        <w:rPr>
          <w:b/>
        </w:rPr>
        <w:t>1</w:t>
      </w:r>
      <w:r w:rsidRPr="008F1656">
        <w:rPr>
          <w:b/>
        </w:rPr>
        <w:tab/>
      </w:r>
      <w:r w:rsidRPr="00B9124C">
        <w:rPr>
          <w:b/>
        </w:rPr>
        <w:t>BACKGROUND</w:t>
      </w:r>
      <w:r w:rsidRPr="00710067">
        <w:rPr>
          <w:webHidden/>
        </w:rPr>
        <w:tab/>
      </w:r>
      <w:r w:rsidR="00CD03FD">
        <w:rPr>
          <w:webHidden/>
        </w:rPr>
        <w:t>92</w:t>
      </w:r>
    </w:p>
    <w:p w14:paraId="35AF0E08" w14:textId="77777777" w:rsidR="00814B7A" w:rsidRPr="00304394" w:rsidRDefault="00710067" w:rsidP="001C53D8">
      <w:pPr>
        <w:tabs>
          <w:tab w:val="left" w:pos="1134"/>
          <w:tab w:val="right" w:pos="8222"/>
        </w:tabs>
      </w:pPr>
      <w:r w:rsidRPr="00710067">
        <w:t>1.1</w:t>
      </w:r>
      <w:r w:rsidRPr="00710067">
        <w:tab/>
        <w:t>Objective of this Rapid Review</w:t>
      </w:r>
      <w:r w:rsidRPr="00710067">
        <w:rPr>
          <w:webHidden/>
        </w:rPr>
        <w:tab/>
      </w:r>
      <w:r w:rsidR="00CD03FD">
        <w:rPr>
          <w:webHidden/>
        </w:rPr>
        <w:t>92</w:t>
      </w:r>
    </w:p>
    <w:p w14:paraId="17BA2692" w14:textId="77777777" w:rsidR="00814B7A" w:rsidRPr="00304394" w:rsidRDefault="00710067" w:rsidP="00592370">
      <w:pPr>
        <w:tabs>
          <w:tab w:val="left" w:pos="1134"/>
          <w:tab w:val="right" w:pos="8222"/>
        </w:tabs>
      </w:pPr>
      <w:r w:rsidRPr="00710067">
        <w:t>1.2</w:t>
      </w:r>
      <w:r w:rsidRPr="00710067">
        <w:tab/>
        <w:t>Clinical Need and Target Population</w:t>
      </w:r>
      <w:r w:rsidRPr="00710067">
        <w:rPr>
          <w:webHidden/>
        </w:rPr>
        <w:tab/>
      </w:r>
      <w:r w:rsidR="00CD03FD">
        <w:rPr>
          <w:webHidden/>
        </w:rPr>
        <w:t>92</w:t>
      </w:r>
    </w:p>
    <w:p w14:paraId="5B666476" w14:textId="77777777" w:rsidR="00814B7A" w:rsidRPr="00304394" w:rsidRDefault="00710067" w:rsidP="00592370">
      <w:pPr>
        <w:tabs>
          <w:tab w:val="left" w:pos="1134"/>
          <w:tab w:val="right" w:pos="8222"/>
        </w:tabs>
      </w:pPr>
      <w:r w:rsidRPr="00710067">
        <w:t>1.2.1</w:t>
      </w:r>
      <w:r w:rsidRPr="00710067">
        <w:tab/>
        <w:t>Prevalence of Asthma and COPD in Australia</w:t>
      </w:r>
      <w:r w:rsidRPr="00710067">
        <w:rPr>
          <w:webHidden/>
        </w:rPr>
        <w:tab/>
      </w:r>
      <w:r w:rsidR="00CD03FD">
        <w:rPr>
          <w:webHidden/>
        </w:rPr>
        <w:t>93</w:t>
      </w:r>
    </w:p>
    <w:p w14:paraId="0228F044" w14:textId="77777777" w:rsidR="00814B7A" w:rsidRPr="00304394" w:rsidRDefault="00710067" w:rsidP="00592370">
      <w:pPr>
        <w:tabs>
          <w:tab w:val="left" w:pos="1134"/>
          <w:tab w:val="right" w:pos="8222"/>
        </w:tabs>
      </w:pPr>
      <w:r w:rsidRPr="00710067">
        <w:t>1.3</w:t>
      </w:r>
      <w:r w:rsidRPr="00710067">
        <w:tab/>
        <w:t>Technology/Technique</w:t>
      </w:r>
      <w:r w:rsidRPr="00710067">
        <w:rPr>
          <w:webHidden/>
        </w:rPr>
        <w:tab/>
      </w:r>
      <w:r w:rsidR="004C6D55">
        <w:rPr>
          <w:webHidden/>
        </w:rPr>
        <w:t>93</w:t>
      </w:r>
    </w:p>
    <w:p w14:paraId="77961BAB" w14:textId="77777777" w:rsidR="00814B7A" w:rsidRPr="00304394" w:rsidRDefault="00710067" w:rsidP="00592370">
      <w:pPr>
        <w:tabs>
          <w:tab w:val="left" w:pos="1134"/>
          <w:tab w:val="right" w:pos="8222"/>
        </w:tabs>
      </w:pPr>
      <w:r w:rsidRPr="00710067">
        <w:t>1.4</w:t>
      </w:r>
      <w:r w:rsidRPr="00710067">
        <w:tab/>
        <w:t>MBS Context</w:t>
      </w:r>
      <w:r w:rsidRPr="00710067">
        <w:rPr>
          <w:webHidden/>
        </w:rPr>
        <w:tab/>
      </w:r>
      <w:r w:rsidR="004C6D55">
        <w:rPr>
          <w:webHidden/>
        </w:rPr>
        <w:t>96</w:t>
      </w:r>
    </w:p>
    <w:p w14:paraId="54B06D74" w14:textId="77777777" w:rsidR="00814B7A" w:rsidRPr="00304394" w:rsidRDefault="00710067" w:rsidP="00592370">
      <w:pPr>
        <w:tabs>
          <w:tab w:val="left" w:pos="1134"/>
          <w:tab w:val="right" w:pos="8222"/>
        </w:tabs>
      </w:pPr>
      <w:r w:rsidRPr="008F1656">
        <w:rPr>
          <w:b/>
        </w:rPr>
        <w:t>2</w:t>
      </w:r>
      <w:r w:rsidRPr="008F1656">
        <w:rPr>
          <w:b/>
        </w:rPr>
        <w:tab/>
      </w:r>
      <w:r w:rsidRPr="00B9124C">
        <w:rPr>
          <w:b/>
        </w:rPr>
        <w:t>RAPID REVIEW</w:t>
      </w:r>
      <w:r w:rsidRPr="00710067">
        <w:rPr>
          <w:webHidden/>
        </w:rPr>
        <w:tab/>
      </w:r>
      <w:r w:rsidR="004C6D55">
        <w:rPr>
          <w:webHidden/>
        </w:rPr>
        <w:t>97</w:t>
      </w:r>
    </w:p>
    <w:p w14:paraId="0F63CF23" w14:textId="77777777" w:rsidR="00814B7A" w:rsidRPr="00304394" w:rsidRDefault="00710067" w:rsidP="00592370">
      <w:pPr>
        <w:tabs>
          <w:tab w:val="left" w:pos="1134"/>
          <w:tab w:val="right" w:pos="8222"/>
        </w:tabs>
      </w:pPr>
      <w:r w:rsidRPr="00710067">
        <w:t>2.1</w:t>
      </w:r>
      <w:r w:rsidRPr="00710067">
        <w:tab/>
        <w:t>Research Questions</w:t>
      </w:r>
      <w:r w:rsidRPr="00710067">
        <w:rPr>
          <w:webHidden/>
        </w:rPr>
        <w:tab/>
      </w:r>
      <w:r w:rsidR="004C6D55">
        <w:rPr>
          <w:webHidden/>
        </w:rPr>
        <w:t>97</w:t>
      </w:r>
    </w:p>
    <w:p w14:paraId="030E3CF2" w14:textId="77777777" w:rsidR="00814B7A" w:rsidRPr="00304394" w:rsidRDefault="00710067" w:rsidP="00592370">
      <w:pPr>
        <w:tabs>
          <w:tab w:val="left" w:pos="1134"/>
          <w:tab w:val="right" w:pos="8222"/>
        </w:tabs>
      </w:pPr>
      <w:r w:rsidRPr="00710067">
        <w:t>2.2</w:t>
      </w:r>
      <w:r w:rsidRPr="00710067">
        <w:tab/>
        <w:t>Research Methods</w:t>
      </w:r>
      <w:r w:rsidR="001C53D8">
        <w:rPr>
          <w:webHidden/>
        </w:rPr>
        <w:tab/>
      </w:r>
      <w:r w:rsidR="004C6D55">
        <w:rPr>
          <w:webHidden/>
        </w:rPr>
        <w:t>98</w:t>
      </w:r>
    </w:p>
    <w:p w14:paraId="5444D17A" w14:textId="77777777" w:rsidR="00814B7A" w:rsidRPr="00304394" w:rsidRDefault="00710067" w:rsidP="00592370">
      <w:pPr>
        <w:tabs>
          <w:tab w:val="left" w:pos="1134"/>
          <w:tab w:val="right" w:pos="8222"/>
        </w:tabs>
      </w:pPr>
      <w:r w:rsidRPr="00710067">
        <w:t>2.2.1</w:t>
      </w:r>
      <w:r w:rsidRPr="00710067">
        <w:tab/>
        <w:t>Literature Search</w:t>
      </w:r>
      <w:r w:rsidRPr="00710067">
        <w:rPr>
          <w:webHidden/>
        </w:rPr>
        <w:tab/>
      </w:r>
      <w:r w:rsidR="004C6D55">
        <w:rPr>
          <w:webHidden/>
        </w:rPr>
        <w:t>98</w:t>
      </w:r>
    </w:p>
    <w:p w14:paraId="6F250CB0" w14:textId="77777777" w:rsidR="00814B7A" w:rsidRPr="00304394" w:rsidRDefault="00710067" w:rsidP="00592370">
      <w:pPr>
        <w:tabs>
          <w:tab w:val="left" w:pos="1134"/>
          <w:tab w:val="right" w:pos="8222"/>
        </w:tabs>
      </w:pPr>
      <w:r w:rsidRPr="00710067">
        <w:t>2.2.2</w:t>
      </w:r>
      <w:r w:rsidRPr="00710067">
        <w:tab/>
        <w:t>Inclusion Criteria</w:t>
      </w:r>
      <w:r w:rsidRPr="00710067">
        <w:rPr>
          <w:webHidden/>
        </w:rPr>
        <w:tab/>
      </w:r>
      <w:r w:rsidR="004C6D55">
        <w:rPr>
          <w:webHidden/>
        </w:rPr>
        <w:t>98</w:t>
      </w:r>
    </w:p>
    <w:p w14:paraId="7B64A4D5" w14:textId="77777777" w:rsidR="00814B7A" w:rsidRPr="00304394" w:rsidRDefault="00710067" w:rsidP="00592370">
      <w:pPr>
        <w:tabs>
          <w:tab w:val="left" w:pos="1134"/>
          <w:tab w:val="right" w:pos="8222"/>
        </w:tabs>
      </w:pPr>
      <w:r w:rsidRPr="00710067">
        <w:t>2.2.3</w:t>
      </w:r>
      <w:r w:rsidRPr="00710067">
        <w:tab/>
        <w:t>Exclusion Criteria</w:t>
      </w:r>
      <w:r w:rsidRPr="00710067">
        <w:rPr>
          <w:webHidden/>
        </w:rPr>
        <w:tab/>
      </w:r>
      <w:r w:rsidR="004C6D55">
        <w:rPr>
          <w:webHidden/>
        </w:rPr>
        <w:t>98</w:t>
      </w:r>
    </w:p>
    <w:p w14:paraId="5F148AF8" w14:textId="77777777" w:rsidR="00814B7A" w:rsidRPr="00304394" w:rsidRDefault="00710067" w:rsidP="00592370">
      <w:pPr>
        <w:tabs>
          <w:tab w:val="left" w:pos="1134"/>
          <w:tab w:val="right" w:pos="8222"/>
        </w:tabs>
      </w:pPr>
      <w:r w:rsidRPr="00710067">
        <w:t>2.2.4</w:t>
      </w:r>
      <w:r w:rsidRPr="00710067">
        <w:tab/>
        <w:t>Outcomes of Interest</w:t>
      </w:r>
      <w:r w:rsidRPr="00710067">
        <w:rPr>
          <w:webHidden/>
        </w:rPr>
        <w:tab/>
      </w:r>
      <w:r w:rsidR="00B9124C">
        <w:rPr>
          <w:webHidden/>
        </w:rPr>
        <w:t>99</w:t>
      </w:r>
    </w:p>
    <w:p w14:paraId="32243538" w14:textId="77777777" w:rsidR="00814B7A" w:rsidRPr="00304394" w:rsidRDefault="00710067" w:rsidP="00592370">
      <w:pPr>
        <w:tabs>
          <w:tab w:val="left" w:pos="1134"/>
          <w:tab w:val="right" w:pos="8222"/>
        </w:tabs>
      </w:pPr>
      <w:r w:rsidRPr="00710067">
        <w:t>2.3</w:t>
      </w:r>
      <w:r w:rsidRPr="00710067">
        <w:tab/>
        <w:t>Results of Literature Search</w:t>
      </w:r>
      <w:r w:rsidRPr="00710067">
        <w:rPr>
          <w:webHidden/>
        </w:rPr>
        <w:tab/>
      </w:r>
      <w:r w:rsidR="004C6D55">
        <w:rPr>
          <w:webHidden/>
        </w:rPr>
        <w:t>99</w:t>
      </w:r>
    </w:p>
    <w:p w14:paraId="321A791D" w14:textId="77777777" w:rsidR="00814B7A" w:rsidRPr="00304394" w:rsidRDefault="00710067" w:rsidP="00592370">
      <w:pPr>
        <w:tabs>
          <w:tab w:val="left" w:pos="1134"/>
          <w:tab w:val="right" w:pos="8222"/>
        </w:tabs>
      </w:pPr>
      <w:r w:rsidRPr="00710067">
        <w:t>2.3.1</w:t>
      </w:r>
      <w:r w:rsidRPr="00710067">
        <w:tab/>
        <w:t>Systematic Reviews and Meta-analyses</w:t>
      </w:r>
      <w:r w:rsidR="00B9124C">
        <w:tab/>
      </w:r>
      <w:r w:rsidR="004C6D55">
        <w:t>99</w:t>
      </w:r>
    </w:p>
    <w:p w14:paraId="3CA52A39" w14:textId="77777777" w:rsidR="00814B7A" w:rsidRPr="00304394" w:rsidRDefault="00710067" w:rsidP="00592370">
      <w:pPr>
        <w:tabs>
          <w:tab w:val="left" w:pos="1134"/>
          <w:tab w:val="right" w:pos="8222"/>
        </w:tabs>
      </w:pPr>
      <w:r w:rsidRPr="00710067">
        <w:t>2.3.2</w:t>
      </w:r>
      <w:r w:rsidRPr="00710067">
        <w:tab/>
        <w:t>Clinical Practice Guidelines</w:t>
      </w:r>
      <w:r w:rsidRPr="00710067">
        <w:rPr>
          <w:webHidden/>
        </w:rPr>
        <w:tab/>
      </w:r>
      <w:r w:rsidR="004C6D55">
        <w:rPr>
          <w:webHidden/>
        </w:rPr>
        <w:t>100</w:t>
      </w:r>
    </w:p>
    <w:p w14:paraId="27519AA2" w14:textId="77777777" w:rsidR="00814B7A" w:rsidRPr="00304394" w:rsidRDefault="00710067" w:rsidP="00592370">
      <w:pPr>
        <w:tabs>
          <w:tab w:val="left" w:pos="1134"/>
          <w:tab w:val="right" w:pos="8222"/>
        </w:tabs>
      </w:pPr>
      <w:r w:rsidRPr="00710067">
        <w:t>2.4</w:t>
      </w:r>
      <w:r w:rsidRPr="00710067">
        <w:tab/>
        <w:t>Does the use of spirometry improve diagnostic accuracy and health outcomes in people presenting with respiratory symptoms?</w:t>
      </w:r>
      <w:r w:rsidRPr="00710067">
        <w:rPr>
          <w:webHidden/>
        </w:rPr>
        <w:tab/>
      </w:r>
      <w:r w:rsidR="004C6D55">
        <w:rPr>
          <w:webHidden/>
        </w:rPr>
        <w:t>102</w:t>
      </w:r>
    </w:p>
    <w:p w14:paraId="00A60F19" w14:textId="77777777" w:rsidR="00814B7A" w:rsidRPr="00304394" w:rsidRDefault="00710067" w:rsidP="00592370">
      <w:pPr>
        <w:tabs>
          <w:tab w:val="left" w:pos="1134"/>
          <w:tab w:val="right" w:pos="8222"/>
        </w:tabs>
      </w:pPr>
      <w:r w:rsidRPr="00710067">
        <w:t>2.4.1</w:t>
      </w:r>
      <w:r w:rsidRPr="00710067">
        <w:tab/>
        <w:t>Systematic Reviews</w:t>
      </w:r>
      <w:r w:rsidRPr="00710067">
        <w:rPr>
          <w:webHidden/>
        </w:rPr>
        <w:tab/>
      </w:r>
      <w:r w:rsidR="004C6D55">
        <w:rPr>
          <w:webHidden/>
        </w:rPr>
        <w:t>102</w:t>
      </w:r>
    </w:p>
    <w:p w14:paraId="7D9DE82D" w14:textId="77777777" w:rsidR="00814B7A" w:rsidRPr="00304394" w:rsidRDefault="00710067" w:rsidP="00592370">
      <w:pPr>
        <w:tabs>
          <w:tab w:val="left" w:pos="1134"/>
          <w:tab w:val="right" w:pos="8222"/>
        </w:tabs>
      </w:pPr>
      <w:r w:rsidRPr="00710067">
        <w:t>2.4.2</w:t>
      </w:r>
      <w:r w:rsidRPr="00710067">
        <w:tab/>
        <w:t>Clinical Practice Guidelines</w:t>
      </w:r>
      <w:r w:rsidRPr="00710067">
        <w:rPr>
          <w:webHidden/>
        </w:rPr>
        <w:tab/>
      </w:r>
      <w:r w:rsidR="004C6D55">
        <w:rPr>
          <w:webHidden/>
        </w:rPr>
        <w:t>103</w:t>
      </w:r>
    </w:p>
    <w:p w14:paraId="2DE10C19" w14:textId="77777777" w:rsidR="00814B7A" w:rsidRPr="00304394" w:rsidRDefault="00710067" w:rsidP="00592370">
      <w:pPr>
        <w:tabs>
          <w:tab w:val="left" w:pos="1134"/>
          <w:tab w:val="right" w:pos="8222"/>
        </w:tabs>
      </w:pPr>
      <w:r w:rsidRPr="00710067">
        <w:t>2.5</w:t>
      </w:r>
      <w:r w:rsidRPr="00710067">
        <w:tab/>
        <w:t>In patients diagnosed with asthma or COPD, what is the clinical utility of spirometry for assessing acute exacerbations?</w:t>
      </w:r>
      <w:r w:rsidRPr="00710067">
        <w:rPr>
          <w:webHidden/>
        </w:rPr>
        <w:tab/>
      </w:r>
      <w:r w:rsidR="004C6D55">
        <w:rPr>
          <w:webHidden/>
        </w:rPr>
        <w:t>129</w:t>
      </w:r>
    </w:p>
    <w:p w14:paraId="2D99E2F1" w14:textId="77777777" w:rsidR="00814B7A" w:rsidRPr="00304394" w:rsidRDefault="00710067" w:rsidP="00592370">
      <w:pPr>
        <w:tabs>
          <w:tab w:val="left" w:pos="1134"/>
          <w:tab w:val="right" w:pos="8222"/>
        </w:tabs>
      </w:pPr>
      <w:r w:rsidRPr="00710067">
        <w:t>2.5.1</w:t>
      </w:r>
      <w:r w:rsidRPr="00710067">
        <w:tab/>
        <w:t>Systematic Reviews</w:t>
      </w:r>
      <w:r w:rsidRPr="00710067">
        <w:rPr>
          <w:webHidden/>
        </w:rPr>
        <w:tab/>
      </w:r>
      <w:r w:rsidR="004C6D55">
        <w:rPr>
          <w:webHidden/>
        </w:rPr>
        <w:t>129</w:t>
      </w:r>
    </w:p>
    <w:p w14:paraId="03A3F273" w14:textId="77777777" w:rsidR="00814B7A" w:rsidRPr="00304394" w:rsidRDefault="00710067" w:rsidP="00592370">
      <w:pPr>
        <w:tabs>
          <w:tab w:val="left" w:pos="1134"/>
          <w:tab w:val="right" w:pos="8222"/>
        </w:tabs>
      </w:pPr>
      <w:r w:rsidRPr="00710067">
        <w:t>2.5.2</w:t>
      </w:r>
      <w:r w:rsidRPr="00710067">
        <w:tab/>
        <w:t>Clinical Practice Guidelines</w:t>
      </w:r>
      <w:r w:rsidRPr="00710067">
        <w:rPr>
          <w:webHidden/>
        </w:rPr>
        <w:tab/>
      </w:r>
      <w:r w:rsidR="004C6D55">
        <w:rPr>
          <w:webHidden/>
        </w:rPr>
        <w:t>129</w:t>
      </w:r>
    </w:p>
    <w:p w14:paraId="4398D069" w14:textId="77777777" w:rsidR="00814B7A" w:rsidRPr="00304394" w:rsidRDefault="00710067" w:rsidP="00592370">
      <w:pPr>
        <w:tabs>
          <w:tab w:val="left" w:pos="1134"/>
          <w:tab w:val="right" w:pos="8222"/>
        </w:tabs>
      </w:pPr>
      <w:r w:rsidRPr="00710067">
        <w:t>2.6</w:t>
      </w:r>
      <w:r w:rsidRPr="00710067">
        <w:tab/>
        <w:t>In patients diagnosed with asthma or COPD, what is the clinical utility of spirometry for long-term monitoring?</w:t>
      </w:r>
      <w:r w:rsidRPr="00710067">
        <w:rPr>
          <w:webHidden/>
        </w:rPr>
        <w:tab/>
      </w:r>
      <w:r w:rsidR="004C6D55">
        <w:rPr>
          <w:webHidden/>
        </w:rPr>
        <w:t>131</w:t>
      </w:r>
    </w:p>
    <w:p w14:paraId="5880338B" w14:textId="77777777" w:rsidR="00814B7A" w:rsidRPr="00304394" w:rsidRDefault="00710067" w:rsidP="00592370">
      <w:pPr>
        <w:tabs>
          <w:tab w:val="left" w:pos="1134"/>
          <w:tab w:val="right" w:pos="8222"/>
        </w:tabs>
      </w:pPr>
      <w:r w:rsidRPr="00710067">
        <w:lastRenderedPageBreak/>
        <w:t>2.6.1</w:t>
      </w:r>
      <w:r w:rsidRPr="00710067">
        <w:tab/>
        <w:t>Systematic Reviews</w:t>
      </w:r>
      <w:r w:rsidRPr="00710067">
        <w:rPr>
          <w:webHidden/>
        </w:rPr>
        <w:tab/>
      </w:r>
      <w:r w:rsidR="004C6D55">
        <w:rPr>
          <w:webHidden/>
        </w:rPr>
        <w:t>131</w:t>
      </w:r>
    </w:p>
    <w:p w14:paraId="49464ECF" w14:textId="77777777" w:rsidR="00814B7A" w:rsidRPr="00304394" w:rsidRDefault="00710067" w:rsidP="00592370">
      <w:pPr>
        <w:tabs>
          <w:tab w:val="left" w:pos="1134"/>
          <w:tab w:val="right" w:pos="8222"/>
        </w:tabs>
      </w:pPr>
      <w:r w:rsidRPr="00710067">
        <w:t>2.6.2</w:t>
      </w:r>
      <w:r w:rsidRPr="00710067">
        <w:tab/>
        <w:t>Clinical Practice Guidelines</w:t>
      </w:r>
      <w:r w:rsidRPr="00710067">
        <w:rPr>
          <w:webHidden/>
        </w:rPr>
        <w:tab/>
      </w:r>
      <w:r w:rsidR="004C6D55">
        <w:rPr>
          <w:webHidden/>
        </w:rPr>
        <w:t>132</w:t>
      </w:r>
    </w:p>
    <w:p w14:paraId="294A49F2" w14:textId="77777777" w:rsidR="00814B7A" w:rsidRPr="00304394" w:rsidRDefault="00710067" w:rsidP="00592370">
      <w:pPr>
        <w:tabs>
          <w:tab w:val="left" w:pos="1134"/>
          <w:tab w:val="right" w:pos="8222"/>
        </w:tabs>
      </w:pPr>
      <w:r w:rsidRPr="00710067">
        <w:t>2.7</w:t>
      </w:r>
      <w:r w:rsidRPr="00710067">
        <w:tab/>
        <w:t>What is the published evidence for the cost-effectiveness of spirometry for the diagnosis of people presenting with respiratory symptoms?</w:t>
      </w:r>
      <w:r w:rsidRPr="00710067">
        <w:rPr>
          <w:webHidden/>
        </w:rPr>
        <w:tab/>
      </w:r>
      <w:r w:rsidR="004C6D55">
        <w:rPr>
          <w:webHidden/>
        </w:rPr>
        <w:t>143</w:t>
      </w:r>
    </w:p>
    <w:p w14:paraId="22038E3A" w14:textId="77777777" w:rsidR="00814B7A" w:rsidRPr="00304394" w:rsidRDefault="00710067" w:rsidP="00592370">
      <w:pPr>
        <w:tabs>
          <w:tab w:val="left" w:pos="1134"/>
          <w:tab w:val="right" w:pos="8222"/>
        </w:tabs>
      </w:pPr>
      <w:r w:rsidRPr="00710067">
        <w:t>2.7.1</w:t>
      </w:r>
      <w:r w:rsidRPr="00710067">
        <w:tab/>
        <w:t>Systematic Reviews</w:t>
      </w:r>
      <w:r w:rsidRPr="00710067">
        <w:rPr>
          <w:webHidden/>
        </w:rPr>
        <w:tab/>
      </w:r>
      <w:r w:rsidR="004C6D55">
        <w:rPr>
          <w:webHidden/>
        </w:rPr>
        <w:t>143</w:t>
      </w:r>
    </w:p>
    <w:p w14:paraId="7D73FB38" w14:textId="77777777" w:rsidR="00814B7A" w:rsidRPr="00304394" w:rsidRDefault="00710067" w:rsidP="00592370">
      <w:pPr>
        <w:tabs>
          <w:tab w:val="left" w:pos="1134"/>
          <w:tab w:val="right" w:pos="8222"/>
        </w:tabs>
      </w:pPr>
      <w:r w:rsidRPr="00710067">
        <w:t>2.7.2</w:t>
      </w:r>
      <w:r w:rsidRPr="00710067">
        <w:tab/>
        <w:t>Clinical Practice Guidelines</w:t>
      </w:r>
      <w:r w:rsidRPr="00710067">
        <w:rPr>
          <w:webHidden/>
        </w:rPr>
        <w:tab/>
      </w:r>
      <w:r w:rsidR="004C6D55">
        <w:rPr>
          <w:webHidden/>
        </w:rPr>
        <w:t>143</w:t>
      </w:r>
    </w:p>
    <w:p w14:paraId="65797D5E" w14:textId="77777777" w:rsidR="00814B7A" w:rsidRPr="00304394" w:rsidRDefault="00710067" w:rsidP="00592370">
      <w:pPr>
        <w:tabs>
          <w:tab w:val="left" w:pos="1134"/>
          <w:tab w:val="right" w:pos="8222"/>
        </w:tabs>
      </w:pPr>
      <w:r w:rsidRPr="007C5503">
        <w:t>2.8</w:t>
      </w:r>
      <w:r w:rsidRPr="007C5503">
        <w:tab/>
        <w:t>What is the evidence that an increase in spirometry service fees (a) increases the number of accurate diagnoses of asthma or COPD in people presenting with respiratory symptoms, and (b) improves health outcomes?</w:t>
      </w:r>
      <w:r w:rsidRPr="007C5503">
        <w:rPr>
          <w:webHidden/>
        </w:rPr>
        <w:tab/>
      </w:r>
      <w:r w:rsidR="004C6D55">
        <w:rPr>
          <w:webHidden/>
        </w:rPr>
        <w:t>145</w:t>
      </w:r>
    </w:p>
    <w:p w14:paraId="00CB59E4" w14:textId="77777777" w:rsidR="00814B7A" w:rsidRPr="00304394" w:rsidRDefault="00710067" w:rsidP="00592370">
      <w:pPr>
        <w:tabs>
          <w:tab w:val="left" w:pos="1134"/>
          <w:tab w:val="right" w:pos="8222"/>
        </w:tabs>
      </w:pPr>
      <w:r w:rsidRPr="007C5503">
        <w:t>2.9</w:t>
      </w:r>
      <w:r w:rsidRPr="007C5503">
        <w:tab/>
        <w:t>What is the evidence that financial incentives for performing spirometry over and above a fee for service (a) increases the number of accurate diagnoses of asthma or COPD in people presenting with respiratory symptoms, and (b) improves health outcomes?</w:t>
      </w:r>
      <w:r w:rsidR="008F1656">
        <w:rPr>
          <w:webHidden/>
        </w:rPr>
        <w:tab/>
      </w:r>
      <w:r w:rsidR="004C6D55">
        <w:rPr>
          <w:webHidden/>
        </w:rPr>
        <w:t>145</w:t>
      </w:r>
    </w:p>
    <w:p w14:paraId="14443208" w14:textId="77777777" w:rsidR="00814B7A" w:rsidRPr="00304394" w:rsidRDefault="00710067" w:rsidP="00592370">
      <w:pPr>
        <w:tabs>
          <w:tab w:val="left" w:pos="1134"/>
          <w:tab w:val="right" w:pos="8222"/>
        </w:tabs>
      </w:pPr>
      <w:r w:rsidRPr="007C5503">
        <w:t>2.10</w:t>
      </w:r>
      <w:r w:rsidRPr="007C5503">
        <w:tab/>
        <w:t>What is the evidence that introduction of an outcome based payment model that links provider payment to accurate diagnosis of asthma or COPD (a) increases the number of accurate diagnoses of asthma or COPD in people presenting with respiratory symptoms, and (b) improves health outcomes?</w:t>
      </w:r>
      <w:r w:rsidRPr="007C5503">
        <w:rPr>
          <w:webHidden/>
        </w:rPr>
        <w:tab/>
      </w:r>
      <w:r w:rsidR="004C6D55">
        <w:rPr>
          <w:webHidden/>
        </w:rPr>
        <w:t>147</w:t>
      </w:r>
    </w:p>
    <w:p w14:paraId="17402B36" w14:textId="77777777" w:rsidR="00304394" w:rsidRDefault="00710067" w:rsidP="00592370">
      <w:pPr>
        <w:tabs>
          <w:tab w:val="left" w:pos="1134"/>
          <w:tab w:val="right" w:pos="8222"/>
        </w:tabs>
      </w:pPr>
      <w:r w:rsidRPr="007C5503">
        <w:t>2.11</w:t>
      </w:r>
      <w:r w:rsidRPr="007C5503">
        <w:tab/>
        <w:t>Summary of Findings</w:t>
      </w:r>
      <w:r w:rsidRPr="007C5503">
        <w:rPr>
          <w:webHidden/>
        </w:rPr>
        <w:tab/>
      </w:r>
      <w:r w:rsidR="004C6D55">
        <w:rPr>
          <w:webHidden/>
        </w:rPr>
        <w:t>148</w:t>
      </w:r>
    </w:p>
    <w:p w14:paraId="13C66E7B" w14:textId="77777777" w:rsidR="008F1656" w:rsidRPr="008F1656" w:rsidRDefault="00592370" w:rsidP="00592370">
      <w:pPr>
        <w:tabs>
          <w:tab w:val="left" w:pos="1134"/>
          <w:tab w:val="right" w:pos="8222"/>
        </w:tabs>
        <w:rPr>
          <w:b/>
        </w:rPr>
      </w:pPr>
      <w:r>
        <w:rPr>
          <w:b/>
        </w:rPr>
        <w:t>3</w:t>
      </w:r>
      <w:r>
        <w:rPr>
          <w:b/>
        </w:rPr>
        <w:tab/>
        <w:t>CONCLUSIONS</w:t>
      </w:r>
      <w:r w:rsidR="008F1656">
        <w:rPr>
          <w:b/>
        </w:rPr>
        <w:tab/>
      </w:r>
      <w:r w:rsidR="004C6D55">
        <w:rPr>
          <w:b/>
        </w:rPr>
        <w:t>150</w:t>
      </w:r>
    </w:p>
    <w:p w14:paraId="3E8914D3" w14:textId="77777777" w:rsidR="008F1656" w:rsidRPr="007C50A3" w:rsidRDefault="008F1656" w:rsidP="00592370">
      <w:pPr>
        <w:tabs>
          <w:tab w:val="left" w:pos="1134"/>
          <w:tab w:val="right" w:pos="8222"/>
        </w:tabs>
      </w:pPr>
      <w:r w:rsidRPr="007C50A3">
        <w:t>Appendix 1</w:t>
      </w:r>
      <w:r w:rsidRPr="007C50A3">
        <w:tab/>
        <w:t>References</w:t>
      </w:r>
      <w:r w:rsidRPr="007C50A3">
        <w:tab/>
      </w:r>
      <w:r w:rsidR="00964780">
        <w:t>151</w:t>
      </w:r>
    </w:p>
    <w:p w14:paraId="2BF0C453" w14:textId="77777777" w:rsidR="008F1656" w:rsidRPr="007C50A3" w:rsidRDefault="008F1656" w:rsidP="00592370">
      <w:pPr>
        <w:tabs>
          <w:tab w:val="left" w:pos="1134"/>
          <w:tab w:val="right" w:pos="8222"/>
        </w:tabs>
      </w:pPr>
      <w:r w:rsidRPr="007C50A3">
        <w:t>Appendix 2</w:t>
      </w:r>
      <w:r w:rsidRPr="007C50A3">
        <w:tab/>
        <w:t>MBS Information</w:t>
      </w:r>
      <w:r w:rsidRPr="007C50A3">
        <w:tab/>
      </w:r>
      <w:r w:rsidR="00964780">
        <w:t>157</w:t>
      </w:r>
    </w:p>
    <w:p w14:paraId="4EA861E5" w14:textId="77777777" w:rsidR="008F1656" w:rsidRPr="007C50A3" w:rsidRDefault="008F1656" w:rsidP="00592370">
      <w:pPr>
        <w:tabs>
          <w:tab w:val="left" w:pos="1134"/>
          <w:tab w:val="right" w:pos="8222"/>
        </w:tabs>
      </w:pPr>
      <w:r w:rsidRPr="007C50A3">
        <w:t>Appendix 3</w:t>
      </w:r>
      <w:r w:rsidRPr="007C50A3">
        <w:tab/>
        <w:t>MBS Data</w:t>
      </w:r>
      <w:r w:rsidRPr="007C50A3">
        <w:tab/>
      </w:r>
      <w:r w:rsidR="00964780">
        <w:t>159</w:t>
      </w:r>
    </w:p>
    <w:p w14:paraId="2CC05B72" w14:textId="77777777" w:rsidR="008F1656" w:rsidRPr="007C50A3" w:rsidRDefault="008F1656" w:rsidP="00592370">
      <w:pPr>
        <w:tabs>
          <w:tab w:val="left" w:pos="1134"/>
          <w:tab w:val="right" w:pos="8222"/>
        </w:tabs>
      </w:pPr>
      <w:r w:rsidRPr="007C50A3">
        <w:t>Appendix 4</w:t>
      </w:r>
      <w:r w:rsidRPr="007C50A3">
        <w:tab/>
        <w:t>Literature Search</w:t>
      </w:r>
      <w:r w:rsidRPr="007C50A3">
        <w:tab/>
      </w:r>
      <w:r w:rsidR="00964780">
        <w:t>162</w:t>
      </w:r>
    </w:p>
    <w:p w14:paraId="6A80E24D" w14:textId="77777777" w:rsidR="008F1656" w:rsidRPr="007C50A3" w:rsidRDefault="008F1656" w:rsidP="00592370">
      <w:pPr>
        <w:tabs>
          <w:tab w:val="left" w:pos="1134"/>
          <w:tab w:val="right" w:pos="8222"/>
        </w:tabs>
      </w:pPr>
      <w:r w:rsidRPr="007C50A3">
        <w:t>Appendix 5</w:t>
      </w:r>
      <w:r w:rsidRPr="007C50A3">
        <w:tab/>
        <w:t>Evidence Quality Assessment</w:t>
      </w:r>
      <w:r w:rsidRPr="007C50A3">
        <w:tab/>
      </w:r>
      <w:r w:rsidR="00964780">
        <w:t>164</w:t>
      </w:r>
    </w:p>
    <w:p w14:paraId="6D76A585" w14:textId="77777777" w:rsidR="008F1656" w:rsidRPr="007C50A3" w:rsidRDefault="008F1656" w:rsidP="00592370">
      <w:pPr>
        <w:tabs>
          <w:tab w:val="left" w:pos="1134"/>
          <w:tab w:val="right" w:pos="8222"/>
        </w:tabs>
      </w:pPr>
      <w:r w:rsidRPr="007C50A3">
        <w:t>Appendix 6</w:t>
      </w:r>
      <w:r w:rsidRPr="007C50A3">
        <w:tab/>
        <w:t>Guideline General information</w:t>
      </w:r>
      <w:r w:rsidRPr="007C50A3">
        <w:tab/>
      </w:r>
      <w:r w:rsidR="00964780">
        <w:t>166</w:t>
      </w:r>
    </w:p>
    <w:p w14:paraId="7BB8E1B0" w14:textId="77777777" w:rsidR="008F1656" w:rsidRPr="007C50A3" w:rsidRDefault="008F1656" w:rsidP="00592370">
      <w:pPr>
        <w:tabs>
          <w:tab w:val="left" w:pos="1134"/>
          <w:tab w:val="right" w:pos="8222"/>
        </w:tabs>
      </w:pPr>
      <w:r w:rsidRPr="007C50A3">
        <w:t>Appendix 7</w:t>
      </w:r>
      <w:r w:rsidRPr="007C50A3">
        <w:tab/>
        <w:t>Grading of Recommendations</w:t>
      </w:r>
      <w:r w:rsidRPr="007C50A3">
        <w:tab/>
      </w:r>
      <w:r w:rsidR="00964780">
        <w:t>170</w:t>
      </w:r>
    </w:p>
    <w:p w14:paraId="7EB71F3C" w14:textId="77777777" w:rsidR="008F1656" w:rsidRPr="007C50A3" w:rsidRDefault="008F1656" w:rsidP="00592370">
      <w:pPr>
        <w:tabs>
          <w:tab w:val="left" w:pos="1134"/>
          <w:tab w:val="right" w:pos="8222"/>
        </w:tabs>
      </w:pPr>
      <w:r w:rsidRPr="007C50A3">
        <w:t>Appendix 8</w:t>
      </w:r>
      <w:r w:rsidRPr="007C50A3">
        <w:tab/>
        <w:t>Additio</w:t>
      </w:r>
      <w:r w:rsidR="00592370">
        <w:t>nal information from NAC (2015)</w:t>
      </w:r>
      <w:r>
        <w:tab/>
      </w:r>
      <w:r w:rsidR="00964780">
        <w:t>178</w:t>
      </w:r>
    </w:p>
    <w:p w14:paraId="52363C34" w14:textId="77777777" w:rsidR="008F1656" w:rsidRPr="007C50A3" w:rsidRDefault="008F1656" w:rsidP="00592370">
      <w:pPr>
        <w:tabs>
          <w:tab w:val="left" w:pos="1134"/>
          <w:tab w:val="right" w:pos="8222"/>
        </w:tabs>
      </w:pPr>
      <w:r w:rsidRPr="007C50A3">
        <w:t>Appendix 9</w:t>
      </w:r>
      <w:r w:rsidRPr="007C50A3">
        <w:tab/>
        <w:t>Additional information from BTS/SIGN (2014)</w:t>
      </w:r>
      <w:r w:rsidRPr="007C50A3">
        <w:tab/>
      </w:r>
      <w:r w:rsidR="00964780">
        <w:t>181</w:t>
      </w:r>
    </w:p>
    <w:p w14:paraId="05B07707" w14:textId="77777777" w:rsidR="008F1656" w:rsidRPr="007C50A3" w:rsidRDefault="008F1656" w:rsidP="00592370">
      <w:pPr>
        <w:tabs>
          <w:tab w:val="left" w:pos="1134"/>
          <w:tab w:val="right" w:pos="8222"/>
        </w:tabs>
      </w:pPr>
      <w:r w:rsidRPr="007C50A3">
        <w:t>Appendix 10</w:t>
      </w:r>
      <w:r w:rsidRPr="007C50A3">
        <w:tab/>
        <w:t>Direct costs of the performance of spirometry</w:t>
      </w:r>
      <w:r w:rsidRPr="007C50A3">
        <w:tab/>
      </w:r>
      <w:r w:rsidR="00964780">
        <w:t>182</w:t>
      </w:r>
    </w:p>
    <w:p w14:paraId="5DD2FCBE" w14:textId="77777777" w:rsidR="008F1656" w:rsidRDefault="008F1656" w:rsidP="00592370">
      <w:pPr>
        <w:tabs>
          <w:tab w:val="left" w:pos="1134"/>
          <w:tab w:val="right" w:pos="8222"/>
        </w:tabs>
        <w:sectPr w:rsidR="008F1656" w:rsidSect="00E25C60">
          <w:headerReference w:type="default" r:id="rId18"/>
          <w:pgSz w:w="11906" w:h="16838" w:code="9"/>
          <w:pgMar w:top="1134" w:right="1134" w:bottom="1418" w:left="1701" w:header="567" w:footer="567" w:gutter="0"/>
          <w:cols w:space="708"/>
          <w:docGrid w:linePitch="360"/>
        </w:sectPr>
      </w:pPr>
      <w:r w:rsidRPr="007C50A3">
        <w:t>Appendix 11</w:t>
      </w:r>
      <w:r w:rsidRPr="007C50A3">
        <w:tab/>
        <w:t>UK Quality and Outcomes Framework</w:t>
      </w:r>
      <w:r w:rsidR="001C53D8">
        <w:tab/>
      </w:r>
      <w:r w:rsidR="00964780">
        <w:t>188</w:t>
      </w:r>
    </w:p>
    <w:p w14:paraId="0236DD85" w14:textId="77777777" w:rsidR="008B1C85" w:rsidRDefault="008B1C85" w:rsidP="00591B04">
      <w:pPr>
        <w:pStyle w:val="AttHeading1"/>
      </w:pPr>
      <w:r>
        <w:lastRenderedPageBreak/>
        <w:t>Abbreviations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Appendix C abbreviation’s table contain terms and their descriptions used in the Medical Benefits Scheme (MBS) Thoracic report."/>
      </w:tblPr>
      <w:tblGrid>
        <w:gridCol w:w="1701"/>
        <w:gridCol w:w="7360"/>
      </w:tblGrid>
      <w:tr w:rsidR="00B83773" w14:paraId="1025B146" w14:textId="77777777" w:rsidTr="00E243C9">
        <w:trPr>
          <w:tblHeader/>
        </w:trPr>
        <w:tc>
          <w:tcPr>
            <w:tcW w:w="1701" w:type="dxa"/>
          </w:tcPr>
          <w:p w14:paraId="0DDCD84A" w14:textId="77777777" w:rsidR="00B83773" w:rsidRDefault="00B83773" w:rsidP="008B1C85">
            <w:pPr>
              <w:pStyle w:val="BodyText"/>
              <w:tabs>
                <w:tab w:val="left" w:pos="885"/>
              </w:tabs>
              <w:spacing w:beforeLines="40" w:before="96" w:afterLines="40" w:after="96" w:line="240" w:lineRule="auto"/>
              <w:rPr>
                <w:b/>
              </w:rPr>
            </w:pPr>
            <w:r>
              <w:rPr>
                <w:b/>
              </w:rPr>
              <w:t>Term</w:t>
            </w:r>
          </w:p>
        </w:tc>
        <w:tc>
          <w:tcPr>
            <w:tcW w:w="7360" w:type="dxa"/>
          </w:tcPr>
          <w:p w14:paraId="6C623F5D" w14:textId="77777777" w:rsidR="00B83773" w:rsidRPr="00B83773" w:rsidRDefault="00B83773" w:rsidP="008B1C85">
            <w:pPr>
              <w:pStyle w:val="BodyText"/>
              <w:spacing w:beforeLines="40" w:before="96" w:afterLines="40" w:after="96" w:line="240" w:lineRule="auto"/>
              <w:rPr>
                <w:b/>
              </w:rPr>
            </w:pPr>
            <w:r w:rsidRPr="00B83773">
              <w:rPr>
                <w:b/>
              </w:rPr>
              <w:t>Description</w:t>
            </w:r>
          </w:p>
        </w:tc>
      </w:tr>
      <w:tr w:rsidR="008B1C85" w14:paraId="18687131" w14:textId="77777777" w:rsidTr="00E243C9">
        <w:tc>
          <w:tcPr>
            <w:tcW w:w="1701" w:type="dxa"/>
          </w:tcPr>
          <w:p w14:paraId="110E7FDB" w14:textId="77777777" w:rsidR="008B1C85" w:rsidRDefault="008B1C85" w:rsidP="008B1C85">
            <w:pPr>
              <w:pStyle w:val="BodyText"/>
              <w:tabs>
                <w:tab w:val="left" w:pos="885"/>
              </w:tabs>
              <w:spacing w:beforeLines="40" w:before="96" w:afterLines="40" w:after="96" w:line="240" w:lineRule="auto"/>
              <w:rPr>
                <w:b/>
              </w:rPr>
            </w:pPr>
            <w:r>
              <w:rPr>
                <w:b/>
              </w:rPr>
              <w:t>ABS</w:t>
            </w:r>
          </w:p>
        </w:tc>
        <w:tc>
          <w:tcPr>
            <w:tcW w:w="7360" w:type="dxa"/>
          </w:tcPr>
          <w:p w14:paraId="744BBB96" w14:textId="77777777" w:rsidR="008B1C85" w:rsidRDefault="008B1C85" w:rsidP="008B1C85">
            <w:pPr>
              <w:pStyle w:val="BodyText"/>
              <w:spacing w:beforeLines="40" w:before="96" w:afterLines="40" w:after="96" w:line="240" w:lineRule="auto"/>
            </w:pPr>
            <w:r>
              <w:t>Australian Bureau of Statistics</w:t>
            </w:r>
          </w:p>
        </w:tc>
      </w:tr>
      <w:tr w:rsidR="008B1C85" w14:paraId="10961A66" w14:textId="77777777" w:rsidTr="00E243C9">
        <w:tc>
          <w:tcPr>
            <w:tcW w:w="1701" w:type="dxa"/>
          </w:tcPr>
          <w:p w14:paraId="79CB167A" w14:textId="77777777" w:rsidR="008B1C85" w:rsidRDefault="008B1C85" w:rsidP="008B1C85">
            <w:pPr>
              <w:pStyle w:val="BodyText"/>
              <w:tabs>
                <w:tab w:val="left" w:pos="885"/>
              </w:tabs>
              <w:spacing w:beforeLines="40" w:before="96" w:afterLines="40" w:after="96" w:line="240" w:lineRule="auto"/>
              <w:rPr>
                <w:b/>
              </w:rPr>
            </w:pPr>
            <w:r>
              <w:rPr>
                <w:b/>
              </w:rPr>
              <w:t>ACAM</w:t>
            </w:r>
          </w:p>
        </w:tc>
        <w:tc>
          <w:tcPr>
            <w:tcW w:w="7360" w:type="dxa"/>
          </w:tcPr>
          <w:p w14:paraId="7F2A3091" w14:textId="77777777" w:rsidR="008B1C85" w:rsidRDefault="008B1C85" w:rsidP="008B1C85">
            <w:pPr>
              <w:pStyle w:val="BodyText"/>
              <w:spacing w:beforeLines="40" w:before="96" w:afterLines="40" w:after="96" w:line="240" w:lineRule="auto"/>
            </w:pPr>
            <w:r w:rsidRPr="003208FC">
              <w:t>Australian Centre for Asthma Monitoring</w:t>
            </w:r>
          </w:p>
        </w:tc>
      </w:tr>
      <w:tr w:rsidR="008B1C85" w14:paraId="76C05746" w14:textId="77777777" w:rsidTr="00E243C9">
        <w:tc>
          <w:tcPr>
            <w:tcW w:w="1701" w:type="dxa"/>
          </w:tcPr>
          <w:p w14:paraId="697F67EF" w14:textId="77777777" w:rsidR="008B1C85" w:rsidRDefault="008B1C85" w:rsidP="008B1C85">
            <w:pPr>
              <w:pStyle w:val="BodyText"/>
              <w:tabs>
                <w:tab w:val="left" w:pos="885"/>
              </w:tabs>
              <w:spacing w:beforeLines="40" w:before="96" w:afterLines="40" w:after="96" w:line="240" w:lineRule="auto"/>
              <w:rPr>
                <w:b/>
              </w:rPr>
            </w:pPr>
            <w:r>
              <w:rPr>
                <w:b/>
              </w:rPr>
              <w:t>ACCP</w:t>
            </w:r>
          </w:p>
        </w:tc>
        <w:tc>
          <w:tcPr>
            <w:tcW w:w="7360" w:type="dxa"/>
          </w:tcPr>
          <w:p w14:paraId="57C33475" w14:textId="77777777" w:rsidR="008B1C85" w:rsidRPr="003208FC" w:rsidRDefault="008B1C85" w:rsidP="008B1C85">
            <w:pPr>
              <w:pStyle w:val="BodyText"/>
              <w:spacing w:beforeLines="40" w:before="96" w:afterLines="40" w:after="96" w:line="240" w:lineRule="auto"/>
            </w:pPr>
            <w:r w:rsidRPr="002F1130">
              <w:t>American College of Chest Physicians</w:t>
            </w:r>
          </w:p>
        </w:tc>
      </w:tr>
      <w:tr w:rsidR="008B1C85" w14:paraId="62CA2924" w14:textId="77777777" w:rsidTr="00E243C9">
        <w:tc>
          <w:tcPr>
            <w:tcW w:w="1701" w:type="dxa"/>
          </w:tcPr>
          <w:p w14:paraId="4BE1126A" w14:textId="77777777" w:rsidR="008B1C85" w:rsidRPr="00BF260F" w:rsidRDefault="008B1C85" w:rsidP="008B1C85">
            <w:pPr>
              <w:pStyle w:val="BodyText"/>
              <w:spacing w:beforeLines="40" w:before="96" w:afterLines="40" w:after="96" w:line="240" w:lineRule="auto"/>
              <w:rPr>
                <w:b/>
              </w:rPr>
            </w:pPr>
            <w:r>
              <w:rPr>
                <w:b/>
              </w:rPr>
              <w:t>ACOS</w:t>
            </w:r>
          </w:p>
        </w:tc>
        <w:tc>
          <w:tcPr>
            <w:tcW w:w="7360" w:type="dxa"/>
          </w:tcPr>
          <w:p w14:paraId="148C3B43" w14:textId="77777777" w:rsidR="008B1C85" w:rsidRPr="00BC58BC" w:rsidRDefault="008B1C85" w:rsidP="008B1C85">
            <w:pPr>
              <w:pStyle w:val="BodyText"/>
              <w:spacing w:beforeLines="40" w:before="96" w:afterLines="40" w:after="96" w:line="240" w:lineRule="auto"/>
            </w:pPr>
            <w:r>
              <w:t>Asthma-COPD Overlap S</w:t>
            </w:r>
            <w:r w:rsidRPr="004923A1">
              <w:t>yndrome</w:t>
            </w:r>
          </w:p>
        </w:tc>
      </w:tr>
      <w:tr w:rsidR="008B1C85" w14:paraId="51CB09BF" w14:textId="77777777" w:rsidTr="00E243C9">
        <w:tc>
          <w:tcPr>
            <w:tcW w:w="1701" w:type="dxa"/>
          </w:tcPr>
          <w:p w14:paraId="009945F0" w14:textId="77777777" w:rsidR="008B1C85" w:rsidRDefault="008B1C85" w:rsidP="008B1C85">
            <w:pPr>
              <w:pStyle w:val="BodyText"/>
              <w:spacing w:beforeLines="40" w:before="96" w:afterLines="40" w:after="96" w:line="240" w:lineRule="auto"/>
              <w:rPr>
                <w:b/>
              </w:rPr>
            </w:pPr>
            <w:r>
              <w:rPr>
                <w:b/>
              </w:rPr>
              <w:t>ACP</w:t>
            </w:r>
          </w:p>
        </w:tc>
        <w:tc>
          <w:tcPr>
            <w:tcW w:w="7360" w:type="dxa"/>
          </w:tcPr>
          <w:p w14:paraId="131CC555" w14:textId="77777777" w:rsidR="008B1C85" w:rsidRDefault="008B1C85" w:rsidP="008B1C85">
            <w:pPr>
              <w:pStyle w:val="BodyText"/>
              <w:spacing w:beforeLines="40" w:before="96" w:afterLines="40" w:after="96" w:line="240" w:lineRule="auto"/>
            </w:pPr>
            <w:r w:rsidRPr="002F1130">
              <w:t>American College of Physicians</w:t>
            </w:r>
          </w:p>
        </w:tc>
      </w:tr>
      <w:tr w:rsidR="008B1C85" w14:paraId="7ACE7F5E" w14:textId="77777777" w:rsidTr="00E243C9">
        <w:tc>
          <w:tcPr>
            <w:tcW w:w="1701" w:type="dxa"/>
          </w:tcPr>
          <w:p w14:paraId="7541CEBF" w14:textId="77777777" w:rsidR="008B1C85" w:rsidRDefault="008B1C85" w:rsidP="008B1C85">
            <w:pPr>
              <w:pStyle w:val="BodyText"/>
              <w:spacing w:beforeLines="40" w:before="96" w:afterLines="40" w:after="96" w:line="240" w:lineRule="auto"/>
              <w:rPr>
                <w:b/>
              </w:rPr>
            </w:pPr>
            <w:r>
              <w:rPr>
                <w:b/>
              </w:rPr>
              <w:t>AHRQ</w:t>
            </w:r>
          </w:p>
        </w:tc>
        <w:tc>
          <w:tcPr>
            <w:tcW w:w="7360" w:type="dxa"/>
          </w:tcPr>
          <w:p w14:paraId="78A55C2F" w14:textId="77777777" w:rsidR="008B1C85" w:rsidRDefault="008B1C85" w:rsidP="008B1C85">
            <w:pPr>
              <w:pStyle w:val="BodyText"/>
              <w:spacing w:beforeLines="40" w:before="96" w:afterLines="40" w:after="96" w:line="240" w:lineRule="auto"/>
            </w:pPr>
            <w:r w:rsidRPr="00F07BC7">
              <w:t>Agency for Health</w:t>
            </w:r>
            <w:r>
              <w:t>care Research and Quality</w:t>
            </w:r>
          </w:p>
        </w:tc>
      </w:tr>
      <w:tr w:rsidR="008B1C85" w14:paraId="7F6527A5" w14:textId="77777777" w:rsidTr="00E243C9">
        <w:tc>
          <w:tcPr>
            <w:tcW w:w="1701" w:type="dxa"/>
          </w:tcPr>
          <w:p w14:paraId="5EF92292" w14:textId="77777777" w:rsidR="008B1C85" w:rsidRPr="00BF260F" w:rsidRDefault="008B1C85" w:rsidP="008B1C85">
            <w:pPr>
              <w:pStyle w:val="BodyText"/>
              <w:spacing w:beforeLines="40" w:before="96" w:afterLines="40" w:after="96" w:line="240" w:lineRule="auto"/>
              <w:rPr>
                <w:b/>
              </w:rPr>
            </w:pPr>
            <w:r w:rsidRPr="00BF260F">
              <w:rPr>
                <w:b/>
              </w:rPr>
              <w:t>AMSTAR</w:t>
            </w:r>
          </w:p>
        </w:tc>
        <w:tc>
          <w:tcPr>
            <w:tcW w:w="7360" w:type="dxa"/>
          </w:tcPr>
          <w:p w14:paraId="16B02AC3" w14:textId="77777777" w:rsidR="008B1C85" w:rsidRPr="00705D4A" w:rsidRDefault="008B1C85" w:rsidP="008B1C85">
            <w:pPr>
              <w:pStyle w:val="BodyText"/>
              <w:spacing w:beforeLines="40" w:before="96" w:afterLines="40" w:after="96" w:line="240" w:lineRule="auto"/>
            </w:pPr>
            <w:r w:rsidRPr="00BC58BC">
              <w:t>Assessment of Multiple Systematic Reviews</w:t>
            </w:r>
          </w:p>
        </w:tc>
      </w:tr>
      <w:tr w:rsidR="008B1C85" w14:paraId="32946902" w14:textId="77777777" w:rsidTr="00E243C9">
        <w:tc>
          <w:tcPr>
            <w:tcW w:w="1701" w:type="dxa"/>
          </w:tcPr>
          <w:p w14:paraId="66AED69B" w14:textId="77777777" w:rsidR="008B1C85" w:rsidRPr="00BF260F" w:rsidRDefault="008B1C85" w:rsidP="008B1C85">
            <w:pPr>
              <w:pStyle w:val="BodyText"/>
              <w:spacing w:beforeLines="40" w:before="96" w:afterLines="40" w:after="96" w:line="240" w:lineRule="auto"/>
              <w:rPr>
                <w:b/>
              </w:rPr>
            </w:pPr>
            <w:r>
              <w:rPr>
                <w:b/>
              </w:rPr>
              <w:t>APHCRI</w:t>
            </w:r>
          </w:p>
        </w:tc>
        <w:tc>
          <w:tcPr>
            <w:tcW w:w="7360" w:type="dxa"/>
          </w:tcPr>
          <w:p w14:paraId="5C6BE747" w14:textId="77777777" w:rsidR="008B1C85" w:rsidRPr="00BC58BC" w:rsidRDefault="008B1C85" w:rsidP="008B1C85">
            <w:pPr>
              <w:pStyle w:val="BodyText"/>
              <w:spacing w:beforeLines="40" w:before="96" w:afterLines="40" w:after="96" w:line="240" w:lineRule="auto"/>
            </w:pPr>
            <w:r w:rsidRPr="000E0D16">
              <w:t>Australian Primary Health Care Research Institute</w:t>
            </w:r>
          </w:p>
        </w:tc>
      </w:tr>
      <w:tr w:rsidR="008B1C85" w14:paraId="2AD567C8" w14:textId="77777777" w:rsidTr="00E243C9">
        <w:tc>
          <w:tcPr>
            <w:tcW w:w="1701" w:type="dxa"/>
          </w:tcPr>
          <w:p w14:paraId="028D3FE1" w14:textId="77777777" w:rsidR="008B1C85" w:rsidRDefault="008B1C85" w:rsidP="008B1C85">
            <w:pPr>
              <w:pStyle w:val="BodyText"/>
              <w:spacing w:beforeLines="40" w:before="96" w:afterLines="40" w:after="96" w:line="240" w:lineRule="auto"/>
              <w:rPr>
                <w:b/>
              </w:rPr>
            </w:pPr>
            <w:r>
              <w:rPr>
                <w:b/>
              </w:rPr>
              <w:t>APNA</w:t>
            </w:r>
          </w:p>
        </w:tc>
        <w:tc>
          <w:tcPr>
            <w:tcW w:w="7360" w:type="dxa"/>
          </w:tcPr>
          <w:p w14:paraId="7FD85F85" w14:textId="77777777" w:rsidR="008B1C85" w:rsidRPr="000E0D16" w:rsidRDefault="008B1C85" w:rsidP="008B1C85">
            <w:pPr>
              <w:pStyle w:val="BodyText"/>
              <w:spacing w:beforeLines="40" w:before="96" w:afterLines="40" w:after="96" w:line="240" w:lineRule="auto"/>
            </w:pPr>
            <w:r>
              <w:t>Australian Primary Health Care Nurses Association</w:t>
            </w:r>
          </w:p>
        </w:tc>
      </w:tr>
      <w:tr w:rsidR="008B1C85" w14:paraId="4B579D45" w14:textId="77777777" w:rsidTr="00E243C9">
        <w:tc>
          <w:tcPr>
            <w:tcW w:w="1701" w:type="dxa"/>
          </w:tcPr>
          <w:p w14:paraId="57FB34CD" w14:textId="77777777" w:rsidR="008B1C85" w:rsidRDefault="008B1C85" w:rsidP="008B1C85">
            <w:pPr>
              <w:pStyle w:val="BodyText"/>
              <w:spacing w:beforeLines="40" w:before="96" w:afterLines="40" w:after="96" w:line="240" w:lineRule="auto"/>
              <w:rPr>
                <w:b/>
              </w:rPr>
            </w:pPr>
            <w:r>
              <w:rPr>
                <w:b/>
              </w:rPr>
              <w:t>ATS</w:t>
            </w:r>
          </w:p>
        </w:tc>
        <w:tc>
          <w:tcPr>
            <w:tcW w:w="7360" w:type="dxa"/>
          </w:tcPr>
          <w:p w14:paraId="5B2591CF" w14:textId="77777777" w:rsidR="008B1C85" w:rsidRDefault="008B1C85" w:rsidP="008B1C85">
            <w:pPr>
              <w:pStyle w:val="BodyText"/>
              <w:spacing w:beforeLines="40" w:before="96" w:afterLines="40" w:after="96" w:line="240" w:lineRule="auto"/>
            </w:pPr>
            <w:r>
              <w:t>American Thoracic Society</w:t>
            </w:r>
          </w:p>
        </w:tc>
      </w:tr>
      <w:tr w:rsidR="008B1C85" w14:paraId="0F18D683" w14:textId="77777777" w:rsidTr="00E243C9">
        <w:tc>
          <w:tcPr>
            <w:tcW w:w="1701" w:type="dxa"/>
          </w:tcPr>
          <w:p w14:paraId="7B394F8E" w14:textId="77777777" w:rsidR="008B1C85" w:rsidRPr="00BF260F" w:rsidRDefault="008B1C85" w:rsidP="008B1C85">
            <w:pPr>
              <w:pStyle w:val="BodyText"/>
              <w:spacing w:beforeLines="40" w:before="96" w:afterLines="40" w:after="96" w:line="240" w:lineRule="auto"/>
              <w:rPr>
                <w:b/>
              </w:rPr>
            </w:pPr>
            <w:r>
              <w:rPr>
                <w:b/>
              </w:rPr>
              <w:t>BEACH</w:t>
            </w:r>
          </w:p>
        </w:tc>
        <w:tc>
          <w:tcPr>
            <w:tcW w:w="7360" w:type="dxa"/>
          </w:tcPr>
          <w:p w14:paraId="60AE0594" w14:textId="77777777" w:rsidR="008B1C85" w:rsidRPr="00BC58BC" w:rsidRDefault="008B1C85" w:rsidP="008B1C85">
            <w:pPr>
              <w:pStyle w:val="BodyText"/>
              <w:spacing w:beforeLines="40" w:before="96" w:afterLines="40" w:after="96" w:line="240" w:lineRule="auto"/>
            </w:pPr>
            <w:r>
              <w:t>Bettering the Evaluation and Care of Health</w:t>
            </w:r>
          </w:p>
        </w:tc>
      </w:tr>
      <w:tr w:rsidR="008B1C85" w14:paraId="7A4AC8F2" w14:textId="77777777" w:rsidTr="00E243C9">
        <w:tc>
          <w:tcPr>
            <w:tcW w:w="1701" w:type="dxa"/>
          </w:tcPr>
          <w:p w14:paraId="46EA079A" w14:textId="77777777" w:rsidR="008B1C85" w:rsidRDefault="008B1C85" w:rsidP="008B1C85">
            <w:pPr>
              <w:pStyle w:val="BodyText"/>
              <w:spacing w:beforeLines="40" w:before="96" w:afterLines="40" w:after="96" w:line="240" w:lineRule="auto"/>
              <w:rPr>
                <w:b/>
              </w:rPr>
            </w:pPr>
            <w:r>
              <w:rPr>
                <w:b/>
              </w:rPr>
              <w:t>BTS</w:t>
            </w:r>
          </w:p>
        </w:tc>
        <w:tc>
          <w:tcPr>
            <w:tcW w:w="7360" w:type="dxa"/>
          </w:tcPr>
          <w:p w14:paraId="1B3278A3" w14:textId="77777777" w:rsidR="008B1C85" w:rsidRDefault="008B1C85" w:rsidP="008B1C85">
            <w:pPr>
              <w:pStyle w:val="BodyText"/>
              <w:spacing w:beforeLines="40" w:before="96" w:afterLines="40" w:after="96" w:line="240" w:lineRule="auto"/>
            </w:pPr>
            <w:r w:rsidRPr="00117045">
              <w:t>British Thoracic Society</w:t>
            </w:r>
          </w:p>
        </w:tc>
      </w:tr>
      <w:tr w:rsidR="008B1C85" w14:paraId="6B82FAED" w14:textId="77777777" w:rsidTr="00E243C9">
        <w:tc>
          <w:tcPr>
            <w:tcW w:w="1701" w:type="dxa"/>
          </w:tcPr>
          <w:p w14:paraId="220BF3E9" w14:textId="77777777" w:rsidR="008B1C85" w:rsidRDefault="008B1C85" w:rsidP="008B1C85">
            <w:pPr>
              <w:pStyle w:val="BodyText"/>
              <w:spacing w:beforeLines="40" w:before="96" w:afterLines="40" w:after="96" w:line="240" w:lineRule="auto"/>
              <w:rPr>
                <w:b/>
              </w:rPr>
            </w:pPr>
            <w:r>
              <w:rPr>
                <w:b/>
              </w:rPr>
              <w:t>CADTH</w:t>
            </w:r>
          </w:p>
        </w:tc>
        <w:tc>
          <w:tcPr>
            <w:tcW w:w="7360" w:type="dxa"/>
          </w:tcPr>
          <w:p w14:paraId="3F98FF32" w14:textId="77777777" w:rsidR="008B1C85" w:rsidRPr="00117045" w:rsidRDefault="008B1C85" w:rsidP="008B1C85">
            <w:pPr>
              <w:pStyle w:val="BodyText"/>
              <w:spacing w:beforeLines="40" w:before="96" w:afterLines="40" w:after="96" w:line="240" w:lineRule="auto"/>
            </w:pPr>
            <w:r w:rsidRPr="003D6C18">
              <w:t>Canadian Agency for D</w:t>
            </w:r>
            <w:r>
              <w:t>rugs and Technologies in Health</w:t>
            </w:r>
          </w:p>
        </w:tc>
      </w:tr>
      <w:tr w:rsidR="008B1C85" w14:paraId="2E5E7A4A" w14:textId="77777777" w:rsidTr="00E243C9">
        <w:tc>
          <w:tcPr>
            <w:tcW w:w="1701" w:type="dxa"/>
          </w:tcPr>
          <w:p w14:paraId="1AE1472B" w14:textId="77777777" w:rsidR="008B1C85" w:rsidRPr="00BF260F" w:rsidRDefault="008B1C85" w:rsidP="008B1C85">
            <w:pPr>
              <w:pStyle w:val="BodyText"/>
              <w:spacing w:beforeLines="40" w:before="96" w:afterLines="40" w:after="96" w:line="240" w:lineRule="auto"/>
              <w:rPr>
                <w:b/>
              </w:rPr>
            </w:pPr>
            <w:r>
              <w:rPr>
                <w:b/>
              </w:rPr>
              <w:t>COPD</w:t>
            </w:r>
          </w:p>
        </w:tc>
        <w:tc>
          <w:tcPr>
            <w:tcW w:w="7360" w:type="dxa"/>
          </w:tcPr>
          <w:p w14:paraId="4F73F3D8" w14:textId="77777777" w:rsidR="008B1C85" w:rsidRPr="00BC58BC" w:rsidRDefault="008B1C85" w:rsidP="008B1C85">
            <w:pPr>
              <w:pStyle w:val="BodyText"/>
              <w:spacing w:beforeLines="40" w:before="96" w:afterLines="40" w:after="96" w:line="240" w:lineRule="auto"/>
            </w:pPr>
            <w:r>
              <w:t>Chronic Obstructive Pulmonary Disease</w:t>
            </w:r>
          </w:p>
        </w:tc>
      </w:tr>
      <w:tr w:rsidR="008B1C85" w14:paraId="569F72B5" w14:textId="77777777" w:rsidTr="00E243C9">
        <w:tc>
          <w:tcPr>
            <w:tcW w:w="1701" w:type="dxa"/>
          </w:tcPr>
          <w:p w14:paraId="79863408" w14:textId="77777777" w:rsidR="008B1C85" w:rsidRDefault="008B1C85" w:rsidP="008B1C85">
            <w:pPr>
              <w:pStyle w:val="BodyText"/>
              <w:spacing w:beforeLines="40" w:before="96" w:afterLines="40" w:after="96" w:line="240" w:lineRule="auto"/>
              <w:rPr>
                <w:b/>
              </w:rPr>
            </w:pPr>
            <w:r>
              <w:rPr>
                <w:b/>
              </w:rPr>
              <w:t>CPG</w:t>
            </w:r>
          </w:p>
        </w:tc>
        <w:tc>
          <w:tcPr>
            <w:tcW w:w="7360" w:type="dxa"/>
          </w:tcPr>
          <w:p w14:paraId="2C871E3A" w14:textId="77777777" w:rsidR="008B1C85" w:rsidRDefault="008B1C85" w:rsidP="008B1C85">
            <w:pPr>
              <w:pStyle w:val="BodyText"/>
              <w:spacing w:beforeLines="40" w:before="96" w:afterLines="40" w:after="96" w:line="240" w:lineRule="auto"/>
            </w:pPr>
            <w:r>
              <w:t>Clinical Practice Guideline</w:t>
            </w:r>
          </w:p>
        </w:tc>
      </w:tr>
      <w:tr w:rsidR="008B1C85" w14:paraId="62B2FD04" w14:textId="77777777" w:rsidTr="00E243C9">
        <w:tc>
          <w:tcPr>
            <w:tcW w:w="1701" w:type="dxa"/>
          </w:tcPr>
          <w:p w14:paraId="3E006937" w14:textId="77777777" w:rsidR="008B1C85" w:rsidRDefault="008B1C85" w:rsidP="008B1C85">
            <w:pPr>
              <w:pStyle w:val="BodyText"/>
              <w:spacing w:beforeLines="40" w:before="96" w:afterLines="40" w:after="96" w:line="240" w:lineRule="auto"/>
              <w:rPr>
                <w:b/>
              </w:rPr>
            </w:pPr>
            <w:r>
              <w:rPr>
                <w:b/>
              </w:rPr>
              <w:t>CTS</w:t>
            </w:r>
          </w:p>
        </w:tc>
        <w:tc>
          <w:tcPr>
            <w:tcW w:w="7360" w:type="dxa"/>
          </w:tcPr>
          <w:p w14:paraId="30D12631" w14:textId="77777777" w:rsidR="008B1C85" w:rsidRDefault="008B1C85" w:rsidP="008B1C85">
            <w:pPr>
              <w:pStyle w:val="BodyText"/>
              <w:spacing w:beforeLines="40" w:before="96" w:afterLines="40" w:after="96" w:line="240" w:lineRule="auto"/>
            </w:pPr>
            <w:r>
              <w:t>Canadian Thoracic Society</w:t>
            </w:r>
          </w:p>
        </w:tc>
      </w:tr>
      <w:tr w:rsidR="008B1C85" w14:paraId="0C2162B6" w14:textId="77777777" w:rsidTr="00E243C9">
        <w:tc>
          <w:tcPr>
            <w:tcW w:w="1701" w:type="dxa"/>
          </w:tcPr>
          <w:p w14:paraId="07A16CC8" w14:textId="77777777" w:rsidR="008B1C85" w:rsidRDefault="008B1C85" w:rsidP="008B1C85">
            <w:pPr>
              <w:pStyle w:val="BodyText"/>
              <w:spacing w:beforeLines="40" w:before="96" w:afterLines="40" w:after="96" w:line="240" w:lineRule="auto"/>
              <w:rPr>
                <w:b/>
              </w:rPr>
            </w:pPr>
            <w:r>
              <w:rPr>
                <w:b/>
              </w:rPr>
              <w:t>DoD</w:t>
            </w:r>
          </w:p>
        </w:tc>
        <w:tc>
          <w:tcPr>
            <w:tcW w:w="7360" w:type="dxa"/>
          </w:tcPr>
          <w:p w14:paraId="56D6DE77" w14:textId="77777777" w:rsidR="008B1C85" w:rsidRDefault="008B1C85" w:rsidP="008B1C85">
            <w:pPr>
              <w:pStyle w:val="BodyText"/>
              <w:spacing w:beforeLines="40" w:before="96" w:afterLines="40" w:after="96" w:line="240" w:lineRule="auto"/>
            </w:pPr>
            <w:r>
              <w:t>Department of Defense</w:t>
            </w:r>
          </w:p>
        </w:tc>
      </w:tr>
      <w:tr w:rsidR="008B1C85" w14:paraId="6B60F9EE" w14:textId="77777777" w:rsidTr="00E243C9">
        <w:tc>
          <w:tcPr>
            <w:tcW w:w="1701" w:type="dxa"/>
          </w:tcPr>
          <w:p w14:paraId="77D48DAC" w14:textId="77777777" w:rsidR="008B1C85" w:rsidRDefault="008B1C85" w:rsidP="008B1C85">
            <w:pPr>
              <w:pStyle w:val="BodyText"/>
              <w:spacing w:beforeLines="40" w:before="96" w:afterLines="40" w:after="96" w:line="240" w:lineRule="auto"/>
              <w:rPr>
                <w:b/>
              </w:rPr>
            </w:pPr>
            <w:r>
              <w:rPr>
                <w:b/>
              </w:rPr>
              <w:t>EMA</w:t>
            </w:r>
          </w:p>
        </w:tc>
        <w:tc>
          <w:tcPr>
            <w:tcW w:w="7360" w:type="dxa"/>
          </w:tcPr>
          <w:p w14:paraId="304BEA1C" w14:textId="77777777" w:rsidR="008B1C85" w:rsidRDefault="008B1C85" w:rsidP="008B1C85">
            <w:pPr>
              <w:pStyle w:val="BodyText"/>
              <w:spacing w:beforeLines="40" w:before="96" w:afterLines="40" w:after="96" w:line="240" w:lineRule="auto"/>
            </w:pPr>
            <w:r w:rsidRPr="00893B34">
              <w:t>European Medicines Agency</w:t>
            </w:r>
          </w:p>
        </w:tc>
      </w:tr>
      <w:tr w:rsidR="008B1C85" w14:paraId="7E9FA30F" w14:textId="77777777" w:rsidTr="00E243C9">
        <w:tc>
          <w:tcPr>
            <w:tcW w:w="1701" w:type="dxa"/>
          </w:tcPr>
          <w:p w14:paraId="0260FD6D" w14:textId="77777777" w:rsidR="008B1C85" w:rsidRDefault="008B1C85" w:rsidP="008B1C85">
            <w:pPr>
              <w:pStyle w:val="BodyText"/>
              <w:spacing w:beforeLines="40" w:before="96" w:afterLines="40" w:after="96" w:line="240" w:lineRule="auto"/>
              <w:rPr>
                <w:b/>
              </w:rPr>
            </w:pPr>
            <w:r>
              <w:rPr>
                <w:b/>
              </w:rPr>
              <w:t>ERS</w:t>
            </w:r>
          </w:p>
        </w:tc>
        <w:tc>
          <w:tcPr>
            <w:tcW w:w="7360" w:type="dxa"/>
          </w:tcPr>
          <w:p w14:paraId="5DE6E9AE" w14:textId="77777777" w:rsidR="008B1C85" w:rsidRPr="00893B34" w:rsidRDefault="008B1C85" w:rsidP="008B1C85">
            <w:pPr>
              <w:pStyle w:val="BodyText"/>
              <w:spacing w:beforeLines="40" w:before="96" w:afterLines="40" w:after="96" w:line="240" w:lineRule="auto"/>
            </w:pPr>
            <w:r>
              <w:t>European Respiratory Society</w:t>
            </w:r>
          </w:p>
        </w:tc>
      </w:tr>
      <w:tr w:rsidR="008B1C85" w14:paraId="21385851" w14:textId="77777777" w:rsidTr="00E243C9">
        <w:tc>
          <w:tcPr>
            <w:tcW w:w="1701" w:type="dxa"/>
          </w:tcPr>
          <w:p w14:paraId="4D3F680A" w14:textId="77777777" w:rsidR="008B1C85" w:rsidRDefault="008B1C85" w:rsidP="008B1C85">
            <w:pPr>
              <w:pStyle w:val="BodyText"/>
              <w:spacing w:beforeLines="40" w:before="96" w:afterLines="40" w:after="96" w:line="240" w:lineRule="auto"/>
              <w:rPr>
                <w:b/>
              </w:rPr>
            </w:pPr>
            <w:r>
              <w:rPr>
                <w:b/>
              </w:rPr>
              <w:t>FeNO</w:t>
            </w:r>
          </w:p>
        </w:tc>
        <w:tc>
          <w:tcPr>
            <w:tcW w:w="7360" w:type="dxa"/>
          </w:tcPr>
          <w:p w14:paraId="14872F90" w14:textId="77777777" w:rsidR="008B1C85" w:rsidRPr="00893B34" w:rsidRDefault="008B1C85" w:rsidP="008B1C85">
            <w:pPr>
              <w:pStyle w:val="BodyText"/>
              <w:spacing w:beforeLines="40" w:before="96" w:afterLines="40" w:after="96" w:line="240" w:lineRule="auto"/>
            </w:pPr>
            <w:r>
              <w:t>Fractional Exhaled Nitric O</w:t>
            </w:r>
            <w:r w:rsidRPr="00117045">
              <w:t>xide</w:t>
            </w:r>
          </w:p>
        </w:tc>
      </w:tr>
      <w:tr w:rsidR="008B1C85" w14:paraId="62DC7ADA" w14:textId="77777777" w:rsidTr="00E243C9">
        <w:tc>
          <w:tcPr>
            <w:tcW w:w="1701" w:type="dxa"/>
          </w:tcPr>
          <w:p w14:paraId="09A0ED53" w14:textId="77777777" w:rsidR="008B1C85" w:rsidRDefault="008B1C85" w:rsidP="008B1C85">
            <w:pPr>
              <w:pStyle w:val="BodyText"/>
              <w:spacing w:beforeLines="40" w:before="96" w:afterLines="40" w:after="96" w:line="240" w:lineRule="auto"/>
              <w:rPr>
                <w:b/>
              </w:rPr>
            </w:pPr>
            <w:r>
              <w:rPr>
                <w:b/>
              </w:rPr>
              <w:t>FEV</w:t>
            </w:r>
            <w:r w:rsidRPr="00BC03FE">
              <w:rPr>
                <w:b/>
                <w:vertAlign w:val="subscript"/>
              </w:rPr>
              <w:t>1</w:t>
            </w:r>
          </w:p>
        </w:tc>
        <w:tc>
          <w:tcPr>
            <w:tcW w:w="7360" w:type="dxa"/>
          </w:tcPr>
          <w:p w14:paraId="7DBD5114" w14:textId="77777777" w:rsidR="008B1C85" w:rsidRDefault="008B1C85" w:rsidP="008B1C85">
            <w:pPr>
              <w:pStyle w:val="BodyText"/>
              <w:spacing w:beforeLines="40" w:before="96" w:afterLines="40" w:after="96" w:line="240" w:lineRule="auto"/>
            </w:pPr>
            <w:r>
              <w:t>Forced Expiratory Volume in 1 Second</w:t>
            </w:r>
          </w:p>
        </w:tc>
      </w:tr>
      <w:tr w:rsidR="008B1C85" w14:paraId="67A3AAC3" w14:textId="77777777" w:rsidTr="00E243C9">
        <w:tc>
          <w:tcPr>
            <w:tcW w:w="1701" w:type="dxa"/>
          </w:tcPr>
          <w:p w14:paraId="3F61F083" w14:textId="77777777" w:rsidR="008B1C85" w:rsidRDefault="008B1C85" w:rsidP="008B1C85">
            <w:pPr>
              <w:pStyle w:val="BodyText"/>
              <w:spacing w:beforeLines="40" w:before="96" w:afterLines="40" w:after="96" w:line="240" w:lineRule="auto"/>
              <w:rPr>
                <w:b/>
              </w:rPr>
            </w:pPr>
            <w:r>
              <w:rPr>
                <w:b/>
              </w:rPr>
              <w:t>FVC</w:t>
            </w:r>
          </w:p>
        </w:tc>
        <w:tc>
          <w:tcPr>
            <w:tcW w:w="7360" w:type="dxa"/>
          </w:tcPr>
          <w:p w14:paraId="2B5499F9" w14:textId="77777777" w:rsidR="008B1C85" w:rsidRDefault="008B1C85" w:rsidP="008B1C85">
            <w:pPr>
              <w:pStyle w:val="BodyText"/>
              <w:spacing w:beforeLines="40" w:before="96" w:afterLines="40" w:after="96" w:line="240" w:lineRule="auto"/>
            </w:pPr>
            <w:r>
              <w:t>Forced Vital Capacity</w:t>
            </w:r>
          </w:p>
        </w:tc>
      </w:tr>
      <w:tr w:rsidR="008B1C85" w14:paraId="7DC98086" w14:textId="77777777" w:rsidTr="00E243C9">
        <w:tc>
          <w:tcPr>
            <w:tcW w:w="1701" w:type="dxa"/>
          </w:tcPr>
          <w:p w14:paraId="0CDAFBB8" w14:textId="77777777" w:rsidR="008B1C85" w:rsidRDefault="008B1C85" w:rsidP="008B1C85">
            <w:pPr>
              <w:pStyle w:val="BodyText"/>
              <w:spacing w:beforeLines="40" w:before="96" w:afterLines="40" w:after="96" w:line="240" w:lineRule="auto"/>
              <w:rPr>
                <w:b/>
              </w:rPr>
            </w:pPr>
            <w:r>
              <w:rPr>
                <w:b/>
              </w:rPr>
              <w:t>GDG</w:t>
            </w:r>
          </w:p>
        </w:tc>
        <w:tc>
          <w:tcPr>
            <w:tcW w:w="7360" w:type="dxa"/>
          </w:tcPr>
          <w:p w14:paraId="47F78581" w14:textId="77777777" w:rsidR="008B1C85" w:rsidRDefault="008B1C85" w:rsidP="008B1C85">
            <w:pPr>
              <w:pStyle w:val="BodyText"/>
              <w:spacing w:beforeLines="40" w:before="96" w:afterLines="40" w:after="96" w:line="240" w:lineRule="auto"/>
            </w:pPr>
            <w:r>
              <w:t>Guideline Development Group</w:t>
            </w:r>
          </w:p>
        </w:tc>
      </w:tr>
      <w:tr w:rsidR="008B1C85" w14:paraId="0C87AC38" w14:textId="77777777" w:rsidTr="00E243C9">
        <w:tc>
          <w:tcPr>
            <w:tcW w:w="1701" w:type="dxa"/>
          </w:tcPr>
          <w:p w14:paraId="36548CA4" w14:textId="77777777" w:rsidR="008B1C85" w:rsidRDefault="008B1C85" w:rsidP="008B1C85">
            <w:pPr>
              <w:pStyle w:val="BodyText"/>
              <w:spacing w:beforeLines="40" w:before="96" w:afterLines="40" w:after="96" w:line="240" w:lineRule="auto"/>
              <w:rPr>
                <w:b/>
              </w:rPr>
            </w:pPr>
            <w:r>
              <w:rPr>
                <w:b/>
              </w:rPr>
              <w:t>G-I-N</w:t>
            </w:r>
          </w:p>
        </w:tc>
        <w:tc>
          <w:tcPr>
            <w:tcW w:w="7360" w:type="dxa"/>
          </w:tcPr>
          <w:p w14:paraId="64A44212" w14:textId="77777777" w:rsidR="008B1C85" w:rsidRDefault="008B1C85" w:rsidP="008B1C85">
            <w:pPr>
              <w:pStyle w:val="BodyText"/>
              <w:spacing w:beforeLines="40" w:before="96" w:afterLines="40" w:after="96" w:line="240" w:lineRule="auto"/>
            </w:pPr>
            <w:r w:rsidRPr="00F07BC7">
              <w:t>Guideline</w:t>
            </w:r>
            <w:r>
              <w:t>s International Network</w:t>
            </w:r>
          </w:p>
        </w:tc>
      </w:tr>
      <w:tr w:rsidR="008B1C85" w14:paraId="454BD9E4" w14:textId="77777777" w:rsidTr="00E243C9">
        <w:tc>
          <w:tcPr>
            <w:tcW w:w="1701" w:type="dxa"/>
          </w:tcPr>
          <w:p w14:paraId="4BE6A79A" w14:textId="77777777" w:rsidR="008B1C85" w:rsidRDefault="008B1C85" w:rsidP="008B1C85">
            <w:pPr>
              <w:pStyle w:val="BodyText"/>
              <w:spacing w:beforeLines="40" w:before="96" w:afterLines="40" w:after="96" w:line="240" w:lineRule="auto"/>
              <w:rPr>
                <w:b/>
              </w:rPr>
            </w:pPr>
            <w:r>
              <w:rPr>
                <w:b/>
              </w:rPr>
              <w:t>GINA</w:t>
            </w:r>
          </w:p>
        </w:tc>
        <w:tc>
          <w:tcPr>
            <w:tcW w:w="7360" w:type="dxa"/>
          </w:tcPr>
          <w:p w14:paraId="6AB88ED1" w14:textId="77777777" w:rsidR="008B1C85" w:rsidRPr="00F07BC7" w:rsidRDefault="008B1C85" w:rsidP="008B1C85">
            <w:pPr>
              <w:pStyle w:val="BodyText"/>
              <w:spacing w:beforeLines="40" w:before="96" w:afterLines="40" w:after="96" w:line="240" w:lineRule="auto"/>
            </w:pPr>
            <w:r w:rsidRPr="00893B34">
              <w:t>Global Initiative for Asthma</w:t>
            </w:r>
          </w:p>
        </w:tc>
      </w:tr>
      <w:tr w:rsidR="008B1C85" w14:paraId="6A9205B7" w14:textId="77777777" w:rsidTr="00E243C9">
        <w:tc>
          <w:tcPr>
            <w:tcW w:w="1701" w:type="dxa"/>
          </w:tcPr>
          <w:p w14:paraId="09F2E43C" w14:textId="77777777" w:rsidR="008B1C85" w:rsidRDefault="008B1C85" w:rsidP="008B1C85">
            <w:pPr>
              <w:pStyle w:val="BodyText"/>
              <w:spacing w:beforeLines="40" w:before="96" w:afterLines="40" w:after="96" w:line="240" w:lineRule="auto"/>
              <w:rPr>
                <w:b/>
              </w:rPr>
            </w:pPr>
            <w:r>
              <w:rPr>
                <w:b/>
              </w:rPr>
              <w:t>GOLD</w:t>
            </w:r>
          </w:p>
        </w:tc>
        <w:tc>
          <w:tcPr>
            <w:tcW w:w="7360" w:type="dxa"/>
          </w:tcPr>
          <w:p w14:paraId="462A948F" w14:textId="77777777" w:rsidR="008B1C85" w:rsidRPr="00F07BC7" w:rsidRDefault="008B1C85" w:rsidP="008B1C85">
            <w:pPr>
              <w:pStyle w:val="BodyText"/>
              <w:spacing w:beforeLines="40" w:before="96" w:afterLines="40" w:after="96" w:line="240" w:lineRule="auto"/>
            </w:pPr>
            <w:r w:rsidRPr="00893B34">
              <w:t>Global Initiative for Chronic Obstructive Lung Disease</w:t>
            </w:r>
          </w:p>
        </w:tc>
      </w:tr>
      <w:tr w:rsidR="008B1C85" w14:paraId="2895E620" w14:textId="77777777" w:rsidTr="00E243C9">
        <w:tc>
          <w:tcPr>
            <w:tcW w:w="1701" w:type="dxa"/>
          </w:tcPr>
          <w:p w14:paraId="7EF24087" w14:textId="77777777" w:rsidR="008B1C85" w:rsidRDefault="008B1C85" w:rsidP="008B1C85">
            <w:pPr>
              <w:pStyle w:val="BodyText"/>
              <w:spacing w:beforeLines="40" w:before="96" w:afterLines="40" w:after="96" w:line="240" w:lineRule="auto"/>
              <w:rPr>
                <w:b/>
              </w:rPr>
            </w:pPr>
            <w:r>
              <w:rPr>
                <w:b/>
              </w:rPr>
              <w:t>GP</w:t>
            </w:r>
          </w:p>
        </w:tc>
        <w:tc>
          <w:tcPr>
            <w:tcW w:w="7360" w:type="dxa"/>
          </w:tcPr>
          <w:p w14:paraId="2EA26F55" w14:textId="77777777" w:rsidR="008B1C85" w:rsidRDefault="008B1C85" w:rsidP="008B1C85">
            <w:pPr>
              <w:pStyle w:val="BodyText"/>
              <w:spacing w:beforeLines="40" w:before="96" w:afterLines="40" w:after="96" w:line="240" w:lineRule="auto"/>
            </w:pPr>
            <w:r>
              <w:t>General Practitioner</w:t>
            </w:r>
          </w:p>
        </w:tc>
      </w:tr>
      <w:tr w:rsidR="008B1C85" w14:paraId="640B8276" w14:textId="77777777" w:rsidTr="00E243C9">
        <w:tc>
          <w:tcPr>
            <w:tcW w:w="1701" w:type="dxa"/>
          </w:tcPr>
          <w:p w14:paraId="19AA0FBA" w14:textId="77777777" w:rsidR="008B1C85" w:rsidRPr="00BF260F" w:rsidRDefault="008B1C85" w:rsidP="008B1C85">
            <w:pPr>
              <w:pStyle w:val="BodyText"/>
              <w:spacing w:beforeLines="40" w:before="96" w:afterLines="40" w:after="96" w:line="240" w:lineRule="auto"/>
              <w:rPr>
                <w:b/>
              </w:rPr>
            </w:pPr>
            <w:r w:rsidRPr="00BF260F">
              <w:rPr>
                <w:b/>
              </w:rPr>
              <w:lastRenderedPageBreak/>
              <w:t>ADE</w:t>
            </w:r>
          </w:p>
        </w:tc>
        <w:tc>
          <w:tcPr>
            <w:tcW w:w="7360" w:type="dxa"/>
          </w:tcPr>
          <w:p w14:paraId="2C2A0B98" w14:textId="77777777" w:rsidR="008B1C85" w:rsidRPr="00705D4A" w:rsidRDefault="008B1C85" w:rsidP="008B1C85">
            <w:pPr>
              <w:pStyle w:val="BodyText"/>
              <w:spacing w:beforeLines="40" w:before="96" w:afterLines="40" w:after="96" w:line="240" w:lineRule="auto"/>
            </w:pPr>
            <w:r w:rsidRPr="00BC58BC">
              <w:t>Grading of Recommendations Assessment, Development and Evaluation</w:t>
            </w:r>
          </w:p>
        </w:tc>
      </w:tr>
      <w:tr w:rsidR="008B1C85" w14:paraId="691053CC" w14:textId="77777777" w:rsidTr="00E243C9">
        <w:tc>
          <w:tcPr>
            <w:tcW w:w="1701" w:type="dxa"/>
          </w:tcPr>
          <w:p w14:paraId="2898C435" w14:textId="77777777" w:rsidR="008B1C85" w:rsidRPr="00BF260F" w:rsidRDefault="008B1C85" w:rsidP="008B1C85">
            <w:pPr>
              <w:pStyle w:val="BodyText"/>
              <w:spacing w:beforeLines="40" w:before="96" w:afterLines="40" w:after="96" w:line="240" w:lineRule="auto"/>
              <w:rPr>
                <w:b/>
              </w:rPr>
            </w:pPr>
            <w:r w:rsidRPr="00BF260F">
              <w:rPr>
                <w:b/>
              </w:rPr>
              <w:t>HTA</w:t>
            </w:r>
          </w:p>
        </w:tc>
        <w:tc>
          <w:tcPr>
            <w:tcW w:w="7360" w:type="dxa"/>
          </w:tcPr>
          <w:p w14:paraId="07ABE8D8" w14:textId="77777777" w:rsidR="008B1C85" w:rsidRPr="00705D4A" w:rsidRDefault="008B1C85" w:rsidP="008B1C85">
            <w:pPr>
              <w:pStyle w:val="BodyText"/>
              <w:spacing w:beforeLines="40" w:before="96" w:afterLines="40" w:after="96" w:line="240" w:lineRule="auto"/>
            </w:pPr>
            <w:r w:rsidRPr="00BC58BC">
              <w:t>Health Technology Assessment</w:t>
            </w:r>
          </w:p>
        </w:tc>
      </w:tr>
      <w:tr w:rsidR="008B1C85" w14:paraId="15C85CB4" w14:textId="77777777" w:rsidTr="00E243C9">
        <w:tc>
          <w:tcPr>
            <w:tcW w:w="1701" w:type="dxa"/>
          </w:tcPr>
          <w:p w14:paraId="326BB531" w14:textId="77777777" w:rsidR="008B1C85" w:rsidRPr="00BF260F" w:rsidRDefault="008B1C85" w:rsidP="008B1C85">
            <w:pPr>
              <w:pStyle w:val="BodyText"/>
              <w:spacing w:beforeLines="40" w:before="96" w:afterLines="40" w:after="96" w:line="240" w:lineRule="auto"/>
              <w:rPr>
                <w:b/>
              </w:rPr>
            </w:pPr>
            <w:r>
              <w:rPr>
                <w:b/>
              </w:rPr>
              <w:t>LFA</w:t>
            </w:r>
          </w:p>
        </w:tc>
        <w:tc>
          <w:tcPr>
            <w:tcW w:w="7360" w:type="dxa"/>
          </w:tcPr>
          <w:p w14:paraId="6912EAD8" w14:textId="77777777" w:rsidR="008B1C85" w:rsidRPr="00BC58BC" w:rsidRDefault="008B1C85" w:rsidP="008B1C85">
            <w:pPr>
              <w:pStyle w:val="BodyText"/>
              <w:spacing w:beforeLines="40" w:before="96" w:afterLines="40" w:after="96" w:line="240" w:lineRule="auto"/>
            </w:pPr>
            <w:r w:rsidRPr="00117045">
              <w:t>Lung Foundation Australia</w:t>
            </w:r>
          </w:p>
        </w:tc>
      </w:tr>
      <w:tr w:rsidR="008B1C85" w14:paraId="5D94E436" w14:textId="77777777" w:rsidTr="00E243C9">
        <w:tc>
          <w:tcPr>
            <w:tcW w:w="1701" w:type="dxa"/>
          </w:tcPr>
          <w:p w14:paraId="42991F03" w14:textId="77777777" w:rsidR="008B1C85" w:rsidRPr="00BF260F" w:rsidRDefault="008B1C85" w:rsidP="008B1C85">
            <w:pPr>
              <w:pStyle w:val="BodyText"/>
              <w:spacing w:beforeLines="40" w:before="96" w:afterLines="40" w:after="96" w:line="240" w:lineRule="auto"/>
              <w:rPr>
                <w:b/>
              </w:rPr>
            </w:pPr>
            <w:r>
              <w:rPr>
                <w:b/>
              </w:rPr>
              <w:t>LLN</w:t>
            </w:r>
          </w:p>
        </w:tc>
        <w:tc>
          <w:tcPr>
            <w:tcW w:w="7360" w:type="dxa"/>
          </w:tcPr>
          <w:p w14:paraId="074783B8" w14:textId="77777777" w:rsidR="008B1C85" w:rsidRPr="00BC58BC" w:rsidRDefault="008B1C85" w:rsidP="008B1C85">
            <w:pPr>
              <w:pStyle w:val="BodyText"/>
              <w:spacing w:beforeLines="40" w:before="96" w:afterLines="40" w:after="96" w:line="240" w:lineRule="auto"/>
            </w:pPr>
            <w:r>
              <w:t>Lower Limit of Normal</w:t>
            </w:r>
          </w:p>
        </w:tc>
      </w:tr>
      <w:tr w:rsidR="008B1C85" w14:paraId="690070DB" w14:textId="77777777" w:rsidTr="00E243C9">
        <w:tc>
          <w:tcPr>
            <w:tcW w:w="1701" w:type="dxa"/>
          </w:tcPr>
          <w:p w14:paraId="3403D890" w14:textId="77777777" w:rsidR="008B1C85" w:rsidRPr="00BF260F" w:rsidRDefault="008B1C85" w:rsidP="008B1C85">
            <w:pPr>
              <w:pStyle w:val="BodyText"/>
              <w:spacing w:beforeLines="40" w:before="96" w:afterLines="40" w:after="96" w:line="240" w:lineRule="auto"/>
              <w:rPr>
                <w:b/>
              </w:rPr>
            </w:pPr>
            <w:r w:rsidRPr="00BF260F">
              <w:rPr>
                <w:b/>
              </w:rPr>
              <w:t>MBS</w:t>
            </w:r>
          </w:p>
        </w:tc>
        <w:tc>
          <w:tcPr>
            <w:tcW w:w="7360" w:type="dxa"/>
          </w:tcPr>
          <w:p w14:paraId="1297EA33" w14:textId="77777777" w:rsidR="008B1C85" w:rsidRPr="00705D4A" w:rsidRDefault="008B1C85" w:rsidP="008B1C85">
            <w:pPr>
              <w:pStyle w:val="BodyText"/>
              <w:spacing w:beforeLines="40" w:before="96" w:afterLines="40" w:after="96" w:line="240" w:lineRule="auto"/>
            </w:pPr>
            <w:r w:rsidRPr="00BC58BC">
              <w:t>Medicare Benefits Schedule</w:t>
            </w:r>
          </w:p>
        </w:tc>
      </w:tr>
      <w:tr w:rsidR="008B1C85" w14:paraId="523E5376" w14:textId="77777777" w:rsidTr="00E243C9">
        <w:tc>
          <w:tcPr>
            <w:tcW w:w="1701" w:type="dxa"/>
          </w:tcPr>
          <w:p w14:paraId="50F66297" w14:textId="77777777" w:rsidR="008B1C85" w:rsidRPr="00BF260F" w:rsidRDefault="008B1C85" w:rsidP="008B1C85">
            <w:pPr>
              <w:pStyle w:val="BodyText"/>
              <w:spacing w:beforeLines="40" w:before="96" w:afterLines="40" w:after="96" w:line="240" w:lineRule="auto"/>
              <w:rPr>
                <w:b/>
              </w:rPr>
            </w:pPr>
            <w:r>
              <w:rPr>
                <w:b/>
              </w:rPr>
              <w:t>MP</w:t>
            </w:r>
          </w:p>
        </w:tc>
        <w:tc>
          <w:tcPr>
            <w:tcW w:w="7360" w:type="dxa"/>
          </w:tcPr>
          <w:p w14:paraId="17311D50" w14:textId="77777777" w:rsidR="008B1C85" w:rsidRPr="00BC58BC" w:rsidRDefault="008B1C85" w:rsidP="008B1C85">
            <w:pPr>
              <w:pStyle w:val="BodyText"/>
              <w:spacing w:beforeLines="40" w:before="96" w:afterLines="40" w:after="96" w:line="240" w:lineRule="auto"/>
            </w:pPr>
            <w:r>
              <w:t>Member of Parliament</w:t>
            </w:r>
          </w:p>
        </w:tc>
      </w:tr>
      <w:tr w:rsidR="008B1C85" w14:paraId="683A9173" w14:textId="77777777" w:rsidTr="00E243C9">
        <w:tc>
          <w:tcPr>
            <w:tcW w:w="1701" w:type="dxa"/>
          </w:tcPr>
          <w:p w14:paraId="3C14C80F" w14:textId="77777777" w:rsidR="008B1C85" w:rsidRPr="00BF260F" w:rsidRDefault="008B1C85" w:rsidP="008B1C85">
            <w:pPr>
              <w:pStyle w:val="BodyText"/>
              <w:spacing w:beforeLines="40" w:before="96" w:afterLines="40" w:after="96" w:line="240" w:lineRule="auto"/>
              <w:rPr>
                <w:b/>
              </w:rPr>
            </w:pPr>
            <w:r>
              <w:rPr>
                <w:b/>
              </w:rPr>
              <w:t>MSAC</w:t>
            </w:r>
          </w:p>
        </w:tc>
        <w:tc>
          <w:tcPr>
            <w:tcW w:w="7360" w:type="dxa"/>
          </w:tcPr>
          <w:p w14:paraId="044BBA66" w14:textId="77777777" w:rsidR="008B1C85" w:rsidRPr="00BC58BC" w:rsidRDefault="008B1C85" w:rsidP="008B1C85">
            <w:pPr>
              <w:pStyle w:val="BodyText"/>
              <w:spacing w:beforeLines="40" w:before="96" w:afterLines="40" w:after="96" w:line="240" w:lineRule="auto"/>
            </w:pPr>
            <w:r w:rsidRPr="003D6C18">
              <w:t>Medical Se</w:t>
            </w:r>
            <w:r>
              <w:t>rvices Advisory Committee</w:t>
            </w:r>
          </w:p>
        </w:tc>
      </w:tr>
      <w:tr w:rsidR="008B1C85" w14:paraId="79647C29" w14:textId="77777777" w:rsidTr="00E243C9">
        <w:tc>
          <w:tcPr>
            <w:tcW w:w="1701" w:type="dxa"/>
          </w:tcPr>
          <w:p w14:paraId="29EAE409" w14:textId="77777777" w:rsidR="008B1C85" w:rsidRPr="00BF260F" w:rsidRDefault="008B1C85" w:rsidP="008B1C85">
            <w:pPr>
              <w:pStyle w:val="BodyText"/>
              <w:spacing w:beforeLines="40" w:before="96" w:afterLines="40" w:after="96" w:line="240" w:lineRule="auto"/>
              <w:rPr>
                <w:b/>
              </w:rPr>
            </w:pPr>
            <w:r>
              <w:rPr>
                <w:b/>
              </w:rPr>
              <w:t>NAC</w:t>
            </w:r>
          </w:p>
        </w:tc>
        <w:tc>
          <w:tcPr>
            <w:tcW w:w="7360" w:type="dxa"/>
          </w:tcPr>
          <w:p w14:paraId="333AFF64" w14:textId="77777777" w:rsidR="008B1C85" w:rsidRPr="00BC58BC" w:rsidRDefault="008B1C85" w:rsidP="008B1C85">
            <w:pPr>
              <w:pStyle w:val="BodyText"/>
              <w:spacing w:beforeLines="40" w:before="96" w:afterLines="40" w:after="96" w:line="240" w:lineRule="auto"/>
            </w:pPr>
            <w:r>
              <w:t>National Asthma Council Australia</w:t>
            </w:r>
          </w:p>
        </w:tc>
      </w:tr>
      <w:tr w:rsidR="008B1C85" w14:paraId="1A30794B" w14:textId="77777777" w:rsidTr="00E243C9">
        <w:tc>
          <w:tcPr>
            <w:tcW w:w="1701" w:type="dxa"/>
          </w:tcPr>
          <w:p w14:paraId="1EFC331F" w14:textId="77777777" w:rsidR="008B1C85" w:rsidRDefault="008B1C85" w:rsidP="008B1C85">
            <w:pPr>
              <w:pStyle w:val="BodyText"/>
              <w:spacing w:beforeLines="40" w:before="96" w:afterLines="40" w:after="96" w:line="240" w:lineRule="auto"/>
              <w:rPr>
                <w:b/>
              </w:rPr>
            </w:pPr>
            <w:r>
              <w:rPr>
                <w:b/>
              </w:rPr>
              <w:t>NCGC</w:t>
            </w:r>
          </w:p>
        </w:tc>
        <w:tc>
          <w:tcPr>
            <w:tcW w:w="7360" w:type="dxa"/>
          </w:tcPr>
          <w:p w14:paraId="4C41FA69" w14:textId="77777777" w:rsidR="008B1C85" w:rsidRDefault="008B1C85" w:rsidP="008B1C85">
            <w:pPr>
              <w:pStyle w:val="BodyText"/>
              <w:spacing w:beforeLines="40" w:before="96" w:afterLines="40" w:after="96" w:line="240" w:lineRule="auto"/>
            </w:pPr>
            <w:r w:rsidRPr="00F83A97">
              <w:t>National Clinical Guideline Centre</w:t>
            </w:r>
          </w:p>
        </w:tc>
      </w:tr>
      <w:tr w:rsidR="008B1C85" w14:paraId="28EC825D" w14:textId="77777777" w:rsidTr="00E243C9">
        <w:tc>
          <w:tcPr>
            <w:tcW w:w="1701" w:type="dxa"/>
          </w:tcPr>
          <w:p w14:paraId="50AA0258" w14:textId="77777777" w:rsidR="008B1C85" w:rsidRDefault="008B1C85" w:rsidP="008B1C85">
            <w:pPr>
              <w:pStyle w:val="BodyText"/>
              <w:spacing w:beforeLines="40" w:before="96" w:afterLines="40" w:after="96" w:line="240" w:lineRule="auto"/>
              <w:rPr>
                <w:b/>
              </w:rPr>
            </w:pPr>
            <w:r>
              <w:rPr>
                <w:b/>
              </w:rPr>
              <w:t>NHLBI</w:t>
            </w:r>
          </w:p>
        </w:tc>
        <w:tc>
          <w:tcPr>
            <w:tcW w:w="7360" w:type="dxa"/>
          </w:tcPr>
          <w:p w14:paraId="2528CA7A" w14:textId="77777777" w:rsidR="008B1C85" w:rsidRPr="00F83A97" w:rsidRDefault="008B1C85" w:rsidP="008B1C85">
            <w:pPr>
              <w:pStyle w:val="BodyText"/>
              <w:spacing w:beforeLines="40" w:before="96" w:afterLines="40" w:after="96" w:line="240" w:lineRule="auto"/>
            </w:pPr>
            <w:r>
              <w:t>National Heart, Lung, and Blood Institute</w:t>
            </w:r>
          </w:p>
        </w:tc>
      </w:tr>
      <w:tr w:rsidR="008B1C85" w14:paraId="74AF5388" w14:textId="77777777" w:rsidTr="00E243C9">
        <w:tc>
          <w:tcPr>
            <w:tcW w:w="1701" w:type="dxa"/>
          </w:tcPr>
          <w:p w14:paraId="1451EDAC" w14:textId="77777777" w:rsidR="008B1C85" w:rsidRPr="00BF260F" w:rsidRDefault="008B1C85" w:rsidP="008B1C85">
            <w:pPr>
              <w:pStyle w:val="BodyText"/>
              <w:spacing w:beforeLines="40" w:before="96" w:afterLines="40" w:after="96" w:line="240" w:lineRule="auto"/>
              <w:rPr>
                <w:b/>
              </w:rPr>
            </w:pPr>
            <w:r>
              <w:rPr>
                <w:b/>
              </w:rPr>
              <w:t>NHMRC</w:t>
            </w:r>
          </w:p>
        </w:tc>
        <w:tc>
          <w:tcPr>
            <w:tcW w:w="7360" w:type="dxa"/>
          </w:tcPr>
          <w:p w14:paraId="2617A8B1" w14:textId="77777777" w:rsidR="008B1C85" w:rsidRPr="00BC58BC" w:rsidRDefault="008B1C85" w:rsidP="008B1C85">
            <w:pPr>
              <w:pStyle w:val="BodyText"/>
              <w:spacing w:beforeLines="40" w:before="96" w:afterLines="40" w:after="96" w:line="240" w:lineRule="auto"/>
            </w:pPr>
            <w:r w:rsidRPr="0005002F">
              <w:t>National Health and Medical Research Council</w:t>
            </w:r>
          </w:p>
        </w:tc>
      </w:tr>
      <w:tr w:rsidR="008B1C85" w14:paraId="21AB1C6A" w14:textId="77777777" w:rsidTr="00E243C9">
        <w:tc>
          <w:tcPr>
            <w:tcW w:w="1701" w:type="dxa"/>
          </w:tcPr>
          <w:p w14:paraId="05248252" w14:textId="77777777" w:rsidR="008B1C85" w:rsidRDefault="008B1C85" w:rsidP="008B1C85">
            <w:pPr>
              <w:pStyle w:val="BodyText"/>
              <w:spacing w:beforeLines="40" w:before="96" w:afterLines="40" w:after="96" w:line="240" w:lineRule="auto"/>
              <w:rPr>
                <w:b/>
              </w:rPr>
            </w:pPr>
            <w:r>
              <w:rPr>
                <w:b/>
              </w:rPr>
              <w:t>NHS</w:t>
            </w:r>
          </w:p>
        </w:tc>
        <w:tc>
          <w:tcPr>
            <w:tcW w:w="7360" w:type="dxa"/>
          </w:tcPr>
          <w:p w14:paraId="64A82548" w14:textId="77777777" w:rsidR="008B1C85" w:rsidRPr="0005002F" w:rsidRDefault="008B1C85" w:rsidP="008B1C85">
            <w:pPr>
              <w:pStyle w:val="BodyText"/>
              <w:spacing w:beforeLines="40" w:before="96" w:afterLines="40" w:after="96" w:line="240" w:lineRule="auto"/>
            </w:pPr>
            <w:r>
              <w:t>National Health Service</w:t>
            </w:r>
          </w:p>
        </w:tc>
      </w:tr>
      <w:tr w:rsidR="008B1C85" w14:paraId="2F9BE0A8" w14:textId="77777777" w:rsidTr="00E243C9">
        <w:tc>
          <w:tcPr>
            <w:tcW w:w="1701" w:type="dxa"/>
          </w:tcPr>
          <w:p w14:paraId="3C6DDF81" w14:textId="77777777" w:rsidR="008B1C85" w:rsidRDefault="008B1C85" w:rsidP="008B1C85">
            <w:pPr>
              <w:pStyle w:val="BodyText"/>
              <w:spacing w:beforeLines="40" w:before="96" w:afterLines="40" w:after="96" w:line="240" w:lineRule="auto"/>
              <w:rPr>
                <w:b/>
              </w:rPr>
            </w:pPr>
            <w:r>
              <w:rPr>
                <w:b/>
              </w:rPr>
              <w:t>NICE</w:t>
            </w:r>
          </w:p>
        </w:tc>
        <w:tc>
          <w:tcPr>
            <w:tcW w:w="7360" w:type="dxa"/>
          </w:tcPr>
          <w:p w14:paraId="5E243F43" w14:textId="77777777" w:rsidR="008B1C85" w:rsidRPr="0005002F" w:rsidRDefault="008B1C85" w:rsidP="008B1C85">
            <w:pPr>
              <w:pStyle w:val="BodyText"/>
              <w:spacing w:beforeLines="40" w:before="96" w:afterLines="40" w:after="96" w:line="240" w:lineRule="auto"/>
            </w:pPr>
            <w:r>
              <w:t>National Institute for Health and Care Excellence</w:t>
            </w:r>
          </w:p>
        </w:tc>
      </w:tr>
      <w:tr w:rsidR="008B1C85" w14:paraId="2C189471" w14:textId="77777777" w:rsidTr="00E243C9">
        <w:tc>
          <w:tcPr>
            <w:tcW w:w="1701" w:type="dxa"/>
          </w:tcPr>
          <w:p w14:paraId="0A06556A" w14:textId="77777777" w:rsidR="008B1C85" w:rsidRDefault="008B1C85" w:rsidP="008B1C85">
            <w:pPr>
              <w:pStyle w:val="BodyText"/>
              <w:spacing w:beforeLines="40" w:before="96" w:afterLines="40" w:after="96" w:line="240" w:lineRule="auto"/>
              <w:rPr>
                <w:b/>
              </w:rPr>
            </w:pPr>
            <w:r>
              <w:rPr>
                <w:b/>
              </w:rPr>
              <w:t>PCRS</w:t>
            </w:r>
          </w:p>
        </w:tc>
        <w:tc>
          <w:tcPr>
            <w:tcW w:w="7360" w:type="dxa"/>
          </w:tcPr>
          <w:p w14:paraId="300788D1" w14:textId="77777777" w:rsidR="008B1C85" w:rsidRDefault="008B1C85" w:rsidP="008B1C85">
            <w:pPr>
              <w:pStyle w:val="BodyText"/>
              <w:spacing w:beforeLines="40" w:before="96" w:afterLines="40" w:after="96" w:line="240" w:lineRule="auto"/>
            </w:pPr>
            <w:r w:rsidRPr="002F1130">
              <w:t>Primary Care Respiratory Soc</w:t>
            </w:r>
            <w:r>
              <w:t>iety</w:t>
            </w:r>
          </w:p>
        </w:tc>
      </w:tr>
      <w:tr w:rsidR="008B1C85" w14:paraId="7E541040" w14:textId="77777777" w:rsidTr="00E243C9">
        <w:tc>
          <w:tcPr>
            <w:tcW w:w="1701" w:type="dxa"/>
          </w:tcPr>
          <w:p w14:paraId="460376B6" w14:textId="77777777" w:rsidR="008B1C85" w:rsidRPr="00BF260F" w:rsidRDefault="008B1C85" w:rsidP="008B1C85">
            <w:pPr>
              <w:pStyle w:val="BodyText"/>
              <w:spacing w:beforeLines="40" w:before="96" w:afterLines="40" w:after="96" w:line="240" w:lineRule="auto"/>
              <w:rPr>
                <w:b/>
              </w:rPr>
            </w:pPr>
            <w:r>
              <w:rPr>
                <w:b/>
              </w:rPr>
              <w:t>PEF</w:t>
            </w:r>
          </w:p>
        </w:tc>
        <w:tc>
          <w:tcPr>
            <w:tcW w:w="7360" w:type="dxa"/>
          </w:tcPr>
          <w:p w14:paraId="0DEDFEC9" w14:textId="77777777" w:rsidR="008B1C85" w:rsidRPr="00BC58BC" w:rsidRDefault="008B1C85" w:rsidP="008B1C85">
            <w:pPr>
              <w:pStyle w:val="BodyText"/>
              <w:spacing w:beforeLines="40" w:before="96" w:afterLines="40" w:after="96" w:line="240" w:lineRule="auto"/>
            </w:pPr>
            <w:r>
              <w:t>Peak Expiratory Flow</w:t>
            </w:r>
          </w:p>
        </w:tc>
      </w:tr>
      <w:tr w:rsidR="008B1C85" w14:paraId="3AD777DA" w14:textId="77777777" w:rsidTr="00E243C9">
        <w:tc>
          <w:tcPr>
            <w:tcW w:w="1701" w:type="dxa"/>
          </w:tcPr>
          <w:p w14:paraId="7A006008" w14:textId="77777777" w:rsidR="008B1C85" w:rsidRDefault="008B1C85" w:rsidP="008B1C85">
            <w:pPr>
              <w:pStyle w:val="BodyText"/>
              <w:spacing w:beforeLines="40" w:before="96" w:afterLines="40" w:after="96" w:line="240" w:lineRule="auto"/>
              <w:rPr>
                <w:b/>
              </w:rPr>
            </w:pPr>
            <w:r>
              <w:rPr>
                <w:b/>
              </w:rPr>
              <w:t>PICO</w:t>
            </w:r>
          </w:p>
        </w:tc>
        <w:tc>
          <w:tcPr>
            <w:tcW w:w="7360" w:type="dxa"/>
          </w:tcPr>
          <w:p w14:paraId="7B710B9D" w14:textId="77777777" w:rsidR="008B1C85" w:rsidRDefault="008B1C85" w:rsidP="008B1C85">
            <w:pPr>
              <w:pStyle w:val="BodyText"/>
              <w:spacing w:beforeLines="40" w:before="96" w:afterLines="40" w:after="96" w:line="240" w:lineRule="auto"/>
            </w:pPr>
            <w:r>
              <w:t>Population, Intervention, Comparator, O</w:t>
            </w:r>
            <w:r w:rsidRPr="003208FC">
              <w:t>utcomes</w:t>
            </w:r>
          </w:p>
        </w:tc>
      </w:tr>
      <w:tr w:rsidR="008B1C85" w14:paraId="5293C5E6" w14:textId="77777777" w:rsidTr="00E243C9">
        <w:tc>
          <w:tcPr>
            <w:tcW w:w="1701" w:type="dxa"/>
          </w:tcPr>
          <w:p w14:paraId="771DBCBC" w14:textId="77777777" w:rsidR="008B1C85" w:rsidRDefault="008B1C85" w:rsidP="008B1C85">
            <w:pPr>
              <w:pStyle w:val="BodyText"/>
              <w:spacing w:beforeLines="40" w:before="96" w:afterLines="40" w:after="96" w:line="240" w:lineRule="auto"/>
              <w:rPr>
                <w:b/>
              </w:rPr>
            </w:pPr>
            <w:r>
              <w:rPr>
                <w:b/>
              </w:rPr>
              <w:t>QALY</w:t>
            </w:r>
          </w:p>
        </w:tc>
        <w:tc>
          <w:tcPr>
            <w:tcW w:w="7360" w:type="dxa"/>
          </w:tcPr>
          <w:p w14:paraId="4ADE70A2" w14:textId="77777777" w:rsidR="008B1C85" w:rsidRDefault="008B1C85" w:rsidP="008B1C85">
            <w:pPr>
              <w:pStyle w:val="BodyText"/>
              <w:spacing w:beforeLines="40" w:before="96" w:afterLines="40" w:after="96" w:line="240" w:lineRule="auto"/>
            </w:pPr>
            <w:r>
              <w:t>Quality-Adjusted Life Year</w:t>
            </w:r>
          </w:p>
        </w:tc>
      </w:tr>
      <w:tr w:rsidR="008B1C85" w14:paraId="611079DB" w14:textId="77777777" w:rsidTr="00E243C9">
        <w:tc>
          <w:tcPr>
            <w:tcW w:w="1701" w:type="dxa"/>
          </w:tcPr>
          <w:p w14:paraId="0A1BFA99" w14:textId="77777777" w:rsidR="008B1C85" w:rsidRDefault="008B1C85" w:rsidP="008B1C85">
            <w:pPr>
              <w:pStyle w:val="BodyText"/>
              <w:spacing w:beforeLines="40" w:before="96" w:afterLines="40" w:after="96" w:line="240" w:lineRule="auto"/>
              <w:rPr>
                <w:b/>
              </w:rPr>
            </w:pPr>
            <w:r>
              <w:rPr>
                <w:b/>
              </w:rPr>
              <w:t>QOF</w:t>
            </w:r>
          </w:p>
        </w:tc>
        <w:tc>
          <w:tcPr>
            <w:tcW w:w="7360" w:type="dxa"/>
          </w:tcPr>
          <w:p w14:paraId="6E698497" w14:textId="77777777" w:rsidR="008B1C85" w:rsidRDefault="008B1C85" w:rsidP="008B1C85">
            <w:pPr>
              <w:pStyle w:val="BodyText"/>
              <w:spacing w:beforeLines="40" w:before="96" w:afterLines="40" w:after="96" w:line="240" w:lineRule="auto"/>
            </w:pPr>
            <w:r>
              <w:t>Quality and Outcomes Framework</w:t>
            </w:r>
          </w:p>
        </w:tc>
      </w:tr>
      <w:tr w:rsidR="008B1C85" w14:paraId="121B234B" w14:textId="77777777" w:rsidTr="00E243C9">
        <w:tc>
          <w:tcPr>
            <w:tcW w:w="1701" w:type="dxa"/>
          </w:tcPr>
          <w:p w14:paraId="501FC111" w14:textId="77777777" w:rsidR="008B1C85" w:rsidRDefault="008B1C85" w:rsidP="008B1C85">
            <w:pPr>
              <w:pStyle w:val="BodyText"/>
              <w:spacing w:beforeLines="40" w:before="96" w:afterLines="40" w:after="96" w:line="240" w:lineRule="auto"/>
              <w:rPr>
                <w:b/>
              </w:rPr>
            </w:pPr>
            <w:r>
              <w:rPr>
                <w:b/>
              </w:rPr>
              <w:t>QUADAS-2</w:t>
            </w:r>
          </w:p>
        </w:tc>
        <w:tc>
          <w:tcPr>
            <w:tcW w:w="7360" w:type="dxa"/>
          </w:tcPr>
          <w:p w14:paraId="6D3E8257" w14:textId="77777777" w:rsidR="008B1C85" w:rsidRDefault="008B1C85" w:rsidP="008B1C85">
            <w:pPr>
              <w:pStyle w:val="BodyText"/>
              <w:spacing w:beforeLines="40" w:before="96" w:afterLines="40" w:after="96" w:line="240" w:lineRule="auto"/>
            </w:pPr>
            <w:r w:rsidRPr="002C2CAA">
              <w:t>Quality Assessment of Diagnostic Accuracy</w:t>
            </w:r>
            <w:r>
              <w:t xml:space="preserve"> Studies, V</w:t>
            </w:r>
            <w:r w:rsidRPr="002C2CAA">
              <w:t>ersion 2</w:t>
            </w:r>
          </w:p>
        </w:tc>
      </w:tr>
      <w:tr w:rsidR="008B1C85" w14:paraId="6C32B888" w14:textId="77777777" w:rsidTr="00E243C9">
        <w:tc>
          <w:tcPr>
            <w:tcW w:w="1701" w:type="dxa"/>
          </w:tcPr>
          <w:p w14:paraId="3625A613" w14:textId="77777777" w:rsidR="008B1C85" w:rsidRDefault="008B1C85" w:rsidP="008B1C85">
            <w:pPr>
              <w:pStyle w:val="BodyText"/>
              <w:spacing w:beforeLines="40" w:before="96" w:afterLines="40" w:after="96" w:line="240" w:lineRule="auto"/>
              <w:rPr>
                <w:b/>
              </w:rPr>
            </w:pPr>
            <w:r>
              <w:rPr>
                <w:b/>
              </w:rPr>
              <w:t>RACGP</w:t>
            </w:r>
          </w:p>
        </w:tc>
        <w:tc>
          <w:tcPr>
            <w:tcW w:w="7360" w:type="dxa"/>
          </w:tcPr>
          <w:p w14:paraId="5D60F8B9" w14:textId="77777777" w:rsidR="008B1C85" w:rsidRDefault="008B1C85" w:rsidP="008B1C85">
            <w:pPr>
              <w:pStyle w:val="BodyText"/>
              <w:spacing w:beforeLines="40" w:before="96" w:afterLines="40" w:after="96" w:line="240" w:lineRule="auto"/>
            </w:pPr>
            <w:r>
              <w:t>Royal Australian College of General Practitioners</w:t>
            </w:r>
          </w:p>
        </w:tc>
      </w:tr>
      <w:tr w:rsidR="008B1C85" w14:paraId="655E1726" w14:textId="77777777" w:rsidTr="00E243C9">
        <w:tc>
          <w:tcPr>
            <w:tcW w:w="1701" w:type="dxa"/>
          </w:tcPr>
          <w:p w14:paraId="70DE25C0" w14:textId="77777777" w:rsidR="008B1C85" w:rsidRDefault="008B1C85" w:rsidP="008B1C85">
            <w:pPr>
              <w:pStyle w:val="BodyText"/>
              <w:spacing w:beforeLines="40" w:before="96" w:afterLines="40" w:after="96" w:line="240" w:lineRule="auto"/>
              <w:rPr>
                <w:b/>
              </w:rPr>
            </w:pPr>
            <w:r>
              <w:rPr>
                <w:b/>
              </w:rPr>
              <w:t>RCP</w:t>
            </w:r>
          </w:p>
        </w:tc>
        <w:tc>
          <w:tcPr>
            <w:tcW w:w="7360" w:type="dxa"/>
          </w:tcPr>
          <w:p w14:paraId="155B29C5" w14:textId="77777777" w:rsidR="008B1C85" w:rsidRDefault="008B1C85" w:rsidP="008B1C85">
            <w:pPr>
              <w:pStyle w:val="BodyText"/>
              <w:spacing w:beforeLines="40" w:before="96" w:afterLines="40" w:after="96" w:line="240" w:lineRule="auto"/>
            </w:pPr>
            <w:r>
              <w:t>Royal College of Physicians</w:t>
            </w:r>
          </w:p>
        </w:tc>
      </w:tr>
      <w:tr w:rsidR="008B1C85" w14:paraId="70209728" w14:textId="77777777" w:rsidTr="00E243C9">
        <w:tc>
          <w:tcPr>
            <w:tcW w:w="1701" w:type="dxa"/>
          </w:tcPr>
          <w:p w14:paraId="65AAE990" w14:textId="77777777" w:rsidR="008B1C85" w:rsidRPr="00BF260F" w:rsidRDefault="008B1C85" w:rsidP="008B1C85">
            <w:pPr>
              <w:pStyle w:val="BodyText"/>
              <w:spacing w:beforeLines="40" w:before="96" w:afterLines="40" w:after="96" w:line="240" w:lineRule="auto"/>
              <w:rPr>
                <w:b/>
              </w:rPr>
            </w:pPr>
            <w:r w:rsidRPr="00BF260F">
              <w:rPr>
                <w:b/>
              </w:rPr>
              <w:t>RCT</w:t>
            </w:r>
          </w:p>
        </w:tc>
        <w:tc>
          <w:tcPr>
            <w:tcW w:w="7360" w:type="dxa"/>
          </w:tcPr>
          <w:p w14:paraId="68CF3491" w14:textId="77777777" w:rsidR="008B1C85" w:rsidRPr="00705D4A" w:rsidRDefault="008B1C85" w:rsidP="008B1C85">
            <w:pPr>
              <w:pStyle w:val="BodyText"/>
              <w:spacing w:beforeLines="40" w:before="96" w:afterLines="40" w:after="96" w:line="240" w:lineRule="auto"/>
            </w:pPr>
            <w:r>
              <w:t>Randomis</w:t>
            </w:r>
            <w:r w:rsidRPr="00BC58BC">
              <w:t>ed Controlled Trial</w:t>
            </w:r>
          </w:p>
        </w:tc>
      </w:tr>
      <w:tr w:rsidR="008B1C85" w14:paraId="2EB1B8FB" w14:textId="77777777" w:rsidTr="00E243C9">
        <w:tc>
          <w:tcPr>
            <w:tcW w:w="1701" w:type="dxa"/>
          </w:tcPr>
          <w:p w14:paraId="2D53DCBB" w14:textId="77777777" w:rsidR="008B1C85" w:rsidRPr="00BF260F" w:rsidRDefault="008B1C85" w:rsidP="008B1C85">
            <w:pPr>
              <w:pStyle w:val="BodyText"/>
              <w:spacing w:beforeLines="40" w:before="96" w:afterLines="40" w:after="96" w:line="240" w:lineRule="auto"/>
              <w:rPr>
                <w:b/>
              </w:rPr>
            </w:pPr>
            <w:r>
              <w:rPr>
                <w:b/>
              </w:rPr>
              <w:t>SABA</w:t>
            </w:r>
          </w:p>
        </w:tc>
        <w:tc>
          <w:tcPr>
            <w:tcW w:w="7360" w:type="dxa"/>
          </w:tcPr>
          <w:p w14:paraId="0547CDE0" w14:textId="77777777" w:rsidR="008B1C85" w:rsidRDefault="008B1C85" w:rsidP="008B1C85">
            <w:pPr>
              <w:pStyle w:val="BodyText"/>
              <w:spacing w:beforeLines="40" w:before="96" w:afterLines="40" w:after="96" w:line="240" w:lineRule="auto"/>
            </w:pPr>
            <w:r>
              <w:t>Short-acting B</w:t>
            </w:r>
            <w:r w:rsidRPr="00392D8F">
              <w:t>eta</w:t>
            </w:r>
            <w:r w:rsidRPr="00392D8F">
              <w:rPr>
                <w:vertAlign w:val="subscript"/>
              </w:rPr>
              <w:t>2</w:t>
            </w:r>
            <w:r w:rsidRPr="00392D8F">
              <w:t>-agonist</w:t>
            </w:r>
          </w:p>
        </w:tc>
      </w:tr>
      <w:tr w:rsidR="008B1C85" w14:paraId="7845E3AD" w14:textId="77777777" w:rsidTr="00E243C9">
        <w:tc>
          <w:tcPr>
            <w:tcW w:w="1701" w:type="dxa"/>
          </w:tcPr>
          <w:p w14:paraId="73124E45" w14:textId="77777777" w:rsidR="008B1C85" w:rsidRPr="00BF260F" w:rsidRDefault="008B1C85" w:rsidP="008B1C85">
            <w:pPr>
              <w:pStyle w:val="BodyText"/>
              <w:spacing w:beforeLines="40" w:before="96" w:afterLines="40" w:after="96" w:line="240" w:lineRule="auto"/>
              <w:rPr>
                <w:b/>
              </w:rPr>
            </w:pPr>
            <w:r>
              <w:rPr>
                <w:b/>
              </w:rPr>
              <w:t>SF-36</w:t>
            </w:r>
          </w:p>
        </w:tc>
        <w:tc>
          <w:tcPr>
            <w:tcW w:w="7360" w:type="dxa"/>
          </w:tcPr>
          <w:p w14:paraId="2051AC26" w14:textId="77777777" w:rsidR="008B1C85" w:rsidRDefault="008B1C85" w:rsidP="008B1C85">
            <w:pPr>
              <w:pStyle w:val="BodyText"/>
              <w:spacing w:beforeLines="40" w:before="96" w:afterLines="40" w:after="96" w:line="240" w:lineRule="auto"/>
            </w:pPr>
            <w:r w:rsidRPr="00893B34">
              <w:t>36-item Short Form Health Survey</w:t>
            </w:r>
          </w:p>
        </w:tc>
      </w:tr>
      <w:tr w:rsidR="008B1C85" w14:paraId="3F72A83D" w14:textId="77777777" w:rsidTr="00E243C9">
        <w:tc>
          <w:tcPr>
            <w:tcW w:w="1701" w:type="dxa"/>
          </w:tcPr>
          <w:p w14:paraId="2C3C54B1" w14:textId="77777777" w:rsidR="008B1C85" w:rsidRDefault="008B1C85" w:rsidP="008B1C85">
            <w:pPr>
              <w:pStyle w:val="BodyText"/>
              <w:spacing w:beforeLines="40" w:before="96" w:afterLines="40" w:after="96" w:line="240" w:lineRule="auto"/>
              <w:rPr>
                <w:b/>
              </w:rPr>
            </w:pPr>
            <w:r>
              <w:rPr>
                <w:b/>
              </w:rPr>
              <w:t>SIGN</w:t>
            </w:r>
          </w:p>
        </w:tc>
        <w:tc>
          <w:tcPr>
            <w:tcW w:w="7360" w:type="dxa"/>
          </w:tcPr>
          <w:p w14:paraId="2189D30F" w14:textId="77777777" w:rsidR="008B1C85" w:rsidRPr="00893B34" w:rsidRDefault="008B1C85" w:rsidP="008B1C85">
            <w:pPr>
              <w:pStyle w:val="BodyText"/>
              <w:spacing w:beforeLines="40" w:before="96" w:afterLines="40" w:after="96" w:line="240" w:lineRule="auto"/>
            </w:pPr>
            <w:r>
              <w:t>Scottish Intercollegiate Guidelines Network</w:t>
            </w:r>
          </w:p>
        </w:tc>
      </w:tr>
      <w:tr w:rsidR="008B1C85" w14:paraId="0BF23BF6" w14:textId="77777777" w:rsidTr="00E243C9">
        <w:tc>
          <w:tcPr>
            <w:tcW w:w="1701" w:type="dxa"/>
          </w:tcPr>
          <w:p w14:paraId="2CACF212" w14:textId="77777777" w:rsidR="008B1C85" w:rsidRDefault="008B1C85" w:rsidP="008B1C85">
            <w:pPr>
              <w:pStyle w:val="BodyText"/>
              <w:spacing w:beforeLines="40" w:before="96" w:afterLines="40" w:after="96" w:line="240" w:lineRule="auto"/>
              <w:rPr>
                <w:b/>
              </w:rPr>
            </w:pPr>
            <w:r>
              <w:rPr>
                <w:b/>
              </w:rPr>
              <w:t>TSANZ</w:t>
            </w:r>
          </w:p>
        </w:tc>
        <w:tc>
          <w:tcPr>
            <w:tcW w:w="7360" w:type="dxa"/>
          </w:tcPr>
          <w:p w14:paraId="01CF6214" w14:textId="77777777" w:rsidR="008B1C85" w:rsidRDefault="008B1C85" w:rsidP="008B1C85">
            <w:pPr>
              <w:pStyle w:val="BodyText"/>
              <w:spacing w:beforeLines="40" w:before="96" w:afterLines="40" w:after="96" w:line="240" w:lineRule="auto"/>
            </w:pPr>
            <w:r w:rsidRPr="00117045">
              <w:t>Thoracic Society of Australia and New Zealand</w:t>
            </w:r>
          </w:p>
        </w:tc>
      </w:tr>
      <w:tr w:rsidR="008B1C85" w14:paraId="27231A2E" w14:textId="77777777" w:rsidTr="00E243C9">
        <w:tc>
          <w:tcPr>
            <w:tcW w:w="1701" w:type="dxa"/>
          </w:tcPr>
          <w:p w14:paraId="66F303AA" w14:textId="77777777" w:rsidR="008B1C85" w:rsidRPr="00BF260F" w:rsidRDefault="008B1C85" w:rsidP="008B1C85">
            <w:pPr>
              <w:pStyle w:val="BodyText"/>
              <w:spacing w:beforeLines="40" w:before="96" w:afterLines="40" w:after="96" w:line="240" w:lineRule="auto"/>
              <w:rPr>
                <w:b/>
              </w:rPr>
            </w:pPr>
            <w:r>
              <w:rPr>
                <w:b/>
              </w:rPr>
              <w:t>UK</w:t>
            </w:r>
          </w:p>
        </w:tc>
        <w:tc>
          <w:tcPr>
            <w:tcW w:w="7360" w:type="dxa"/>
          </w:tcPr>
          <w:p w14:paraId="13E0838B" w14:textId="77777777" w:rsidR="008B1C85" w:rsidRPr="00BC58BC" w:rsidRDefault="008B1C85" w:rsidP="008B1C85">
            <w:pPr>
              <w:pStyle w:val="BodyText"/>
              <w:spacing w:beforeLines="40" w:before="96" w:afterLines="40" w:after="96" w:line="240" w:lineRule="auto"/>
            </w:pPr>
            <w:r>
              <w:t>United Kingdom</w:t>
            </w:r>
          </w:p>
        </w:tc>
      </w:tr>
      <w:tr w:rsidR="008B1C85" w14:paraId="6A36517C" w14:textId="77777777" w:rsidTr="00E243C9">
        <w:tc>
          <w:tcPr>
            <w:tcW w:w="1701" w:type="dxa"/>
          </w:tcPr>
          <w:p w14:paraId="08B01069" w14:textId="77777777" w:rsidR="008B1C85" w:rsidRDefault="008B1C85" w:rsidP="008B1C85">
            <w:pPr>
              <w:pStyle w:val="BodyText"/>
              <w:spacing w:beforeLines="40" w:before="96" w:afterLines="40" w:after="96" w:line="240" w:lineRule="auto"/>
              <w:rPr>
                <w:b/>
              </w:rPr>
            </w:pPr>
            <w:r>
              <w:rPr>
                <w:b/>
              </w:rPr>
              <w:t>US</w:t>
            </w:r>
          </w:p>
        </w:tc>
        <w:tc>
          <w:tcPr>
            <w:tcW w:w="7360" w:type="dxa"/>
          </w:tcPr>
          <w:p w14:paraId="65723A60" w14:textId="77777777" w:rsidR="008B1C85" w:rsidRDefault="008B1C85" w:rsidP="008B1C85">
            <w:pPr>
              <w:pStyle w:val="BodyText"/>
              <w:spacing w:beforeLines="40" w:before="96" w:afterLines="40" w:after="96" w:line="240" w:lineRule="auto"/>
            </w:pPr>
            <w:r>
              <w:t>United States</w:t>
            </w:r>
          </w:p>
        </w:tc>
      </w:tr>
      <w:tr w:rsidR="008B1C85" w14:paraId="459854AD" w14:textId="77777777" w:rsidTr="00E243C9">
        <w:tc>
          <w:tcPr>
            <w:tcW w:w="1701" w:type="dxa"/>
          </w:tcPr>
          <w:p w14:paraId="40E0EF5E" w14:textId="77777777" w:rsidR="008B1C85" w:rsidRDefault="008B1C85" w:rsidP="008B1C85">
            <w:pPr>
              <w:pStyle w:val="BodyText"/>
              <w:spacing w:beforeLines="40" w:before="96" w:afterLines="40" w:after="96" w:line="240" w:lineRule="auto"/>
              <w:rPr>
                <w:b/>
              </w:rPr>
            </w:pPr>
            <w:r>
              <w:rPr>
                <w:b/>
              </w:rPr>
              <w:lastRenderedPageBreak/>
              <w:t>VA</w:t>
            </w:r>
          </w:p>
        </w:tc>
        <w:tc>
          <w:tcPr>
            <w:tcW w:w="7360" w:type="dxa"/>
          </w:tcPr>
          <w:p w14:paraId="104BC384" w14:textId="77777777" w:rsidR="008B1C85" w:rsidRDefault="008B1C85" w:rsidP="008B1C85">
            <w:pPr>
              <w:pStyle w:val="BodyText"/>
              <w:spacing w:beforeLines="40" w:before="96" w:afterLines="40" w:after="96" w:line="240" w:lineRule="auto"/>
            </w:pPr>
            <w:r>
              <w:t>Department of Veterans Affairs</w:t>
            </w:r>
          </w:p>
        </w:tc>
      </w:tr>
      <w:tr w:rsidR="008B1C85" w14:paraId="2E282DE8" w14:textId="77777777" w:rsidTr="00E243C9">
        <w:tc>
          <w:tcPr>
            <w:tcW w:w="1701" w:type="dxa"/>
          </w:tcPr>
          <w:p w14:paraId="7FF553C0" w14:textId="77777777" w:rsidR="008B1C85" w:rsidRDefault="008B1C85" w:rsidP="008B1C85">
            <w:pPr>
              <w:pStyle w:val="BodyText"/>
              <w:spacing w:beforeLines="40" w:before="96" w:afterLines="40" w:after="96" w:line="240" w:lineRule="auto"/>
              <w:rPr>
                <w:b/>
              </w:rPr>
            </w:pPr>
            <w:r>
              <w:rPr>
                <w:b/>
              </w:rPr>
              <w:t>WHO</w:t>
            </w:r>
          </w:p>
        </w:tc>
        <w:tc>
          <w:tcPr>
            <w:tcW w:w="7360" w:type="dxa"/>
          </w:tcPr>
          <w:p w14:paraId="019AE3F7" w14:textId="77777777" w:rsidR="008B1C85" w:rsidRDefault="008B1C85" w:rsidP="008B1C85">
            <w:pPr>
              <w:pStyle w:val="BodyText"/>
              <w:spacing w:beforeLines="40" w:before="96" w:afterLines="40" w:after="96" w:line="240" w:lineRule="auto"/>
            </w:pPr>
            <w:r>
              <w:t>World Health Organization</w:t>
            </w:r>
          </w:p>
        </w:tc>
      </w:tr>
    </w:tbl>
    <w:p w14:paraId="5675F971" w14:textId="77777777" w:rsidR="00304394" w:rsidRDefault="00304394">
      <w:pPr>
        <w:spacing w:before="0" w:after="0" w:line="240" w:lineRule="auto"/>
        <w:rPr>
          <w:rFonts w:ascii="Cambria" w:eastAsiaTheme="minorHAnsi" w:hAnsi="Cambria" w:cs="Arial"/>
          <w:bCs/>
          <w:color w:val="365F91" w:themeColor="accent1" w:themeShade="BF"/>
          <w:kern w:val="32"/>
          <w:sz w:val="28"/>
          <w:szCs w:val="28"/>
          <w:lang w:val="en-US" w:eastAsia="en-US"/>
        </w:rPr>
      </w:pPr>
      <w:r>
        <w:br w:type="page"/>
      </w:r>
    </w:p>
    <w:p w14:paraId="06EF596E" w14:textId="77777777" w:rsidR="008B1C85" w:rsidRPr="00CB24CB" w:rsidRDefault="00591B04" w:rsidP="008B1C85">
      <w:pPr>
        <w:pStyle w:val="AttHeading1"/>
      </w:pPr>
      <w:r w:rsidRPr="00CB24CB">
        <w:lastRenderedPageBreak/>
        <w:t>Executive Summary</w:t>
      </w:r>
    </w:p>
    <w:p w14:paraId="27468603" w14:textId="77777777" w:rsidR="008B1C85" w:rsidRPr="00112F7E" w:rsidRDefault="008B1C85" w:rsidP="008B1C85">
      <w:pPr>
        <w:pStyle w:val="AttHeading2"/>
      </w:pPr>
      <w:r w:rsidRPr="00112F7E">
        <w:t>Background</w:t>
      </w:r>
    </w:p>
    <w:p w14:paraId="578FEBA4" w14:textId="77777777" w:rsidR="008B1C85" w:rsidRPr="00965DF7" w:rsidRDefault="008B1C85" w:rsidP="00B83773">
      <w:r w:rsidRPr="00965DF7">
        <w:t xml:space="preserve">This Report presents the collection and analysis of evidence to inform the Thoracic Medicine Clinical Committee in their deliberations regarding the existing MBS item for pre- </w:t>
      </w:r>
      <w:r w:rsidRPr="00965DF7">
        <w:rPr>
          <w:i/>
        </w:rPr>
        <w:t>and</w:t>
      </w:r>
      <w:r w:rsidRPr="00965DF7">
        <w:t xml:space="preserve"> post-bronchodilator spirometry (MBS item 11506) and subsequent recommendations to the MBS Review Taskforce. Usage of this item is relatively modest, considering that: (i) chronic obstructive lung diseases, such as asthma and chronic obstructive pulmonary disease (COPD), are highly prevalent in Australia and are largely diagnosed and managed in primary care; and (ii) clinical practice guidelines (CPGs) regard spirometry as an essential tool in the diagnosis and management of patients with chronic airflow obstruction.</w:t>
      </w:r>
    </w:p>
    <w:p w14:paraId="474FE884" w14:textId="77777777" w:rsidR="008B1C85" w:rsidRPr="00965DF7" w:rsidRDefault="008B1C85" w:rsidP="00B83773">
      <w:r w:rsidRPr="00965DF7">
        <w:t xml:space="preserve">As a means to improve the diagnosis and management of asthma and COPD within the primary care setting, the Thoracic Medicine Clinical Committee have proposed that consideration should be given to increasing the rebate for item 11506 and/or adding a new MBS item to allow pre- </w:t>
      </w:r>
      <w:r w:rsidRPr="00965DF7">
        <w:rPr>
          <w:i/>
        </w:rPr>
        <w:t>or</w:t>
      </w:r>
      <w:r w:rsidRPr="00965DF7">
        <w:t xml:space="preserve"> post-bronchodilator testing.</w:t>
      </w:r>
    </w:p>
    <w:p w14:paraId="5F97E60B" w14:textId="77777777" w:rsidR="008B1C85" w:rsidRPr="00112F7E" w:rsidRDefault="008B1C85" w:rsidP="00006172">
      <w:pPr>
        <w:pStyle w:val="AttHeading2"/>
      </w:pPr>
      <w:r w:rsidRPr="00112F7E">
        <w:t>Objectives</w:t>
      </w:r>
    </w:p>
    <w:p w14:paraId="616128E2" w14:textId="77777777" w:rsidR="008B1C85" w:rsidRPr="00965DF7" w:rsidRDefault="008B1C85" w:rsidP="00B83773">
      <w:r w:rsidRPr="00965DF7">
        <w:t>To determine best clinical practice for the use of spirometry (with and without bronchodilator reversibility testing) in the diagnosis and management of patients who present to primary care with respiratory symptoms suggestive of asthma, COPD or other causes of airflow limitation.</w:t>
      </w:r>
    </w:p>
    <w:p w14:paraId="676A4DBA" w14:textId="77777777" w:rsidR="008B1C85" w:rsidRPr="00965DF7" w:rsidRDefault="008B1C85" w:rsidP="00B83773">
      <w:r w:rsidRPr="00965DF7">
        <w:t>To review recent published evidence relating to the cost-effectiveness of spirometry for diagnosis or management of asthma and COPD in primary care.</w:t>
      </w:r>
    </w:p>
    <w:p w14:paraId="7434BA6C" w14:textId="77777777" w:rsidR="008B1C85" w:rsidRPr="00965DF7" w:rsidRDefault="008B1C85" w:rsidP="00B83773">
      <w:r w:rsidRPr="00965DF7">
        <w:t>To review recent published evidence relating to the impact on diagnostic accuracy and health outcomes of providing financial incentives for performing spirometry in primary care.</w:t>
      </w:r>
    </w:p>
    <w:p w14:paraId="25E0C9FB" w14:textId="77777777" w:rsidR="008B1C85" w:rsidRPr="00112F7E" w:rsidRDefault="008B1C85" w:rsidP="00006172">
      <w:pPr>
        <w:pStyle w:val="AttHeading2"/>
      </w:pPr>
      <w:r w:rsidRPr="00112F7E">
        <w:t>Research methods</w:t>
      </w:r>
    </w:p>
    <w:p w14:paraId="3BB168B1" w14:textId="77777777" w:rsidR="008B1C85" w:rsidRPr="00112F7E" w:rsidRDefault="008B1C85" w:rsidP="008B1C85">
      <w:pPr>
        <w:pStyle w:val="AttHeading3"/>
      </w:pPr>
      <w:r w:rsidRPr="00112F7E">
        <w:t>Literature search</w:t>
      </w:r>
    </w:p>
    <w:p w14:paraId="200A2538" w14:textId="77777777" w:rsidR="00E25C60" w:rsidRDefault="008B1C85" w:rsidP="008B1C85">
      <w:r w:rsidRPr="00965DF7">
        <w:t>A literature search for this rapid review was performed on 12</w:t>
      </w:r>
      <w:r w:rsidRPr="00965DF7">
        <w:rPr>
          <w:vertAlign w:val="superscript"/>
        </w:rPr>
        <w:t>th</w:t>
      </w:r>
      <w:r w:rsidRPr="00965DF7">
        <w:t xml:space="preserve"> January 2016, using MEDLINE, Cochrane Database of Systematic Reviews, Database of Abstracts of Reviews of Effect, Health Technology Assessment Database, and NHS Economic Evaluation Database. Abstracts were reviewed by a single reviewer and, for those studies meeting the eligibility criteria, full-text articles were obtained. Reference lists were also examined for any additional studies not identified through the search. A search of CPG databases and the websites of health technology assessments (HTA) agencies and other relevant groups and societies was conducted on 12</w:t>
      </w:r>
      <w:r w:rsidRPr="00965DF7">
        <w:rPr>
          <w:vertAlign w:val="superscript"/>
        </w:rPr>
        <w:t>th</w:t>
      </w:r>
      <w:r w:rsidRPr="00965DF7">
        <w:t xml:space="preserve"> January 2016 to identify relevant evidence-based CPGs.</w:t>
      </w:r>
    </w:p>
    <w:p w14:paraId="4042A3CB" w14:textId="77777777" w:rsidR="008B1C85" w:rsidRPr="00112F7E" w:rsidRDefault="008B1C85" w:rsidP="00006172">
      <w:pPr>
        <w:pStyle w:val="AttHeading3"/>
      </w:pPr>
      <w:r w:rsidRPr="00112F7E">
        <w:t>Inclusion criteria</w:t>
      </w:r>
    </w:p>
    <w:p w14:paraId="57928367" w14:textId="77777777" w:rsidR="008B1C85" w:rsidRDefault="008B1C85" w:rsidP="00EE3CFE">
      <w:pPr>
        <w:pStyle w:val="NormalBulleted"/>
        <w:numPr>
          <w:ilvl w:val="0"/>
          <w:numId w:val="39"/>
        </w:numPr>
      </w:pPr>
      <w:r>
        <w:t>English-language full reports published between 1</w:t>
      </w:r>
      <w:r w:rsidRPr="000F3D82">
        <w:rPr>
          <w:vertAlign w:val="superscript"/>
        </w:rPr>
        <w:t>st</w:t>
      </w:r>
      <w:r>
        <w:t xml:space="preserve"> January 2005 and 12</w:t>
      </w:r>
      <w:r w:rsidRPr="000F3D82">
        <w:rPr>
          <w:vertAlign w:val="superscript"/>
        </w:rPr>
        <w:t>th</w:t>
      </w:r>
      <w:r>
        <w:t xml:space="preserve"> January 2016</w:t>
      </w:r>
    </w:p>
    <w:p w14:paraId="2AC7EC66" w14:textId="77777777" w:rsidR="008B1C85" w:rsidRDefault="008B1C85" w:rsidP="00EE3CFE">
      <w:pPr>
        <w:pStyle w:val="NormalBulleted"/>
        <w:numPr>
          <w:ilvl w:val="0"/>
          <w:numId w:val="39"/>
        </w:numPr>
      </w:pPr>
      <w:r>
        <w:lastRenderedPageBreak/>
        <w:t>systematic reviews, meta-analyses, HTAs and CPGs</w:t>
      </w:r>
    </w:p>
    <w:p w14:paraId="52C4C0B2" w14:textId="77777777" w:rsidR="008B1C85" w:rsidRPr="007053E7" w:rsidRDefault="008B1C85" w:rsidP="00EE3CFE">
      <w:pPr>
        <w:pStyle w:val="NormalBulleted"/>
        <w:numPr>
          <w:ilvl w:val="0"/>
          <w:numId w:val="39"/>
        </w:numPr>
      </w:pPr>
      <w:r w:rsidRPr="007053E7">
        <w:t>patients</w:t>
      </w:r>
      <w:r>
        <w:t xml:space="preserve"> </w:t>
      </w:r>
      <w:r w:rsidRPr="007053E7">
        <w:t xml:space="preserve">with </w:t>
      </w:r>
      <w:r>
        <w:t xml:space="preserve">a diagnosis or </w:t>
      </w:r>
      <w:r w:rsidRPr="007053E7">
        <w:t>symptoms suggestive of</w:t>
      </w:r>
      <w:r>
        <w:t xml:space="preserve"> airflow obstruction/limitation</w:t>
      </w:r>
    </w:p>
    <w:p w14:paraId="61215CFB" w14:textId="77777777" w:rsidR="008B1C85" w:rsidRDefault="008B1C85" w:rsidP="00EE3CFE">
      <w:pPr>
        <w:pStyle w:val="NormalBulleted"/>
        <w:numPr>
          <w:ilvl w:val="0"/>
          <w:numId w:val="39"/>
        </w:numPr>
      </w:pPr>
      <w:r w:rsidRPr="003556B6">
        <w:t>spirometry</w:t>
      </w:r>
      <w:r>
        <w:t xml:space="preserve"> for diagnosis, assessment of acute exacerbations, or long-term monitoring</w:t>
      </w:r>
    </w:p>
    <w:p w14:paraId="57F8EDBC" w14:textId="77777777" w:rsidR="008B1C85" w:rsidRPr="003556B6" w:rsidRDefault="008B1C85" w:rsidP="00EE3CFE">
      <w:pPr>
        <w:pStyle w:val="NormalBulleted"/>
        <w:numPr>
          <w:ilvl w:val="0"/>
          <w:numId w:val="39"/>
        </w:numPr>
      </w:pPr>
      <w:r>
        <w:t>report diagnostic accuracy, patient health outcomes, or cost-effectiveness</w:t>
      </w:r>
    </w:p>
    <w:p w14:paraId="03C53C5D" w14:textId="77777777" w:rsidR="008B1C85" w:rsidRPr="00112F7E" w:rsidRDefault="008B1C85" w:rsidP="00006172">
      <w:pPr>
        <w:pStyle w:val="AttHeading3"/>
      </w:pPr>
      <w:r w:rsidRPr="00112F7E">
        <w:t>Exclusion</w:t>
      </w:r>
    </w:p>
    <w:p w14:paraId="40A960F3" w14:textId="77777777" w:rsidR="008B1C85" w:rsidRDefault="008B1C85" w:rsidP="00EE3CFE">
      <w:pPr>
        <w:pStyle w:val="NormalBulleted"/>
        <w:numPr>
          <w:ilvl w:val="0"/>
          <w:numId w:val="39"/>
        </w:numPr>
      </w:pPr>
      <w:r>
        <w:t>original (primary) studies, editorials, narrative reviews</w:t>
      </w:r>
    </w:p>
    <w:p w14:paraId="3CF927B7" w14:textId="77777777" w:rsidR="008B1C85" w:rsidRPr="00112F7E" w:rsidRDefault="008B1C85" w:rsidP="00006172">
      <w:pPr>
        <w:pStyle w:val="AttHeading2"/>
      </w:pPr>
      <w:r w:rsidRPr="00112F7E">
        <w:t>Results of the literature search</w:t>
      </w:r>
    </w:p>
    <w:p w14:paraId="3D755E5D" w14:textId="77777777" w:rsidR="008B1C85" w:rsidRPr="00965DF7" w:rsidRDefault="008B1C85" w:rsidP="00B83773">
      <w:r w:rsidRPr="00965DF7">
        <w:t xml:space="preserve">No recent, standalone systematic reviews, meta-analyses or HTAs were identified that </w:t>
      </w:r>
      <w:r w:rsidRPr="00965DF7">
        <w:rPr>
          <w:i/>
        </w:rPr>
        <w:t>fully</w:t>
      </w:r>
      <w:r w:rsidRPr="00965DF7">
        <w:t xml:space="preserve"> addressed the research questions for this review.</w:t>
      </w:r>
    </w:p>
    <w:p w14:paraId="5AB1E92E" w14:textId="77777777" w:rsidR="008B1C85" w:rsidRPr="00965DF7" w:rsidRDefault="008B1C85" w:rsidP="00B83773">
      <w:r w:rsidRPr="00965DF7">
        <w:t>The literature search identified 24 relevant CPGs, of which 11 were selected for inclusion because they were published from 2010 onwards by peak bodies in Australia and overseas. For each included CPG, relevant recommendations, evidence statements and consensus statements were extracted and tabulated. In several CPGs, the guidance relevant to this MBS Review was not developed into formal recommendations; in these cases there was not necessarily a clear link to the underlying evidence base. Several CPGs provided consensus-based recommendations, due to limited or no evidence.</w:t>
      </w:r>
    </w:p>
    <w:p w14:paraId="764B69EA" w14:textId="77777777" w:rsidR="008B1C85" w:rsidRPr="002137E6" w:rsidRDefault="008B1C85" w:rsidP="00006172">
      <w:pPr>
        <w:pStyle w:val="Boxedheadingtext"/>
      </w:pPr>
      <w:r w:rsidRPr="002137E6">
        <w:t xml:space="preserve">Q1) Does the use of spirometry improve diagnostic accuracy and health outcomes in people </w:t>
      </w:r>
      <w:r w:rsidRPr="00006172">
        <w:t>presenting</w:t>
      </w:r>
      <w:r w:rsidRPr="002137E6">
        <w:t xml:space="preserve"> with respiratory symptoms?</w:t>
      </w:r>
    </w:p>
    <w:p w14:paraId="462B3EE7" w14:textId="77777777" w:rsidR="008B1C85" w:rsidRPr="003346EF" w:rsidRDefault="008B1C85" w:rsidP="008B1C85">
      <w:pPr>
        <w:pStyle w:val="BodyTextFirstafterheading"/>
        <w:spacing w:after="240"/>
        <w:rPr>
          <w:i/>
        </w:rPr>
      </w:pPr>
      <w:r w:rsidRPr="003C728B">
        <w:rPr>
          <w:i/>
        </w:rPr>
        <w:t xml:space="preserve">See </w:t>
      </w:r>
      <w:r w:rsidR="00926B56">
        <w:rPr>
          <w:i/>
        </w:rPr>
        <w:t xml:space="preserve">Table </w:t>
      </w:r>
      <w:r w:rsidR="003C728B" w:rsidRPr="003C728B">
        <w:rPr>
          <w:i/>
        </w:rPr>
        <w:t xml:space="preserve">28 </w:t>
      </w:r>
      <w:r w:rsidRPr="003C728B">
        <w:rPr>
          <w:i/>
        </w:rPr>
        <w:t>of the report for a summary of the type of spirometry recommended in CPGs.</w:t>
      </w:r>
    </w:p>
    <w:p w14:paraId="0418F85E" w14:textId="77777777" w:rsidR="008B1C85" w:rsidRPr="00CB24CB" w:rsidRDefault="008B1C85" w:rsidP="00EE3CFE">
      <w:pPr>
        <w:pStyle w:val="NormalBulleted"/>
        <w:numPr>
          <w:ilvl w:val="0"/>
          <w:numId w:val="40"/>
        </w:numPr>
      </w:pPr>
      <w:r w:rsidRPr="00CB24CB">
        <w:t>Very low to moderate quality evidence suggests that high-quality spirometry may reduce rates of under-diagnosis and misdiagnosis of asthma, COPD and other causes of airflow limitation.</w:t>
      </w:r>
    </w:p>
    <w:p w14:paraId="4CFCD676" w14:textId="77777777" w:rsidR="008B1C85" w:rsidRPr="00CB24CB" w:rsidRDefault="008B1C85" w:rsidP="00EE3CFE">
      <w:pPr>
        <w:pStyle w:val="NormalBulleted"/>
        <w:numPr>
          <w:ilvl w:val="0"/>
          <w:numId w:val="40"/>
        </w:numPr>
      </w:pPr>
      <w:r w:rsidRPr="00CB24CB">
        <w:t xml:space="preserve">According to international CPGs, </w:t>
      </w:r>
      <w:r w:rsidRPr="00CB24CB">
        <w:rPr>
          <w:b/>
        </w:rPr>
        <w:t>pre-bronchodilator spirometry</w:t>
      </w:r>
      <w:r w:rsidRPr="00CB24CB">
        <w:t xml:space="preserve">, </w:t>
      </w:r>
      <w:r w:rsidRPr="00CB24CB">
        <w:rPr>
          <w:b/>
        </w:rPr>
        <w:t>post-bronchodilator spirometry</w:t>
      </w:r>
      <w:r w:rsidRPr="00CB24CB">
        <w:t>, and reversibility testing (</w:t>
      </w:r>
      <w:r w:rsidRPr="00CB24CB">
        <w:rPr>
          <w:b/>
        </w:rPr>
        <w:t xml:space="preserve">pre- </w:t>
      </w:r>
      <w:r w:rsidRPr="00CB24CB">
        <w:rPr>
          <w:b/>
          <w:i/>
        </w:rPr>
        <w:t>and</w:t>
      </w:r>
      <w:r w:rsidRPr="00CB24CB">
        <w:rPr>
          <w:b/>
        </w:rPr>
        <w:t xml:space="preserve"> post-bronchodilator spirometry</w:t>
      </w:r>
      <w:r w:rsidRPr="00CB24CB">
        <w:t>) all have a role in the diagnosis of patients presenting with respiratory symptoms suggestive of asthma, COPD or other causes of airflow limitation.</w:t>
      </w:r>
    </w:p>
    <w:p w14:paraId="1ABC3C12" w14:textId="77777777" w:rsidR="008B1C85" w:rsidRPr="00CB24CB" w:rsidRDefault="008B1C85" w:rsidP="00EE3CFE">
      <w:pPr>
        <w:pStyle w:val="NormalBulleted"/>
        <w:numPr>
          <w:ilvl w:val="0"/>
          <w:numId w:val="40"/>
        </w:numPr>
      </w:pPr>
      <w:r w:rsidRPr="00CB24CB">
        <w:t xml:space="preserve">On the basis of low quality evidence or consensus, the use of </w:t>
      </w:r>
      <w:r w:rsidRPr="00CB24CB">
        <w:rPr>
          <w:b/>
        </w:rPr>
        <w:t>bronchodilator reversibility testing</w:t>
      </w:r>
      <w:r w:rsidRPr="00CB24CB">
        <w:t xml:space="preserve"> is recommended by international CPGs for the diagnosis of asthma in adults and children (&gt;5 years of age) with evidence of airflow limitation according to </w:t>
      </w:r>
      <w:r w:rsidRPr="00CB24CB">
        <w:rPr>
          <w:b/>
        </w:rPr>
        <w:t>pre-bronchodilator spirometry</w:t>
      </w:r>
      <w:r w:rsidRPr="00CB24CB">
        <w:t>.</w:t>
      </w:r>
    </w:p>
    <w:p w14:paraId="425931CA" w14:textId="77777777" w:rsidR="008B1C85" w:rsidRPr="00CB24CB" w:rsidRDefault="008B1C85" w:rsidP="00EE3CFE">
      <w:pPr>
        <w:pStyle w:val="NormalBulleted"/>
        <w:numPr>
          <w:ilvl w:val="0"/>
          <w:numId w:val="40"/>
        </w:numPr>
      </w:pPr>
      <w:r w:rsidRPr="00CB24CB">
        <w:t xml:space="preserve">On the basis of low level evidence or consensus, the use of </w:t>
      </w:r>
      <w:r w:rsidRPr="00CB24CB">
        <w:rPr>
          <w:b/>
        </w:rPr>
        <w:t>post-bronchodilator spirometry</w:t>
      </w:r>
      <w:r w:rsidRPr="00CB24CB">
        <w:t xml:space="preserve"> is recommended by international CPGs for the diagnosis of COPD; however, </w:t>
      </w:r>
      <w:r w:rsidRPr="00CB24CB">
        <w:rPr>
          <w:b/>
        </w:rPr>
        <w:t>bronchodilator reversibility testing</w:t>
      </w:r>
      <w:r w:rsidRPr="00CB24CB">
        <w:t xml:space="preserve"> may have a place where diagnostic doubt remains, or both COPD and asthma are suspected, particularly in elderly patients.</w:t>
      </w:r>
    </w:p>
    <w:p w14:paraId="72D7F583" w14:textId="77777777" w:rsidR="008B1C85" w:rsidRPr="00CB24CB" w:rsidRDefault="008B1C85" w:rsidP="00EE3CFE">
      <w:pPr>
        <w:pStyle w:val="NormalBulleted"/>
        <w:numPr>
          <w:ilvl w:val="0"/>
          <w:numId w:val="40"/>
        </w:numPr>
      </w:pPr>
      <w:r w:rsidRPr="00CB24CB">
        <w:t xml:space="preserve">Australian CPGs are less clear about a role for </w:t>
      </w:r>
      <w:r w:rsidRPr="00CB24CB">
        <w:rPr>
          <w:b/>
        </w:rPr>
        <w:t xml:space="preserve">pre- </w:t>
      </w:r>
      <w:r w:rsidRPr="00CB24CB">
        <w:rPr>
          <w:b/>
          <w:i/>
        </w:rPr>
        <w:t>or</w:t>
      </w:r>
      <w:r w:rsidRPr="00CB24CB">
        <w:rPr>
          <w:b/>
        </w:rPr>
        <w:t xml:space="preserve"> post-bronchodilator spirometry</w:t>
      </w:r>
      <w:r w:rsidRPr="00CB24CB">
        <w:t xml:space="preserve"> in the diagnosis of asthma and COPD. It could be interpreted from Australian guidance that </w:t>
      </w:r>
      <w:r w:rsidRPr="00CB24CB">
        <w:rPr>
          <w:b/>
        </w:rPr>
        <w:t xml:space="preserve">pre- </w:t>
      </w:r>
      <w:r w:rsidRPr="00CB24CB">
        <w:rPr>
          <w:b/>
          <w:i/>
        </w:rPr>
        <w:lastRenderedPageBreak/>
        <w:t xml:space="preserve">and </w:t>
      </w:r>
      <w:r w:rsidRPr="00CB24CB">
        <w:rPr>
          <w:b/>
        </w:rPr>
        <w:t>post-bronchodilator spirometry</w:t>
      </w:r>
      <w:r w:rsidRPr="00CB24CB">
        <w:t xml:space="preserve"> should always be undertaken for the diagnosis of asthma and COPD; this guidance does not appear to be evidence-based.</w:t>
      </w:r>
    </w:p>
    <w:p w14:paraId="61F28857" w14:textId="77777777" w:rsidR="008B1C85" w:rsidRPr="002137E6" w:rsidRDefault="008B1C85" w:rsidP="00006172">
      <w:pPr>
        <w:pStyle w:val="Boxedheadingtext"/>
      </w:pPr>
      <w:r w:rsidRPr="002137E6">
        <w:t xml:space="preserve">Q2a) In patients </w:t>
      </w:r>
      <w:r w:rsidRPr="00006172">
        <w:t>diagnosed</w:t>
      </w:r>
      <w:r w:rsidRPr="002137E6">
        <w:t xml:space="preserve"> with asthma or COPD, what is the clinical utility of spirometry for assessing acute exacerbations?</w:t>
      </w:r>
    </w:p>
    <w:p w14:paraId="30656539" w14:textId="77777777" w:rsidR="008B1C85" w:rsidRPr="003346EF" w:rsidRDefault="008B1C85" w:rsidP="008B1C85">
      <w:pPr>
        <w:pStyle w:val="BodyTextFirstafterheading"/>
        <w:spacing w:after="240"/>
        <w:rPr>
          <w:i/>
        </w:rPr>
      </w:pPr>
      <w:r w:rsidRPr="003C728B">
        <w:rPr>
          <w:i/>
        </w:rPr>
        <w:t xml:space="preserve">See </w:t>
      </w:r>
      <w:r w:rsidR="007D1351" w:rsidRPr="003C728B">
        <w:rPr>
          <w:i/>
        </w:rPr>
        <w:t xml:space="preserve">Table </w:t>
      </w:r>
      <w:r w:rsidR="003C728B" w:rsidRPr="003C728B">
        <w:rPr>
          <w:i/>
        </w:rPr>
        <w:t xml:space="preserve">28 </w:t>
      </w:r>
      <w:r w:rsidRPr="003C728B">
        <w:rPr>
          <w:i/>
        </w:rPr>
        <w:t>of the report for a summary of the type of spirometry recommended in CPGs.</w:t>
      </w:r>
    </w:p>
    <w:p w14:paraId="3CE8F999" w14:textId="77777777" w:rsidR="008B1C85" w:rsidRPr="00CB24CB" w:rsidRDefault="008B1C85" w:rsidP="00EE3CFE">
      <w:pPr>
        <w:pStyle w:val="NormalBulleted"/>
        <w:numPr>
          <w:ilvl w:val="0"/>
          <w:numId w:val="41"/>
        </w:numPr>
      </w:pPr>
      <w:r w:rsidRPr="00CB24CB">
        <w:t>Due to a lack of evidence, there are no CPG recommendations relating to the use of spirometry for the assessment of acute exacerbations.</w:t>
      </w:r>
    </w:p>
    <w:p w14:paraId="50BC3DC5" w14:textId="77777777" w:rsidR="008B1C85" w:rsidRPr="00CB24CB" w:rsidRDefault="008B1C85" w:rsidP="00EE3CFE">
      <w:pPr>
        <w:pStyle w:val="NormalBulleted"/>
        <w:numPr>
          <w:ilvl w:val="0"/>
          <w:numId w:val="41"/>
        </w:numPr>
      </w:pPr>
      <w:r w:rsidRPr="00CB24CB">
        <w:t>While some asthma and COPD CPGs advised that spirometry is of little value in the management of acute exacerbations, others suggested that it may be useful for categorising severity and assessing patients during recovery.</w:t>
      </w:r>
    </w:p>
    <w:p w14:paraId="609A8A94" w14:textId="77777777" w:rsidR="008B1C85" w:rsidRPr="002137E6" w:rsidRDefault="008B1C85" w:rsidP="00006172">
      <w:pPr>
        <w:pStyle w:val="Boxedheadingtext"/>
      </w:pPr>
      <w:r w:rsidRPr="002137E6">
        <w:t xml:space="preserve">Q2b) </w:t>
      </w:r>
      <w:r w:rsidRPr="00006172">
        <w:t>In</w:t>
      </w:r>
      <w:r w:rsidRPr="002137E6">
        <w:t xml:space="preserve"> patients diagnosed with asthma or COPD, what is the clinical utility of spirometry for long-term monitoring?</w:t>
      </w:r>
    </w:p>
    <w:p w14:paraId="23C32BB4" w14:textId="77777777" w:rsidR="008B1C85" w:rsidRPr="003346EF" w:rsidRDefault="008B1C85" w:rsidP="008B1C85">
      <w:pPr>
        <w:pStyle w:val="BodyTextFirstafterheading"/>
        <w:rPr>
          <w:i/>
        </w:rPr>
      </w:pPr>
      <w:r w:rsidRPr="003C728B">
        <w:rPr>
          <w:i/>
        </w:rPr>
        <w:t xml:space="preserve">See </w:t>
      </w:r>
      <w:r w:rsidR="009D42A3">
        <w:rPr>
          <w:i/>
        </w:rPr>
        <w:t xml:space="preserve">Table 39 </w:t>
      </w:r>
      <w:r w:rsidRPr="003C728B">
        <w:rPr>
          <w:i/>
        </w:rPr>
        <w:t>of the report for a summary of the type of spirometry recommended in CPGs.</w:t>
      </w:r>
    </w:p>
    <w:p w14:paraId="11706D5D" w14:textId="77777777" w:rsidR="008B1C85" w:rsidRPr="00CB24CB" w:rsidRDefault="008B1C85" w:rsidP="00EE3CFE">
      <w:pPr>
        <w:pStyle w:val="NormalBulleted"/>
        <w:numPr>
          <w:ilvl w:val="0"/>
          <w:numId w:val="41"/>
        </w:numPr>
      </w:pPr>
      <w:r w:rsidRPr="00CB24CB">
        <w:t>Several asthma guidelines note that there is evidence to suggest that low forced expiratory volume (FEV1) is a strong independent predictor of risk of exacerbations and therefore support the use of lung function testing as part of long-term monitoring.</w:t>
      </w:r>
    </w:p>
    <w:p w14:paraId="21203B84" w14:textId="77777777" w:rsidR="008B1C85" w:rsidRPr="00CB24CB" w:rsidRDefault="008B1C85" w:rsidP="00EE3CFE">
      <w:pPr>
        <w:pStyle w:val="NormalBulleted"/>
        <w:numPr>
          <w:ilvl w:val="0"/>
          <w:numId w:val="41"/>
        </w:numPr>
      </w:pPr>
      <w:r w:rsidRPr="00CB24CB">
        <w:t>For COPD, the general consensus from Australian and international CPGs is that FEV1 is a poor predictor of disease status and prognosis, but that spirometry may still have a role alongside other tests in long-term monitoring because worsening airflow limitation is associated with an increasing frequency of exacerbations and adverse events.</w:t>
      </w:r>
    </w:p>
    <w:p w14:paraId="6C97E94D" w14:textId="77777777" w:rsidR="008B1C85" w:rsidRPr="00CB24CB" w:rsidRDefault="008B1C85" w:rsidP="00EE3CFE">
      <w:pPr>
        <w:pStyle w:val="NormalBulleted"/>
        <w:numPr>
          <w:ilvl w:val="0"/>
          <w:numId w:val="41"/>
        </w:numPr>
      </w:pPr>
      <w:r w:rsidRPr="00CB24CB">
        <w:t>The only CPG that mentions bronchodilator reversibility testing at follow-up is the National Asthma Council Australia handbook (2015), which notes that MBS reimbursement is only available if pre- and post-bronchodilator readings are taken and a permanently recorded tracing is retained.</w:t>
      </w:r>
    </w:p>
    <w:p w14:paraId="1ADE3193" w14:textId="77777777" w:rsidR="008B1C85" w:rsidRPr="002137E6" w:rsidRDefault="008B1C85" w:rsidP="00006172">
      <w:pPr>
        <w:pStyle w:val="Boxedheadingtext"/>
      </w:pPr>
      <w:r w:rsidRPr="002137E6">
        <w:t xml:space="preserve">Q3) What </w:t>
      </w:r>
      <w:r w:rsidRPr="00006172">
        <w:t>is</w:t>
      </w:r>
      <w:r w:rsidRPr="002137E6">
        <w:t xml:space="preserve"> the published evidence for the cost-effectiveness of spirometry for the diagnosis of people presenting with respiratory symptoms?</w:t>
      </w:r>
    </w:p>
    <w:p w14:paraId="59209EF4" w14:textId="77777777" w:rsidR="008B1C85" w:rsidRPr="00CB24CB" w:rsidRDefault="008B1C85" w:rsidP="00EE3CFE">
      <w:pPr>
        <w:pStyle w:val="NormalBulleted"/>
        <w:numPr>
          <w:ilvl w:val="0"/>
          <w:numId w:val="41"/>
        </w:numPr>
      </w:pPr>
      <w:r w:rsidRPr="00CB24CB">
        <w:t>A recent economic evaluation commissioned by the National Institute for Health and Care Excellence (NICE, 2016) found that the cost-effectiveness of diagnostic strategies using spirometry and bronchodilator reversibility testing was contingent on further diagnostic tests being performed downstream.</w:t>
      </w:r>
    </w:p>
    <w:p w14:paraId="537EEC94" w14:textId="77777777" w:rsidR="008B1C85" w:rsidRPr="00CB24CB" w:rsidRDefault="008B1C85" w:rsidP="00EE3CFE">
      <w:pPr>
        <w:pStyle w:val="NormalBulleted"/>
        <w:numPr>
          <w:ilvl w:val="0"/>
          <w:numId w:val="41"/>
        </w:numPr>
      </w:pPr>
      <w:r w:rsidRPr="00CB24CB">
        <w:t>No evidence was identified that assessed the cost-effectiveness of spirometry for the diagnosis of COPD.</w:t>
      </w:r>
    </w:p>
    <w:p w14:paraId="4746BFDC" w14:textId="77777777" w:rsidR="008B1C85" w:rsidRPr="002137E6" w:rsidRDefault="008B1C85" w:rsidP="00006172">
      <w:pPr>
        <w:pStyle w:val="Boxedheadingtext"/>
      </w:pPr>
      <w:r w:rsidRPr="002137E6">
        <w:t xml:space="preserve">Q4) What is the evidence that an increase in spirometry service fees (a) increases the number of accurate diagnoses of asthma or COPD in people presenting with respiratory </w:t>
      </w:r>
      <w:r w:rsidRPr="00006172">
        <w:t>symptoms</w:t>
      </w:r>
      <w:r w:rsidRPr="002137E6">
        <w:t>, and (b) improves health outcomes?</w:t>
      </w:r>
    </w:p>
    <w:p w14:paraId="003B2973" w14:textId="77777777" w:rsidR="008B1C85" w:rsidRPr="002137E6" w:rsidRDefault="008B1C85" w:rsidP="00006172">
      <w:pPr>
        <w:pStyle w:val="Boxedheadingtext"/>
      </w:pPr>
      <w:r w:rsidRPr="002137E6">
        <w:t xml:space="preserve">Q5) What is the </w:t>
      </w:r>
      <w:r w:rsidRPr="00006172">
        <w:t>evidence</w:t>
      </w:r>
      <w:r w:rsidRPr="002137E6">
        <w:t xml:space="preserve"> that financial incentives for performing spirometry over and above a fee for service (a) increases the number of accurate diagnoses of asthma or </w:t>
      </w:r>
      <w:r w:rsidRPr="002137E6">
        <w:lastRenderedPageBreak/>
        <w:t>COPD in people presenting with respiratory symptoms, and (b) improves health outcomes?</w:t>
      </w:r>
    </w:p>
    <w:p w14:paraId="78B1E209" w14:textId="77777777" w:rsidR="008B1C85" w:rsidRPr="002137E6" w:rsidRDefault="008B1C85" w:rsidP="00006172">
      <w:pPr>
        <w:pStyle w:val="Boxedheadingtext"/>
      </w:pPr>
      <w:r w:rsidRPr="002137E6">
        <w:t xml:space="preserve">Q6) What is the </w:t>
      </w:r>
      <w:r w:rsidRPr="00006172">
        <w:t>evidence</w:t>
      </w:r>
      <w:r w:rsidRPr="002137E6">
        <w:t xml:space="preserve"> that introduction of an outcome based payment model that links provider payment to accurate diagnosis of asthma or COPD (a) increases the number of accurate diagnoses of asthma or COPD in people presenting with respiratory symptoms, and (b) improves health outcomes?</w:t>
      </w:r>
    </w:p>
    <w:p w14:paraId="5B397B7D" w14:textId="77777777" w:rsidR="008B1C85" w:rsidRPr="00CB24CB" w:rsidRDefault="008B1C85" w:rsidP="00EE3CFE">
      <w:pPr>
        <w:pStyle w:val="NormalBulleted"/>
        <w:numPr>
          <w:ilvl w:val="0"/>
          <w:numId w:val="42"/>
        </w:numPr>
      </w:pPr>
      <w:r w:rsidRPr="00CB24CB">
        <w:t>There is evidence from the United Kingdom to suggest that a financial incentive to undertake spirometry (over and above a fee for service) increases the quantity, but not necessarily the quality, of spirometry in primary care.</w:t>
      </w:r>
    </w:p>
    <w:p w14:paraId="47435B2D" w14:textId="77777777" w:rsidR="008B1C85" w:rsidRPr="00CB24CB" w:rsidRDefault="008B1C85" w:rsidP="00EE3CFE">
      <w:pPr>
        <w:pStyle w:val="NormalBulleted"/>
        <w:numPr>
          <w:ilvl w:val="0"/>
          <w:numId w:val="42"/>
        </w:numPr>
      </w:pPr>
      <w:r w:rsidRPr="00CB24CB">
        <w:t>No evidence was identified that addresses the impact of financial incentives for the use of spirometry in primary care, on diagnostic accuracy or patient health outcomes.</w:t>
      </w:r>
    </w:p>
    <w:p w14:paraId="7E0DB558" w14:textId="77777777" w:rsidR="008B1C85" w:rsidRPr="00AF3111" w:rsidRDefault="008B1C85" w:rsidP="008B1C85">
      <w:pPr>
        <w:pStyle w:val="AttHeading2"/>
      </w:pPr>
      <w:r w:rsidRPr="00AF3111">
        <w:t>Conclusions</w:t>
      </w:r>
    </w:p>
    <w:p w14:paraId="6EF2F5AA" w14:textId="77777777" w:rsidR="008B1C85" w:rsidRDefault="008B1C85" w:rsidP="00EE3CFE">
      <w:pPr>
        <w:pStyle w:val="NormalBulleted"/>
        <w:numPr>
          <w:ilvl w:val="0"/>
          <w:numId w:val="42"/>
        </w:numPr>
      </w:pPr>
      <w:r w:rsidRPr="000F3D82">
        <w:rPr>
          <w:b/>
        </w:rPr>
        <w:t>Pre-bronchodilator spirometry</w:t>
      </w:r>
      <w:r>
        <w:t xml:space="preserve"> is not reimbursed through the MBS but is recommended in international CPGs as a first line objective test to confirm airflow obstruction in adults and children (&gt;5 years) who present with </w:t>
      </w:r>
      <w:r w:rsidRPr="00941482">
        <w:t>respirator</w:t>
      </w:r>
      <w:r>
        <w:t xml:space="preserve">y symptoms suggestive of asthma; </w:t>
      </w:r>
      <w:r w:rsidRPr="000F3D82">
        <w:rPr>
          <w:b/>
        </w:rPr>
        <w:t>bronchodilator reversibility testing</w:t>
      </w:r>
      <w:r>
        <w:t xml:space="preserve"> should only follow if airflow limitation is detected.</w:t>
      </w:r>
    </w:p>
    <w:p w14:paraId="79C76EF8" w14:textId="77777777" w:rsidR="008B1C85" w:rsidRDefault="008B1C85" w:rsidP="00EE3CFE">
      <w:pPr>
        <w:pStyle w:val="NormalBulleted"/>
        <w:numPr>
          <w:ilvl w:val="0"/>
          <w:numId w:val="42"/>
        </w:numPr>
      </w:pPr>
      <w:r w:rsidRPr="000F3D82">
        <w:rPr>
          <w:b/>
        </w:rPr>
        <w:t>Post-bronchodilator spirometry</w:t>
      </w:r>
      <w:r>
        <w:t xml:space="preserve"> is not reimbursed through the MBS but is recommended in international CPGs for the diagnosis of COPD, in cases where asthma or asthma</w:t>
      </w:r>
      <w:r w:rsidRPr="00A5727D">
        <w:t xml:space="preserve">-COPD </w:t>
      </w:r>
      <w:r>
        <w:t>o</w:t>
      </w:r>
      <w:r w:rsidRPr="00A5727D">
        <w:t xml:space="preserve">verlap </w:t>
      </w:r>
      <w:r>
        <w:t>s</w:t>
      </w:r>
      <w:r w:rsidRPr="00A5727D">
        <w:t xml:space="preserve">yndrome </w:t>
      </w:r>
      <w:r>
        <w:t>(ACOS) are not suspected.</w:t>
      </w:r>
    </w:p>
    <w:p w14:paraId="72F915CE" w14:textId="77777777" w:rsidR="008B1C85" w:rsidRDefault="008B1C85" w:rsidP="00EE3CFE">
      <w:pPr>
        <w:pStyle w:val="NormalBulleted"/>
        <w:numPr>
          <w:ilvl w:val="0"/>
          <w:numId w:val="42"/>
        </w:numPr>
      </w:pPr>
      <w:r>
        <w:t xml:space="preserve">Despite a lack of clear evidence of benefit, international CPGs generally support the use of spirometry (pre- </w:t>
      </w:r>
      <w:r w:rsidRPr="000F3D82">
        <w:rPr>
          <w:i/>
        </w:rPr>
        <w:t>or</w:t>
      </w:r>
      <w:r>
        <w:t xml:space="preserve"> post-bronchodilator) for long-term monitoring of asthma or COPD; a role for spirometry in the assessment of acute exacerbations is less clear.</w:t>
      </w:r>
    </w:p>
    <w:p w14:paraId="58C66776" w14:textId="77777777" w:rsidR="008B1C85" w:rsidRDefault="008B1C85" w:rsidP="00EE3CFE">
      <w:pPr>
        <w:pStyle w:val="NormalBulleted"/>
        <w:numPr>
          <w:ilvl w:val="0"/>
          <w:numId w:val="42"/>
        </w:numPr>
      </w:pPr>
      <w:r>
        <w:t xml:space="preserve">Australian CPGs tend to support the use of </w:t>
      </w:r>
      <w:r w:rsidRPr="000F3D82">
        <w:rPr>
          <w:b/>
        </w:rPr>
        <w:t xml:space="preserve">pre- </w:t>
      </w:r>
      <w:r w:rsidRPr="000F3D82">
        <w:rPr>
          <w:b/>
          <w:i/>
        </w:rPr>
        <w:t>and</w:t>
      </w:r>
      <w:r w:rsidRPr="000F3D82">
        <w:rPr>
          <w:b/>
        </w:rPr>
        <w:t xml:space="preserve"> post-bronchodilator spirometry</w:t>
      </w:r>
      <w:r>
        <w:t>, which is currently reimbursed on the MBS, to a greater extent than international CPGs.</w:t>
      </w:r>
    </w:p>
    <w:p w14:paraId="4E7BFBCC" w14:textId="77777777" w:rsidR="008B1C85" w:rsidRPr="00FF74D9" w:rsidRDefault="008B1C85" w:rsidP="00EE3CFE">
      <w:pPr>
        <w:pStyle w:val="NormalBulleted"/>
        <w:numPr>
          <w:ilvl w:val="0"/>
          <w:numId w:val="42"/>
        </w:numPr>
      </w:pPr>
      <w:r>
        <w:t>Financial incentives may increase the use of spirometry in primary care, but the extent to which it improves diagnosis and health outcomes is unknown.</w:t>
      </w:r>
    </w:p>
    <w:p w14:paraId="0577AA76" w14:textId="77777777" w:rsidR="008B1C85" w:rsidRDefault="008B1C85" w:rsidP="008B1C85">
      <w:pPr>
        <w:sectPr w:rsidR="008B1C85" w:rsidSect="00E25C60">
          <w:pgSz w:w="11906" w:h="16838" w:code="9"/>
          <w:pgMar w:top="1134" w:right="1134" w:bottom="1701" w:left="1701" w:header="567" w:footer="567" w:gutter="0"/>
          <w:cols w:space="708"/>
          <w:docGrid w:linePitch="360"/>
        </w:sectPr>
      </w:pPr>
    </w:p>
    <w:p w14:paraId="5AD3332D" w14:textId="77777777" w:rsidR="008B1C85" w:rsidRDefault="00142B3D" w:rsidP="008B1C85">
      <w:pPr>
        <w:pStyle w:val="AttHeading1"/>
      </w:pPr>
      <w:bookmarkStart w:id="347" w:name="_Toc456613604"/>
      <w:r>
        <w:lastRenderedPageBreak/>
        <w:t xml:space="preserve">1 </w:t>
      </w:r>
      <w:r w:rsidR="00591B04">
        <w:t>Background</w:t>
      </w:r>
      <w:bookmarkEnd w:id="347"/>
    </w:p>
    <w:p w14:paraId="735F3C08" w14:textId="77777777" w:rsidR="008B1C85" w:rsidRPr="00965DF7" w:rsidRDefault="008B1C85" w:rsidP="008B1C85">
      <w:r w:rsidRPr="00965DF7">
        <w:t>On 22 April 2015, the Australian Minister for Health, the Hon Sussan Ley MP, announced the formation of the Medicare Benefits Schedule (MBS) Review Taskforce (the Taskforce) as part of the Government’s Healthier Medicare initiative. An evidence-based MBS underpins best clinical practice and facilitates better health outcomes for patients. The clinician-led Taskforce will lead an accelerated programme of MBS reviews to align MBS funded services with contemporary clinical evidence.</w:t>
      </w:r>
    </w:p>
    <w:p w14:paraId="278EF452" w14:textId="77777777" w:rsidR="008B1C85" w:rsidRPr="00965DF7" w:rsidRDefault="008B1C85" w:rsidP="008B1C85">
      <w:r w:rsidRPr="00965DF7">
        <w:t xml:space="preserve">This Report presents the collection and analysis of evidence to inform the Thoracic Medicine Clinical Committee (the Committee) in their deliberations regarding the existing MBS item for pre- </w:t>
      </w:r>
      <w:r w:rsidRPr="00965DF7">
        <w:rPr>
          <w:i/>
        </w:rPr>
        <w:t xml:space="preserve">and </w:t>
      </w:r>
      <w:r w:rsidRPr="00965DF7">
        <w:t xml:space="preserve">post-bronchodilator spirometry (MBS item 11506). The Committee have proposed that consideration should be given to increasing the rebate for item 11506 and/or adding a new MBS item to allow pre- </w:t>
      </w:r>
      <w:r w:rsidRPr="00965DF7">
        <w:rPr>
          <w:i/>
        </w:rPr>
        <w:t>or</w:t>
      </w:r>
      <w:r w:rsidRPr="00965DF7">
        <w:t xml:space="preserve"> post-bronchodilator testing, as a means to improve diagnosis, assessment and management of asthma, chronic obstructive pulmonary disease (COPD) and other causes of airflow limitation in primary care.</w:t>
      </w:r>
    </w:p>
    <w:p w14:paraId="323FB98B" w14:textId="77777777" w:rsidR="008B1C85" w:rsidRDefault="00142B3D" w:rsidP="00142B3D">
      <w:pPr>
        <w:pStyle w:val="AttHeading2"/>
      </w:pPr>
      <w:bookmarkStart w:id="348" w:name="_Toc456613605"/>
      <w:r>
        <w:t xml:space="preserve">1.1 </w:t>
      </w:r>
      <w:r w:rsidR="008B1C85" w:rsidRPr="00E55F34">
        <w:t>Objective</w:t>
      </w:r>
      <w:r w:rsidR="008B1C85">
        <w:t xml:space="preserve"> of this Rapid Review</w:t>
      </w:r>
      <w:bookmarkEnd w:id="348"/>
    </w:p>
    <w:p w14:paraId="51BDD579" w14:textId="77777777" w:rsidR="008B1C85" w:rsidRPr="00965DF7" w:rsidRDefault="008B1C85" w:rsidP="008B1C85">
      <w:r w:rsidRPr="00965DF7">
        <w:t>The primary objective of this Rapid Review is to determine best clinical practice for the use of spirometry – with and without bronchodilator reversibility testing – in the diagnosis, assessment and management of patients who present to primary care with respiratory symptoms suggestive of asthma, COPD or other causes of airflow limitation.</w:t>
      </w:r>
    </w:p>
    <w:p w14:paraId="7AB363D6" w14:textId="77777777" w:rsidR="008B1C85" w:rsidRPr="00965DF7" w:rsidRDefault="008B1C85" w:rsidP="008B1C85">
      <w:r w:rsidRPr="00965DF7">
        <w:t>A secondary objective is to review recent published evidence relating to the cost-effectiveness of spirometry in the primary care setting. A tertiary objective is to review recent published evidence relating to the impact on diagnostic accuracy and patient health outcomes of providing financial incentives for performing spirometry in the primary care setting.</w:t>
      </w:r>
    </w:p>
    <w:p w14:paraId="4F0A03A0" w14:textId="77777777" w:rsidR="008B1C85" w:rsidRPr="00142B3D" w:rsidRDefault="00142B3D" w:rsidP="00142B3D">
      <w:pPr>
        <w:pStyle w:val="AttHeading2"/>
      </w:pPr>
      <w:bookmarkStart w:id="349" w:name="_Toc456613606"/>
      <w:r w:rsidRPr="00142B3D">
        <w:t xml:space="preserve">1.2 </w:t>
      </w:r>
      <w:r w:rsidR="008B1C85" w:rsidRPr="00142B3D">
        <w:t>Clinical Need and Target Population</w:t>
      </w:r>
      <w:bookmarkEnd w:id="349"/>
    </w:p>
    <w:p w14:paraId="4E39E6C4" w14:textId="77777777" w:rsidR="008B1C85" w:rsidRPr="00965DF7" w:rsidRDefault="008B1C85" w:rsidP="00B83773">
      <w:r w:rsidRPr="00965DF7">
        <w:t>Spirometry directly and objectively assesses the functional consequences of airway narrowing and is the most widely used test of lung function (Johns et al, 2013). Australian and international clinical practice guidelines (CPGs) recommend the use of spirometry in the diagnosis and management of the most common chronic respiratory diseases, namely asthma and COPD (GOLD, 2016; LFA/TSANZ, 2015; NAC, 2015; NCGC, 2016). Both of these chronic inflammatory lung diseases are characterised by airflow obstruction and spirometry is considered to be the ‘gold standard’ for detecting obstruction and assessing its severity.</w:t>
      </w:r>
    </w:p>
    <w:p w14:paraId="1E56DEA6" w14:textId="77777777" w:rsidR="008B1C85" w:rsidRPr="00965DF7" w:rsidRDefault="008B1C85" w:rsidP="00B83773">
      <w:r w:rsidRPr="00965DF7">
        <w:t xml:space="preserve">Although airflow obstruction is a hallmark characteristic of both asthma and COPD, differentiation is often relatively easy (LFA/TSANZ, 2015). In asthma, airway obstruction is typically intermittent and substantially – if not completely – reversible, either spontaneously or in response to treatment. In contrast, airflow obstruction is progressive and largely irreversible in patients with COPD. </w:t>
      </w:r>
      <w:r w:rsidRPr="00965DF7">
        <w:lastRenderedPageBreak/>
        <w:t>Furthermore, while asthma usually dates back to a younger age, patients with COPD typically have a late onset of symptoms and a moderately heavy smoking history.</w:t>
      </w:r>
    </w:p>
    <w:p w14:paraId="05A839EF" w14:textId="77777777" w:rsidR="008B1C85" w:rsidRPr="00965DF7" w:rsidRDefault="008B1C85" w:rsidP="00B83773">
      <w:r w:rsidRPr="00965DF7">
        <w:t>However, there are some patients (particularly older patients and smokers and ex-smokers) in whom it is difficult to distinguish between asthma and COPD as the primary cause of their chronic airflow limitation (ACAM, 2011; GINA, 2015). Longstanding or poorly controlled asthma can lead to chronic, irreversible airway narrowing. Furthermore, it is now recognised that some people may have components of both diseases, known as asthma-COPD overlap syndrome, or ACOS (GINA, 2015; LFA, 2014).</w:t>
      </w:r>
    </w:p>
    <w:p w14:paraId="21C33F12" w14:textId="77777777" w:rsidR="008B1C85" w:rsidRPr="00965DF7" w:rsidRDefault="008B1C85" w:rsidP="00B83773">
      <w:r w:rsidRPr="00965DF7">
        <w:t>Making a diagnosis therefore relies on clinical judgment based on a combination of symptoms, history, physical examination and confirmation of the presence of airflow obstruction using spirometry (GINA, 2015; GOLD, 2016). As treatments for asthma and COPD are diverging due to substantial improvements in our understanding of the pathogenesis of both diseases, the correct diagnosis is vital in order to maximise the long-term outcome for the patient (Sims and Price, 2012).</w:t>
      </w:r>
    </w:p>
    <w:p w14:paraId="5A5766AF" w14:textId="77777777" w:rsidR="008B1C85" w:rsidRDefault="00142B3D" w:rsidP="008B1C85">
      <w:pPr>
        <w:pStyle w:val="AttHeading3"/>
      </w:pPr>
      <w:r>
        <w:t xml:space="preserve">1.2.1 </w:t>
      </w:r>
      <w:r w:rsidR="008B1C85">
        <w:t>Prevalence of Asthma and COPD in Australia</w:t>
      </w:r>
    </w:p>
    <w:p w14:paraId="660B3CE9" w14:textId="77777777" w:rsidR="008B1C85" w:rsidRPr="00965DF7" w:rsidRDefault="008B1C85" w:rsidP="00B83773">
      <w:r w:rsidRPr="00965DF7">
        <w:t>Based on self-reported data from the 2011-12 Australian Health Survey (ABS 2012), approximately 10.2% of the total population (approximately 2.3 million Australians) have asthma, while 5.7% of people aged 55 and over (approximately 310,700 Australians) have symptoms suggestive of COPD (emphysema and/or bronchitis). However, COPD is often under-recognised by doctors and underreported by patients in its early stages. An Australian population-based survey found the prevalence of COPD, defined by spirometric criteria, to be 7.5% for people aged 40 years and over, and 29.2% for people aged 75 and over (Toelle et al, 2013).</w:t>
      </w:r>
    </w:p>
    <w:p w14:paraId="582CA1B7" w14:textId="77777777" w:rsidR="008B1C85" w:rsidRPr="00965DF7" w:rsidRDefault="008B1C85" w:rsidP="00B83773">
      <w:r w:rsidRPr="00965DF7">
        <w:t>Asthma and COPD are largely diagnosed and managed within the primary care sector. According to 2014-15 data from the BEACH (Bettering the Evaluation and Care of Health) program,</w:t>
      </w:r>
      <w:r w:rsidRPr="00965DF7">
        <w:rPr>
          <w:rStyle w:val="FootnoteReference"/>
        </w:rPr>
        <w:footnoteReference w:id="1"/>
      </w:r>
      <w:r w:rsidRPr="00965DF7">
        <w:t xml:space="preserve"> asthma was managed by GPs at a rate of 21 per 1000 encounters and COPD was managed by GPs at a rate of 9 per 1000 encounters. Using the BEACH method of extrapolation,</w:t>
      </w:r>
      <w:r w:rsidRPr="00965DF7">
        <w:rPr>
          <w:rStyle w:val="FootnoteReference"/>
        </w:rPr>
        <w:footnoteReference w:id="2"/>
      </w:r>
      <w:r w:rsidRPr="00965DF7">
        <w:t xml:space="preserve"> this suggests that asthma was managed by GPs an estimated 2,883,000 times per year nationally, while COPD was managed by GPs about 1,236,000 times per year nationally.</w:t>
      </w:r>
    </w:p>
    <w:p w14:paraId="4344D8F9" w14:textId="77777777" w:rsidR="008B1C85" w:rsidRDefault="00142B3D" w:rsidP="008B1C85">
      <w:pPr>
        <w:pStyle w:val="AttHeading2"/>
      </w:pPr>
      <w:bookmarkStart w:id="350" w:name="_Ref442476805"/>
      <w:bookmarkStart w:id="351" w:name="_Toc456613607"/>
      <w:r>
        <w:t xml:space="preserve">1.3 </w:t>
      </w:r>
      <w:r w:rsidR="008B1C85">
        <w:t>Technology/Technique</w:t>
      </w:r>
      <w:bookmarkEnd w:id="350"/>
      <w:bookmarkEnd w:id="351"/>
    </w:p>
    <w:p w14:paraId="4344AD16" w14:textId="77777777" w:rsidR="008B1C85" w:rsidRPr="0099709F" w:rsidRDefault="008B1C85" w:rsidP="00B83773">
      <w:r w:rsidRPr="00965DF7">
        <w:t>Spirometry is an objective and reproducible test of lung function that</w:t>
      </w:r>
      <w:r w:rsidRPr="002137E6">
        <w:t xml:space="preserve"> measures the volume of exhaled air, after a maximal inhalation, during a specified period of time. It is preferable to the use of a peak flow meter to measure peak expiratory flow (PEF) because it allows clearer identification of </w:t>
      </w:r>
      <w:r w:rsidRPr="002137E6">
        <w:lastRenderedPageBreak/>
        <w:t>airflow obstruction and the results are less dependent on effort (BTS/SIGN, 2014; GOLD, 2016; NAC, 2012).</w:t>
      </w:r>
    </w:p>
    <w:p w14:paraId="3CB0FCA9" w14:textId="77777777" w:rsidR="008B1C85" w:rsidRPr="00965DF7" w:rsidRDefault="008B1C85" w:rsidP="00B83773">
      <w:r w:rsidRPr="00965DF7">
        <w:t>The results of a spirometry test are expressed as the FEV</w:t>
      </w:r>
      <w:r w:rsidRPr="00965DF7">
        <w:rPr>
          <w:vertAlign w:val="subscript"/>
        </w:rPr>
        <w:t>1</w:t>
      </w:r>
      <w:r w:rsidRPr="00965DF7">
        <w:t>/FVC ratio, where FEV</w:t>
      </w:r>
      <w:r w:rsidRPr="00965DF7">
        <w:rPr>
          <w:vertAlign w:val="subscript"/>
        </w:rPr>
        <w:t>1</w:t>
      </w:r>
      <w:r w:rsidRPr="00965DF7">
        <w:t xml:space="preserve"> is the forced expiratory volume in one second and FVC is the forced vital capacity, or the total amount of air forcibly exhaled after full inspiration. Spirometry measurements are evaluated by comparison with reference values based on age, height, sex, and race, with airflow limitation diagnosed in those who fall below the lower limit of normal (LLN) (GOLD, 2016).</w:t>
      </w:r>
    </w:p>
    <w:p w14:paraId="6CD9A6CC" w14:textId="77777777" w:rsidR="008B1C85" w:rsidRPr="00965DF7" w:rsidRDefault="008B1C85" w:rsidP="00B83773">
      <w:r w:rsidRPr="00965DF7">
        <w:t>If there is evidence of airflow obstruction, spirometry may be performed before and after the administration of a short-acting bronchodilator to assess whether the airflow obstruction can be reversed – a hallmark of asthma. Reversibility testing involves pre-bronchodilator spirometry followed by the administration of the bronchodilator (e.g. 4 separate puffs of salbutamol via a spacer), then post-bronchodilator spirometry after a 10-15 minute wait (Johns et al, 2013). Reversibility may also be assessed by measuring spirometry before and several weeks after a trial of inhaled glucocorticosteroids or oral prednisone (Johns et al, 2013).</w:t>
      </w:r>
    </w:p>
    <w:p w14:paraId="74E0E448" w14:textId="77777777" w:rsidR="008B1C85" w:rsidRPr="00965DF7" w:rsidRDefault="008B1C85" w:rsidP="00B83773">
      <w:r w:rsidRPr="00965DF7">
        <w:t>Although spirometry is a safe, non-invasive test with no absolute contraindications, it is physically demanding on the patient and there are some circumstances where it might be advisable to delay testing (Johns et al, 2015). Young children are unlikely to be able to produce reliable spirometry and interpretation of the results can be complex (Johns et al, 2015).</w:t>
      </w:r>
    </w:p>
    <w:p w14:paraId="72A287E1" w14:textId="77777777" w:rsidR="008B1C85" w:rsidRPr="00965DF7" w:rsidRDefault="008B1C85" w:rsidP="00B83773">
      <w:r w:rsidRPr="00965DF7">
        <w:t>Poorly performed spirometry and misinterpretation of the results can lead to misdiagnosis (or missed diagnosis) and inappropriate management. Good quality spirometry relies on: the use of an accurate spirometer that meets the required international standards; active coaching to ensure the patient performs the test correctly; ongoing quality assurance; and adequately trained operators (Johns et al, 2013). Training and regular practice is considered to be vital. Likewise, the results of spirometry testing need to be properly interpreted in the light of the clinical history and presentation – ideally at the time of testing (Levy et al, 2009).</w:t>
      </w:r>
    </w:p>
    <w:p w14:paraId="6043A7F7" w14:textId="77777777" w:rsidR="008B1C85" w:rsidRPr="00965DF7" w:rsidRDefault="008B1C85" w:rsidP="00B83773">
      <w:r w:rsidRPr="00965DF7">
        <w:t>From a clinical perspective, an accurate diagnosis of asthma, COPD, or another obstructive lung condition, such as bronchiectasis, is important because of its therapeutic and prognostic implications for the patient. Patients who are misdiagnosed may be labelled as having a chronic disease when none exists, creating anxiety for them and their families (Walters et al, 2011). Misdiagnosed patients may then go on to receive inappropriate therapy (potentially lifelong), exposing them needlessly to possible side effects (albeit usually minor) and costs, while the true underlying pathology remains undiagnosed and untreated. The consequences of a missed diagnosis include untreated symptoms, and preventable recurrent exacerbations, emergency department visits and hospital admissions (Boulet et al, 2013).</w:t>
      </w:r>
    </w:p>
    <w:p w14:paraId="1E8F97DB" w14:textId="77777777" w:rsidR="008B1C85" w:rsidRPr="00965DF7" w:rsidRDefault="008B1C85" w:rsidP="00B83773">
      <w:r w:rsidRPr="00965DF7">
        <w:t xml:space="preserve">In an Australian study of 341 patients in general practice with either a recorded diagnosis of COPD and/or a record of current treatment with COPD therapy, only 69% had spirometrically-confirmed COPD (Walters et al, 2011). Among the 31% of patients who did not meet the criteria for COPD, 56% </w:t>
      </w:r>
      <w:r w:rsidRPr="00965DF7">
        <w:lastRenderedPageBreak/>
        <w:t>had normal lung function, 7% had mild airflow limitation but an FEV</w:t>
      </w:r>
      <w:r w:rsidRPr="00965DF7">
        <w:rPr>
          <w:vertAlign w:val="subscript"/>
        </w:rPr>
        <w:t>1</w:t>
      </w:r>
      <w:r w:rsidRPr="00965DF7">
        <w:t>/FVC ratio just above 0.7, and 37% had restrictive lung function. Misclassification of COPD in practices was more likely in overweight or obese patients and in those with allergic rhinitis or hay fever.</w:t>
      </w:r>
    </w:p>
    <w:p w14:paraId="05C18055" w14:textId="77777777" w:rsidR="008B1C85" w:rsidRPr="00965DF7" w:rsidRDefault="008B1C85" w:rsidP="00B83773">
      <w:r w:rsidRPr="00965DF7">
        <w:t>Another Australian study in the primary care setting found that of 445 patients who had been prescribed medications for COPD, only 57.8% had post-bronchodilator spirometry showing COPD (with or without asthma), 3.6% had asthma only, 18.4% had normal spirometry, and 20.2% had other spirometric diagnoses such as restriction (Zwar et al, 2011).</w:t>
      </w:r>
    </w:p>
    <w:p w14:paraId="6B64F333" w14:textId="77777777" w:rsidR="008B1C85" w:rsidRPr="00965DF7" w:rsidRDefault="008B1C85" w:rsidP="00B83773">
      <w:r w:rsidRPr="00965DF7">
        <w:t>Despite the importance of spirometry to detect and assess the extent of airway obstruction, studies from a number of countries indicate that it is frequently underused in primary care settings where a diagnosis is often made on the basis of symptoms and clinical history without objective confirmation (Aaron et al, 2008; Arne et al, 2010; Gershon et al, 2012; Salinas et al, 2011; Sokol et al, 2015).</w:t>
      </w:r>
    </w:p>
    <w:p w14:paraId="1AD2DFD2" w14:textId="77777777" w:rsidR="008B1C85" w:rsidRPr="00965DF7" w:rsidRDefault="008B1C85" w:rsidP="00B83773">
      <w:r w:rsidRPr="00965DF7">
        <w:t>In Australia, ownership of spirometers is reasonably high, estimated over a decade ago at between 64% and 76% of general practices (Barton et al, 2009; Johns et al, 2006); however, uptake of spirometry has been low (Holton et al, 2011; Matheson et al, 2006; Walters et al, 2005). In a retrospective review of the medical records of 270 Victorian patients who had been prescribed inhaled medication in the preceding six months and had a doctor diagnosis of asthma, COPD, or asthma/COPD, over 28% of diagnoses were made without spirometry at baseline (Abramson et al, 2012). Data from the BEACH program (2007 to 2010) showed that lung function tests</w:t>
      </w:r>
      <w:r w:rsidRPr="00965DF7">
        <w:rPr>
          <w:rStyle w:val="FootnoteReference"/>
        </w:rPr>
        <w:footnoteReference w:id="3"/>
      </w:r>
      <w:r w:rsidRPr="00965DF7">
        <w:t xml:space="preserve"> were performed in 5.7% of GP encounters for the management of asthma in adults, but less frequently in children (3.0%) (ACAM, 2011). Data from the BEACH program (April 2008 to March 2009) showed that respiratory function tests were performed in only 4.6 per 100 COPD problems managed (Charles et al, 2010).</w:t>
      </w:r>
    </w:p>
    <w:p w14:paraId="26E12B2C" w14:textId="77777777" w:rsidR="008B1C85" w:rsidRPr="00965DF7" w:rsidRDefault="008B1C85" w:rsidP="00B83773">
      <w:r w:rsidRPr="00965DF7">
        <w:t>There are a number of barriers to the performance of spirometry that have been identified in several Australian studies in the primary care setting (Abramson et al, 2012; Dennis et al, 2010; Johns et al, 2006; Goeman et al, 2005; Walters et al, 2005):</w:t>
      </w:r>
    </w:p>
    <w:p w14:paraId="2741ED16" w14:textId="77777777" w:rsidR="008B1C85" w:rsidRPr="00965DF7" w:rsidRDefault="008B1C85" w:rsidP="00EE3CFE">
      <w:pPr>
        <w:pStyle w:val="NormalBulleted"/>
        <w:numPr>
          <w:ilvl w:val="0"/>
          <w:numId w:val="43"/>
        </w:numPr>
      </w:pPr>
      <w:r w:rsidRPr="00965DF7">
        <w:t>low level of reimbursement for tests;</w:t>
      </w:r>
    </w:p>
    <w:p w14:paraId="27311E04" w14:textId="77777777" w:rsidR="008B1C85" w:rsidRPr="00965DF7" w:rsidRDefault="008B1C85" w:rsidP="00EE3CFE">
      <w:pPr>
        <w:pStyle w:val="NormalBulleted"/>
        <w:numPr>
          <w:ilvl w:val="0"/>
          <w:numId w:val="43"/>
        </w:numPr>
      </w:pPr>
      <w:r w:rsidRPr="00965DF7">
        <w:t>high cost of spirometer;</w:t>
      </w:r>
    </w:p>
    <w:p w14:paraId="22593BB3" w14:textId="77777777" w:rsidR="008B1C85" w:rsidRPr="00965DF7" w:rsidRDefault="008B1C85" w:rsidP="00EE3CFE">
      <w:pPr>
        <w:pStyle w:val="NormalBulleted"/>
        <w:numPr>
          <w:ilvl w:val="0"/>
          <w:numId w:val="43"/>
        </w:numPr>
      </w:pPr>
      <w:r w:rsidRPr="00965DF7">
        <w:t>lack of access to a well maintained spirometer;</w:t>
      </w:r>
    </w:p>
    <w:p w14:paraId="5453F700" w14:textId="77777777" w:rsidR="008B1C85" w:rsidRPr="00965DF7" w:rsidRDefault="008B1C85" w:rsidP="00EE3CFE">
      <w:pPr>
        <w:pStyle w:val="NormalBulleted"/>
        <w:numPr>
          <w:ilvl w:val="0"/>
          <w:numId w:val="43"/>
        </w:numPr>
      </w:pPr>
      <w:r w:rsidRPr="00965DF7">
        <w:t>patient reluctance to attend a referral centre for spirometry;</w:t>
      </w:r>
    </w:p>
    <w:p w14:paraId="3437A4F3" w14:textId="77777777" w:rsidR="008B1C85" w:rsidRPr="00965DF7" w:rsidRDefault="008B1C85" w:rsidP="00EE3CFE">
      <w:pPr>
        <w:pStyle w:val="NormalBulleted"/>
        <w:numPr>
          <w:ilvl w:val="0"/>
          <w:numId w:val="43"/>
        </w:numPr>
      </w:pPr>
      <w:r w:rsidRPr="00965DF7">
        <w:t>difficulty in fitting testing into the normal workflow of consultations;</w:t>
      </w:r>
    </w:p>
    <w:p w14:paraId="55BFD1F9" w14:textId="77777777" w:rsidR="008B1C85" w:rsidRPr="00965DF7" w:rsidRDefault="008B1C85" w:rsidP="00EE3CFE">
      <w:pPr>
        <w:pStyle w:val="NormalBulleted"/>
        <w:numPr>
          <w:ilvl w:val="0"/>
          <w:numId w:val="43"/>
        </w:numPr>
      </w:pPr>
      <w:r w:rsidRPr="00965DF7">
        <w:t>practice nurse not available to perform the measurement;</w:t>
      </w:r>
    </w:p>
    <w:p w14:paraId="3AE7132D" w14:textId="77777777" w:rsidR="008B1C85" w:rsidRPr="00965DF7" w:rsidRDefault="008B1C85" w:rsidP="00EE3CFE">
      <w:pPr>
        <w:pStyle w:val="NormalBulleted"/>
        <w:numPr>
          <w:ilvl w:val="0"/>
          <w:numId w:val="43"/>
        </w:numPr>
      </w:pPr>
      <w:r w:rsidRPr="00965DF7">
        <w:t>lack of confidence in ability to interpret the results;</w:t>
      </w:r>
    </w:p>
    <w:p w14:paraId="4DD77765" w14:textId="77777777" w:rsidR="008B1C85" w:rsidRPr="00965DF7" w:rsidRDefault="008B1C85" w:rsidP="00EE3CFE">
      <w:pPr>
        <w:pStyle w:val="NormalBulleted"/>
        <w:numPr>
          <w:ilvl w:val="0"/>
          <w:numId w:val="43"/>
        </w:numPr>
      </w:pPr>
      <w:r w:rsidRPr="00965DF7">
        <w:t>lack of time for adequate training and ongoing quality control;</w:t>
      </w:r>
    </w:p>
    <w:p w14:paraId="5E0C338F" w14:textId="77777777" w:rsidR="008B1C85" w:rsidRPr="00965DF7" w:rsidRDefault="008B1C85" w:rsidP="00EE3CFE">
      <w:pPr>
        <w:pStyle w:val="NormalBulleted"/>
        <w:numPr>
          <w:ilvl w:val="0"/>
          <w:numId w:val="43"/>
        </w:numPr>
      </w:pPr>
      <w:r w:rsidRPr="00965DF7">
        <w:t>belief that a clinical diagnosis based on symptoms and history is sufficient;</w:t>
      </w:r>
    </w:p>
    <w:p w14:paraId="1522D4EF" w14:textId="77777777" w:rsidR="008B1C85" w:rsidRPr="00965DF7" w:rsidRDefault="008B1C85" w:rsidP="00EE3CFE">
      <w:pPr>
        <w:pStyle w:val="NormalBulleted"/>
        <w:numPr>
          <w:ilvl w:val="0"/>
          <w:numId w:val="43"/>
        </w:numPr>
      </w:pPr>
      <w:r w:rsidRPr="00965DF7">
        <w:lastRenderedPageBreak/>
        <w:t>patient reluctance to engage in the diagnostic process.</w:t>
      </w:r>
    </w:p>
    <w:p w14:paraId="744FA272" w14:textId="77777777" w:rsidR="008B1C85" w:rsidRPr="00965DF7" w:rsidRDefault="008B1C85" w:rsidP="008B1C85">
      <w:r w:rsidRPr="00965DF7">
        <w:t>Many of these barriers are not unique to Australia and have been reported in several other countries including Canada, the Netherlands, the United States and the United Kingdom (Boulet et al, 2013; Dirven et al, 2013; Joo et al, 2013; Roberts et al, 2011; Salinas et al, 2011).</w:t>
      </w:r>
    </w:p>
    <w:p w14:paraId="2E17F683" w14:textId="77777777" w:rsidR="008B1C85" w:rsidRDefault="00142B3D" w:rsidP="008B1C85">
      <w:pPr>
        <w:pStyle w:val="AttHeading2"/>
      </w:pPr>
      <w:bookmarkStart w:id="352" w:name="_Toc456613608"/>
      <w:r>
        <w:t xml:space="preserve">1.4 </w:t>
      </w:r>
      <w:r w:rsidR="008B1C85">
        <w:t>MBS Context</w:t>
      </w:r>
      <w:bookmarkEnd w:id="352"/>
    </w:p>
    <w:p w14:paraId="6858C63F" w14:textId="77777777" w:rsidR="008B1C85" w:rsidRPr="00965DF7" w:rsidRDefault="008B1C85" w:rsidP="00B83773">
      <w:r w:rsidRPr="00965DF7">
        <w:t xml:space="preserve">Spirometry can be claimed on the MBS by general practitioners using item 11506, which specifically requires a permanently recorded tracing performed before and after inhalation of a bronchodilator. Spirometry may also be reimbursed though items 11500, 11503, 11509 and 11512, but these services are generally confined to specialist practice. </w:t>
      </w:r>
      <w:r w:rsidR="005E328F">
        <w:t xml:space="preserve">Appendix 2 </w:t>
      </w:r>
      <w:r w:rsidRPr="00965DF7">
        <w:t>provides the full item descriptors and Schedule fees, together with item start dates.</w:t>
      </w:r>
    </w:p>
    <w:p w14:paraId="30BA43BE" w14:textId="77777777" w:rsidR="008B1C85" w:rsidRPr="00965DF7" w:rsidRDefault="008B1C85" w:rsidP="00B83773">
      <w:r w:rsidRPr="00965DF7">
        <w:t xml:space="preserve">The current Schedule fee for MBS item 11506 is $20.55. In the 2014-15 financial year, the total benefits paid for item 11506 was $5,372,888, and the total number of services was 270,258, across 231,878 patients. All services were provided out of hospital by a total of 18,358 providers. Further details, including a breakdown of the number of services by state/territory and by age, are provided in </w:t>
      </w:r>
      <w:r w:rsidR="000B5535">
        <w:t>Appendix 3</w:t>
      </w:r>
      <w:r w:rsidRPr="00965DF7">
        <w:t>.</w:t>
      </w:r>
    </w:p>
    <w:p w14:paraId="74C5963A" w14:textId="24F854C4" w:rsidR="008B1C85" w:rsidRPr="00965DF7" w:rsidRDefault="008B1C85" w:rsidP="00B83773">
      <w:r w:rsidRPr="00965DF7">
        <w:t xml:space="preserve">Usage of MBS item 11506 is relatively modest, given that: (i) asthma and COPD are highly prevalent in Australia (ACAM, 2011) and are largely diagnosed and managed within the primary care sector (Britt, 2015); and (ii) Australian and international CPGs regard spirometry as an essential clinical tool in the diagnosis and management of patients with asthma and COPD (see Sections </w:t>
      </w:r>
      <w:r w:rsidRPr="00965DF7">
        <w:fldChar w:fldCharType="begin"/>
      </w:r>
      <w:r w:rsidRPr="00965DF7">
        <w:instrText xml:space="preserve"> REF _Ref442798124 \n \h </w:instrText>
      </w:r>
      <w:r>
        <w:instrText xml:space="preserve"> \* MERGEFORMAT </w:instrText>
      </w:r>
      <w:r w:rsidRPr="00965DF7">
        <w:fldChar w:fldCharType="separate"/>
      </w:r>
      <w:r w:rsidR="00F2203C">
        <w:t>0</w:t>
      </w:r>
      <w:r w:rsidRPr="00965DF7">
        <w:fldChar w:fldCharType="end"/>
      </w:r>
      <w:r w:rsidRPr="00965DF7">
        <w:t xml:space="preserve"> and </w:t>
      </w:r>
      <w:r w:rsidRPr="00965DF7">
        <w:fldChar w:fldCharType="begin"/>
      </w:r>
      <w:r w:rsidRPr="00965DF7">
        <w:instrText xml:space="preserve"> REF _Ref442798138 \n \h </w:instrText>
      </w:r>
      <w:r>
        <w:instrText xml:space="preserve"> \* MERGEFORMAT </w:instrText>
      </w:r>
      <w:r w:rsidRPr="00965DF7">
        <w:fldChar w:fldCharType="separate"/>
      </w:r>
      <w:r w:rsidR="00F2203C">
        <w:t>0</w:t>
      </w:r>
      <w:r w:rsidRPr="00965DF7">
        <w:fldChar w:fldCharType="end"/>
      </w:r>
      <w:r w:rsidRPr="00965DF7">
        <w:t xml:space="preserve"> for a summary of recommendations relating to spirometry).</w:t>
      </w:r>
    </w:p>
    <w:p w14:paraId="5B2136D7" w14:textId="77777777" w:rsidR="008B1C85" w:rsidRPr="00965DF7" w:rsidRDefault="008B1C85" w:rsidP="00B83773">
      <w:r w:rsidRPr="00965DF7">
        <w:t>As a means to improve the diagnosis and management of asthma and COPD in primary care and to encourage best-practice use of spirometry, the MBS Review Taskforce’s Thoracic Medicine Clinical Committee have proposed that consideration should be given to one or both of the following, pending the findings from a review of contemporary evidence and clinical guidance:</w:t>
      </w:r>
    </w:p>
    <w:p w14:paraId="2441B50B" w14:textId="77777777" w:rsidR="008B1C85" w:rsidRPr="00965DF7" w:rsidRDefault="008B1C85" w:rsidP="00EE3CFE">
      <w:pPr>
        <w:pStyle w:val="NormalBulleted"/>
        <w:numPr>
          <w:ilvl w:val="0"/>
          <w:numId w:val="44"/>
        </w:numPr>
      </w:pPr>
      <w:r w:rsidRPr="00965DF7">
        <w:t>Increasing the MBS rebate for MBS item 11506.</w:t>
      </w:r>
    </w:p>
    <w:p w14:paraId="07CB1FCC" w14:textId="77777777" w:rsidR="008B1C85" w:rsidRPr="00965DF7" w:rsidRDefault="008B1C85" w:rsidP="00EE3CFE">
      <w:pPr>
        <w:pStyle w:val="NormalBulleted"/>
        <w:numPr>
          <w:ilvl w:val="0"/>
          <w:numId w:val="44"/>
        </w:numPr>
      </w:pPr>
      <w:r w:rsidRPr="00965DF7">
        <w:t xml:space="preserve">Adding a new item to allow pre- </w:t>
      </w:r>
      <w:r w:rsidRPr="000F3D82">
        <w:rPr>
          <w:i/>
        </w:rPr>
        <w:t>or</w:t>
      </w:r>
      <w:r w:rsidRPr="00965DF7">
        <w:t xml:space="preserve"> post- bronchodilator testing.</w:t>
      </w:r>
    </w:p>
    <w:p w14:paraId="168F7C73" w14:textId="77777777" w:rsidR="008B1C85" w:rsidRDefault="008B1C85" w:rsidP="008B1C85">
      <w:pPr>
        <w:sectPr w:rsidR="008B1C85" w:rsidSect="00E25C60">
          <w:pgSz w:w="11906" w:h="16838" w:code="9"/>
          <w:pgMar w:top="1134" w:right="1134" w:bottom="1560" w:left="1701" w:header="567" w:footer="567" w:gutter="0"/>
          <w:cols w:space="708"/>
          <w:docGrid w:linePitch="360"/>
        </w:sectPr>
      </w:pPr>
    </w:p>
    <w:p w14:paraId="19A6091E" w14:textId="77777777" w:rsidR="008B1C85" w:rsidRDefault="00142B3D" w:rsidP="008B1C85">
      <w:pPr>
        <w:pStyle w:val="AttHeading1"/>
      </w:pPr>
      <w:bookmarkStart w:id="353" w:name="_Toc456613609"/>
      <w:r>
        <w:lastRenderedPageBreak/>
        <w:t xml:space="preserve">2 </w:t>
      </w:r>
      <w:r w:rsidR="00591B04">
        <w:t>Rapid Review</w:t>
      </w:r>
      <w:bookmarkEnd w:id="353"/>
    </w:p>
    <w:p w14:paraId="11B8865D" w14:textId="77777777" w:rsidR="008B1C85" w:rsidRDefault="00142B3D" w:rsidP="00006172">
      <w:pPr>
        <w:pStyle w:val="AttHeading2"/>
      </w:pPr>
      <w:bookmarkStart w:id="354" w:name="_Ref442781668"/>
      <w:bookmarkStart w:id="355" w:name="_Ref442783770"/>
      <w:bookmarkStart w:id="356" w:name="_Ref442784391"/>
      <w:bookmarkStart w:id="357" w:name="_Ref442787387"/>
      <w:bookmarkStart w:id="358" w:name="_Toc456613610"/>
      <w:r>
        <w:t xml:space="preserve">2.1 </w:t>
      </w:r>
      <w:r w:rsidR="008B1C85">
        <w:t xml:space="preserve">Research </w:t>
      </w:r>
      <w:r w:rsidR="008B1C85" w:rsidRPr="00006172">
        <w:t>Questions</w:t>
      </w:r>
      <w:bookmarkEnd w:id="354"/>
      <w:bookmarkEnd w:id="355"/>
      <w:bookmarkEnd w:id="356"/>
      <w:bookmarkEnd w:id="357"/>
      <w:bookmarkEnd w:id="358"/>
    </w:p>
    <w:p w14:paraId="6F0755AE" w14:textId="77777777" w:rsidR="008B1C85" w:rsidRDefault="008B1C85" w:rsidP="008B1C85">
      <w:r>
        <w:t xml:space="preserve">Q1) </w:t>
      </w:r>
      <w:r w:rsidRPr="005150A4">
        <w:t>Does the use of spirometry improve diagnostic accuracy and health outcomes in people presenting with respiratory symptoms?</w:t>
      </w:r>
    </w:p>
    <w:p w14:paraId="076EE163" w14:textId="78096D46" w:rsidR="008B1C85" w:rsidRPr="005150A4" w:rsidRDefault="008B1C85" w:rsidP="005C3A85">
      <w:pPr>
        <w:pStyle w:val="Appcaption"/>
      </w:pPr>
      <w:r>
        <w:t xml:space="preserve">Table </w:t>
      </w:r>
      <w:r w:rsidR="00167E8D">
        <w:fldChar w:fldCharType="begin"/>
      </w:r>
      <w:r w:rsidR="003771CF">
        <w:instrText xml:space="preserve"> SEQ Titl</w:instrText>
      </w:r>
      <w:r w:rsidR="00167E8D">
        <w:instrText xml:space="preserve">e \* ARABIC </w:instrText>
      </w:r>
      <w:r w:rsidR="00167E8D">
        <w:fldChar w:fldCharType="separate"/>
      </w:r>
      <w:r w:rsidR="00F2203C">
        <w:rPr>
          <w:noProof/>
        </w:rPr>
        <w:t>1</w:t>
      </w:r>
      <w:r w:rsidR="00167E8D">
        <w:rPr>
          <w:noProof/>
        </w:rPr>
        <w:fldChar w:fldCharType="end"/>
      </w:r>
      <w:r w:rsidR="005C3A85">
        <w:rPr>
          <w:noProof/>
        </w:rPr>
        <w:t xml:space="preserve"> </w:t>
      </w:r>
      <w:r>
        <w:t>PICO criteria for research question 1</w:t>
      </w:r>
    </w:p>
    <w:tbl>
      <w:tblPr>
        <w:tblStyle w:val="TableGrid"/>
        <w:tblW w:w="0" w:type="auto"/>
        <w:tblLook w:val="04A0" w:firstRow="1" w:lastRow="0" w:firstColumn="1" w:lastColumn="0" w:noHBand="0" w:noVBand="1"/>
        <w:tblDescription w:val="Appendix C table 1  list the population, intervention, comparator and outcome (PICO) criterias against the question ‘Does the use of spirometry improve diagnostic accuracy and health outcomes in people presenting with respiratory symptoms?’"/>
      </w:tblPr>
      <w:tblGrid>
        <w:gridCol w:w="3114"/>
        <w:gridCol w:w="1701"/>
        <w:gridCol w:w="1701"/>
        <w:gridCol w:w="2545"/>
      </w:tblGrid>
      <w:tr w:rsidR="008B1C85" w:rsidRPr="002137E6" w14:paraId="75C88844" w14:textId="77777777" w:rsidTr="00FF6AB5">
        <w:trPr>
          <w:tblHeader/>
        </w:trPr>
        <w:tc>
          <w:tcPr>
            <w:tcW w:w="3114" w:type="dxa"/>
          </w:tcPr>
          <w:p w14:paraId="43C9391A" w14:textId="77777777" w:rsidR="008B1C85" w:rsidRPr="001E558F" w:rsidRDefault="008B1C85" w:rsidP="00D53234">
            <w:pPr>
              <w:pStyle w:val="Tableheading"/>
            </w:pPr>
            <w:r w:rsidRPr="001E558F">
              <w:t>Population</w:t>
            </w:r>
          </w:p>
        </w:tc>
        <w:tc>
          <w:tcPr>
            <w:tcW w:w="1701" w:type="dxa"/>
          </w:tcPr>
          <w:p w14:paraId="19A085BF" w14:textId="77777777" w:rsidR="008B1C85" w:rsidRPr="001E558F" w:rsidRDefault="008B1C85" w:rsidP="00D53234">
            <w:pPr>
              <w:pStyle w:val="Tableheading"/>
            </w:pPr>
            <w:r w:rsidRPr="001E558F">
              <w:t>Intervention</w:t>
            </w:r>
          </w:p>
        </w:tc>
        <w:tc>
          <w:tcPr>
            <w:tcW w:w="1701" w:type="dxa"/>
          </w:tcPr>
          <w:p w14:paraId="3E37A80F" w14:textId="77777777" w:rsidR="008B1C85" w:rsidRPr="001E558F" w:rsidRDefault="008B1C85" w:rsidP="00D53234">
            <w:pPr>
              <w:pStyle w:val="Tableheading"/>
            </w:pPr>
            <w:r w:rsidRPr="001E558F">
              <w:t>Comparator</w:t>
            </w:r>
          </w:p>
        </w:tc>
        <w:tc>
          <w:tcPr>
            <w:tcW w:w="2545" w:type="dxa"/>
          </w:tcPr>
          <w:p w14:paraId="78371FB6" w14:textId="77777777" w:rsidR="008B1C85" w:rsidRPr="001E558F" w:rsidRDefault="008B1C85" w:rsidP="00D53234">
            <w:pPr>
              <w:pStyle w:val="Tableheading"/>
            </w:pPr>
            <w:r w:rsidRPr="001E558F">
              <w:t>Outcomes</w:t>
            </w:r>
          </w:p>
        </w:tc>
      </w:tr>
      <w:tr w:rsidR="008B1C85" w:rsidRPr="002137E6" w14:paraId="59AB950B" w14:textId="77777777" w:rsidTr="008B1C85">
        <w:tc>
          <w:tcPr>
            <w:tcW w:w="3114" w:type="dxa"/>
          </w:tcPr>
          <w:p w14:paraId="2920A259" w14:textId="77777777" w:rsidR="008B1C85" w:rsidRPr="002137E6" w:rsidRDefault="008B1C85" w:rsidP="00F72045">
            <w:pPr>
              <w:pStyle w:val="Tabletext"/>
            </w:pPr>
            <w:r w:rsidRPr="002137E6">
              <w:t xml:space="preserve">Patients presenting with </w:t>
            </w:r>
            <w:r w:rsidRPr="00F72045">
              <w:t>respiratory</w:t>
            </w:r>
            <w:r w:rsidRPr="002137E6">
              <w:t xml:space="preserve"> symptoms suggestive of asthma, COPD or other causes of airflow limitation</w:t>
            </w:r>
          </w:p>
          <w:p w14:paraId="6400FDBB" w14:textId="77777777" w:rsidR="008B1C85" w:rsidRPr="002137E6" w:rsidRDefault="008B1C85" w:rsidP="00F72045">
            <w:pPr>
              <w:pStyle w:val="Tabletext"/>
            </w:pPr>
            <w:r w:rsidRPr="002137E6">
              <w:t>Stratify by age:</w:t>
            </w:r>
          </w:p>
          <w:p w14:paraId="1512E121" w14:textId="77777777" w:rsidR="008B1C85" w:rsidRPr="00F72045" w:rsidRDefault="008B1C85" w:rsidP="00F72045">
            <w:pPr>
              <w:pStyle w:val="Tablebullet"/>
            </w:pPr>
            <w:r w:rsidRPr="00F72045">
              <w:t>paediatric</w:t>
            </w:r>
          </w:p>
          <w:p w14:paraId="10535B93" w14:textId="77777777" w:rsidR="008B1C85" w:rsidRPr="00F72045" w:rsidRDefault="008B1C85" w:rsidP="00F72045">
            <w:pPr>
              <w:pStyle w:val="Tablebullet"/>
            </w:pPr>
            <w:r w:rsidRPr="00F72045">
              <w:t>adult</w:t>
            </w:r>
          </w:p>
          <w:p w14:paraId="68ECCCCC" w14:textId="77777777" w:rsidR="008B1C85" w:rsidRPr="002137E6" w:rsidRDefault="008B1C85" w:rsidP="00F72045">
            <w:pPr>
              <w:pStyle w:val="Tablebullet"/>
            </w:pPr>
            <w:r w:rsidRPr="00F72045">
              <w:t>geriatric</w:t>
            </w:r>
          </w:p>
        </w:tc>
        <w:tc>
          <w:tcPr>
            <w:tcW w:w="1701" w:type="dxa"/>
          </w:tcPr>
          <w:p w14:paraId="5F79A95D" w14:textId="77777777" w:rsidR="008B1C85" w:rsidRPr="002137E6" w:rsidRDefault="008B1C85" w:rsidP="00D53234">
            <w:pPr>
              <w:pStyle w:val="Tabletext"/>
            </w:pPr>
            <w:r w:rsidRPr="00D53234">
              <w:t>Spirometry</w:t>
            </w:r>
          </w:p>
          <w:p w14:paraId="59634D45" w14:textId="77777777" w:rsidR="008B1C85" w:rsidRPr="002137E6" w:rsidRDefault="008B1C85" w:rsidP="00F72045">
            <w:pPr>
              <w:pStyle w:val="Tablebullet"/>
            </w:pPr>
            <w:r w:rsidRPr="002137E6">
              <w:t xml:space="preserve">with </w:t>
            </w:r>
            <w:r w:rsidRPr="00F72045">
              <w:t>reversibility</w:t>
            </w:r>
            <w:r w:rsidRPr="002137E6">
              <w:t xml:space="preserve"> testing (pre AND post)</w:t>
            </w:r>
          </w:p>
          <w:p w14:paraId="51982CE7" w14:textId="77777777" w:rsidR="008B1C85" w:rsidRPr="002137E6" w:rsidRDefault="008B1C85" w:rsidP="00F72045">
            <w:pPr>
              <w:pStyle w:val="Tablebullet"/>
            </w:pPr>
            <w:r w:rsidRPr="002137E6">
              <w:t xml:space="preserve">without </w:t>
            </w:r>
            <w:r w:rsidRPr="00F72045">
              <w:t>reversibility</w:t>
            </w:r>
            <w:r w:rsidRPr="002137E6">
              <w:t xml:space="preserve"> testing (pre OR post)</w:t>
            </w:r>
          </w:p>
        </w:tc>
        <w:tc>
          <w:tcPr>
            <w:tcW w:w="1701" w:type="dxa"/>
          </w:tcPr>
          <w:p w14:paraId="55FF75C7" w14:textId="77777777" w:rsidR="008B1C85" w:rsidRPr="002137E6" w:rsidRDefault="008B1C85" w:rsidP="00F72045">
            <w:pPr>
              <w:pStyle w:val="Tabletext"/>
            </w:pPr>
            <w:r w:rsidRPr="002137E6">
              <w:t>No spirometry (clinical diagnosis based on symptoms and history)</w:t>
            </w:r>
          </w:p>
        </w:tc>
        <w:tc>
          <w:tcPr>
            <w:tcW w:w="2545" w:type="dxa"/>
          </w:tcPr>
          <w:p w14:paraId="445647A8" w14:textId="77777777" w:rsidR="008B1C85" w:rsidRPr="002137E6" w:rsidRDefault="008B1C85" w:rsidP="00F72045">
            <w:pPr>
              <w:pStyle w:val="Tablebullet"/>
            </w:pPr>
            <w:r w:rsidRPr="002137E6">
              <w:t>Diagnostic accuracy (sensitivity, specificity, PPV, NPV)</w:t>
            </w:r>
          </w:p>
          <w:p w14:paraId="3D07D53E" w14:textId="77777777" w:rsidR="008B1C85" w:rsidRPr="002137E6" w:rsidRDefault="008B1C85" w:rsidP="00F72045">
            <w:pPr>
              <w:pStyle w:val="Tablebullet"/>
            </w:pPr>
            <w:r w:rsidRPr="002137E6">
              <w:t>Change in patient management</w:t>
            </w:r>
          </w:p>
          <w:p w14:paraId="708C83DC" w14:textId="77777777" w:rsidR="008B1C85" w:rsidRPr="002137E6" w:rsidRDefault="008B1C85" w:rsidP="00F72045">
            <w:pPr>
              <w:pStyle w:val="Tablebullet"/>
            </w:pPr>
            <w:r w:rsidRPr="002137E6">
              <w:t>Change in health outcomes (e.g. mortality, frequency of exacerbations, quality of life)</w:t>
            </w:r>
          </w:p>
        </w:tc>
      </w:tr>
    </w:tbl>
    <w:p w14:paraId="2681A63B" w14:textId="77777777" w:rsidR="008B1C85" w:rsidRDefault="008B1C85" w:rsidP="008B1C85">
      <w:pPr>
        <w:pStyle w:val="08Tablefootnotes"/>
      </w:pPr>
      <w:r>
        <w:t>Abbreviations: COPD, chronic obstructive pulmonary disease; NPV, negative predictive value; PICO, population, intervention, comparator, outcomes; PPV, positive predictive value.</w:t>
      </w:r>
    </w:p>
    <w:p w14:paraId="56D2FA1A" w14:textId="77777777" w:rsidR="008B1C85" w:rsidRDefault="008B1C85" w:rsidP="008B1C85">
      <w:pPr>
        <w:pStyle w:val="08Tablefootnotes"/>
      </w:pPr>
      <w:r>
        <w:t>Note 1: Spirometry may be used as a reference standard, which will impact on the interpretation of diagnostic accuracy.</w:t>
      </w:r>
    </w:p>
    <w:p w14:paraId="76D19B06" w14:textId="77777777" w:rsidR="008B1C85" w:rsidRPr="005150A4" w:rsidRDefault="008B1C85" w:rsidP="008B1C85">
      <w:pPr>
        <w:pStyle w:val="09Tablefootnoteslast-nostick"/>
        <w:spacing w:after="240"/>
      </w:pPr>
      <w:r>
        <w:t>Note 2: The review will include direct evidence for the impact of the diagnostic intervention on patient-relevant health outcomes. A linked evidence approach, which examines the impact of treatment for asthma or COPD on health outcomes, will not be used.</w:t>
      </w:r>
    </w:p>
    <w:p w14:paraId="62351E61" w14:textId="77777777" w:rsidR="008B1C85" w:rsidRDefault="008B1C85" w:rsidP="008B1C85">
      <w:r w:rsidRPr="005150A4">
        <w:t>Q2</w:t>
      </w:r>
      <w:r>
        <w:t>a</w:t>
      </w:r>
      <w:r w:rsidRPr="005150A4">
        <w:t>) In patients diagnosed with asthma or COPD, what is the clinica</w:t>
      </w:r>
      <w:r>
        <w:t>l utility of spirometry for assessing acute exacerbations</w:t>
      </w:r>
      <w:r w:rsidRPr="005150A4">
        <w:t>?</w:t>
      </w:r>
    </w:p>
    <w:p w14:paraId="2ADB49FA" w14:textId="77777777" w:rsidR="008B1C85" w:rsidRDefault="008B1C85" w:rsidP="008B1C85">
      <w:r w:rsidRPr="005150A4">
        <w:t>Q2</w:t>
      </w:r>
      <w:r>
        <w:t>b</w:t>
      </w:r>
      <w:r w:rsidRPr="005150A4">
        <w:t>) In patients diagnosed with asthma or COPD, what is the clinica</w:t>
      </w:r>
      <w:r>
        <w:t xml:space="preserve">l utility of spirometry for </w:t>
      </w:r>
      <w:r w:rsidRPr="005150A4">
        <w:t>long-term monitoring?</w:t>
      </w:r>
    </w:p>
    <w:p w14:paraId="39B1D463" w14:textId="329D5C74" w:rsidR="008B1C85" w:rsidRDefault="003771CF" w:rsidP="005C3A85">
      <w:pPr>
        <w:pStyle w:val="Appcaption"/>
      </w:pPr>
      <w:r>
        <w:t xml:space="preserve">Table </w:t>
      </w:r>
      <w:fldSimple w:instr=" SEQ Title \* ARABIC ">
        <w:r w:rsidR="00F2203C">
          <w:rPr>
            <w:noProof/>
          </w:rPr>
          <w:t>2</w:t>
        </w:r>
      </w:fldSimple>
      <w:r w:rsidR="00703523">
        <w:rPr>
          <w:noProof/>
        </w:rPr>
        <w:t xml:space="preserve"> </w:t>
      </w:r>
      <w:r w:rsidR="008B1C85">
        <w:t>PICO criteria for research question 2</w:t>
      </w:r>
    </w:p>
    <w:tbl>
      <w:tblPr>
        <w:tblStyle w:val="TableGrid"/>
        <w:tblW w:w="0" w:type="auto"/>
        <w:tblLook w:val="04A0" w:firstRow="1" w:lastRow="0" w:firstColumn="1" w:lastColumn="0" w:noHBand="0" w:noVBand="1"/>
        <w:tblDescription w:val="Appendix C table 2 list the population, intervention, comparator and outcome (PICO) criteria’s against the question ‘In patients diagnosed with asthma or COPD, what is the clinical utility of spirometry for assessing acute exacerbations and for long-term monitoring?’"/>
      </w:tblPr>
      <w:tblGrid>
        <w:gridCol w:w="3114"/>
        <w:gridCol w:w="1701"/>
        <w:gridCol w:w="1701"/>
        <w:gridCol w:w="2545"/>
      </w:tblGrid>
      <w:tr w:rsidR="008B1C85" w:rsidRPr="00D53234" w14:paraId="32FA6D0E" w14:textId="77777777" w:rsidTr="00FF6AB5">
        <w:trPr>
          <w:tblHeader/>
        </w:trPr>
        <w:tc>
          <w:tcPr>
            <w:tcW w:w="3114" w:type="dxa"/>
          </w:tcPr>
          <w:p w14:paraId="762DA843" w14:textId="77777777" w:rsidR="008B1C85" w:rsidRPr="00D53234" w:rsidRDefault="008B1C85" w:rsidP="00D53234">
            <w:pPr>
              <w:pStyle w:val="Tableheading"/>
            </w:pPr>
            <w:r w:rsidRPr="00D53234">
              <w:t>Population</w:t>
            </w:r>
          </w:p>
        </w:tc>
        <w:tc>
          <w:tcPr>
            <w:tcW w:w="1701" w:type="dxa"/>
          </w:tcPr>
          <w:p w14:paraId="509D0B6C" w14:textId="77777777" w:rsidR="008B1C85" w:rsidRPr="00D53234" w:rsidRDefault="008B1C85" w:rsidP="00D53234">
            <w:pPr>
              <w:pStyle w:val="Tableheading"/>
            </w:pPr>
            <w:r w:rsidRPr="00D53234">
              <w:t>Intervention</w:t>
            </w:r>
          </w:p>
        </w:tc>
        <w:tc>
          <w:tcPr>
            <w:tcW w:w="1701" w:type="dxa"/>
          </w:tcPr>
          <w:p w14:paraId="33CC1C74" w14:textId="77777777" w:rsidR="008B1C85" w:rsidRPr="00D53234" w:rsidRDefault="008B1C85" w:rsidP="00D53234">
            <w:pPr>
              <w:pStyle w:val="Tableheading"/>
            </w:pPr>
            <w:r w:rsidRPr="00D53234">
              <w:t>Comparator</w:t>
            </w:r>
          </w:p>
        </w:tc>
        <w:tc>
          <w:tcPr>
            <w:tcW w:w="2545" w:type="dxa"/>
          </w:tcPr>
          <w:p w14:paraId="386C6F66" w14:textId="77777777" w:rsidR="008B1C85" w:rsidRPr="00D53234" w:rsidRDefault="008B1C85" w:rsidP="00D53234">
            <w:pPr>
              <w:pStyle w:val="Tableheading"/>
            </w:pPr>
            <w:r w:rsidRPr="00D53234">
              <w:t>Outcomes</w:t>
            </w:r>
          </w:p>
        </w:tc>
      </w:tr>
      <w:tr w:rsidR="008B1C85" w:rsidRPr="002137E6" w14:paraId="72950D40" w14:textId="77777777" w:rsidTr="008B1C85">
        <w:tc>
          <w:tcPr>
            <w:tcW w:w="3114" w:type="dxa"/>
          </w:tcPr>
          <w:p w14:paraId="4C367320" w14:textId="77777777" w:rsidR="008B1C85" w:rsidRPr="002137E6" w:rsidRDefault="008B1C85" w:rsidP="008B1C85">
            <w:pPr>
              <w:pStyle w:val="Tabletext"/>
              <w:rPr>
                <w:rFonts w:cstheme="minorHAnsi"/>
              </w:rPr>
            </w:pPr>
            <w:r w:rsidRPr="002137E6">
              <w:rPr>
                <w:rFonts w:cstheme="minorHAnsi"/>
              </w:rPr>
              <w:t>Patients with a diagnosis of:</w:t>
            </w:r>
          </w:p>
          <w:p w14:paraId="5FEB5F93" w14:textId="77777777" w:rsidR="008B1C85" w:rsidRPr="002137E6" w:rsidRDefault="008B1C85" w:rsidP="00661151">
            <w:pPr>
              <w:pStyle w:val="Tablebullet"/>
            </w:pPr>
            <w:r w:rsidRPr="002137E6">
              <w:t>asthma</w:t>
            </w:r>
          </w:p>
          <w:p w14:paraId="63BE7925" w14:textId="77777777" w:rsidR="008B1C85" w:rsidRPr="002137E6" w:rsidRDefault="008B1C85" w:rsidP="00661151">
            <w:pPr>
              <w:pStyle w:val="Tablebullet"/>
            </w:pPr>
            <w:r w:rsidRPr="002137E6">
              <w:t>COPD</w:t>
            </w:r>
          </w:p>
          <w:p w14:paraId="1D3A6C1E" w14:textId="77777777" w:rsidR="008B1C85" w:rsidRPr="002137E6" w:rsidRDefault="008B1C85" w:rsidP="00F86B7D">
            <w:pPr>
              <w:pStyle w:val="Tabletext"/>
            </w:pPr>
            <w:r w:rsidRPr="002137E6">
              <w:t xml:space="preserve">Stratify </w:t>
            </w:r>
            <w:r w:rsidRPr="00F86B7D">
              <w:t>by</w:t>
            </w:r>
            <w:r w:rsidRPr="002137E6">
              <w:t xml:space="preserve"> age:</w:t>
            </w:r>
          </w:p>
          <w:p w14:paraId="65526F0C" w14:textId="77777777" w:rsidR="008B1C85" w:rsidRPr="002137E6" w:rsidRDefault="008B1C85" w:rsidP="00661151">
            <w:pPr>
              <w:pStyle w:val="Tablebullet"/>
            </w:pPr>
            <w:r w:rsidRPr="002137E6">
              <w:t>paediatric</w:t>
            </w:r>
          </w:p>
          <w:p w14:paraId="267B0963" w14:textId="77777777" w:rsidR="008B1C85" w:rsidRPr="002137E6" w:rsidRDefault="008B1C85" w:rsidP="00661151">
            <w:pPr>
              <w:pStyle w:val="Tablebullet"/>
            </w:pPr>
            <w:r w:rsidRPr="002137E6">
              <w:t>adult</w:t>
            </w:r>
          </w:p>
          <w:p w14:paraId="5923CF43" w14:textId="77777777" w:rsidR="008B1C85" w:rsidRPr="002137E6" w:rsidRDefault="008B1C85" w:rsidP="00661151">
            <w:pPr>
              <w:pStyle w:val="Tablebullet"/>
            </w:pPr>
            <w:r w:rsidRPr="002137E6">
              <w:t>geriatric</w:t>
            </w:r>
          </w:p>
        </w:tc>
        <w:tc>
          <w:tcPr>
            <w:tcW w:w="1701" w:type="dxa"/>
          </w:tcPr>
          <w:p w14:paraId="4DD3354D" w14:textId="77777777" w:rsidR="008B1C85" w:rsidRPr="002137E6" w:rsidRDefault="008B1C85" w:rsidP="008B1C85">
            <w:pPr>
              <w:pStyle w:val="Tabletext"/>
              <w:rPr>
                <w:rFonts w:cstheme="minorHAnsi"/>
              </w:rPr>
            </w:pPr>
            <w:r w:rsidRPr="002137E6">
              <w:rPr>
                <w:rFonts w:cstheme="minorHAnsi"/>
              </w:rPr>
              <w:t>Spirometry</w:t>
            </w:r>
          </w:p>
          <w:p w14:paraId="3AB09D65" w14:textId="77777777" w:rsidR="008B1C85" w:rsidRPr="002137E6" w:rsidRDefault="008B1C85" w:rsidP="00661151">
            <w:pPr>
              <w:pStyle w:val="Tablebullet"/>
            </w:pPr>
            <w:r w:rsidRPr="002137E6">
              <w:t>with reversibility testing (pre AND post)</w:t>
            </w:r>
          </w:p>
          <w:p w14:paraId="2492FE0A" w14:textId="77777777" w:rsidR="008B1C85" w:rsidRPr="002137E6" w:rsidRDefault="008B1C85" w:rsidP="00661151">
            <w:pPr>
              <w:pStyle w:val="Tablebullet"/>
            </w:pPr>
            <w:r w:rsidRPr="002137E6">
              <w:t>without reversibility testing (pre OR post)</w:t>
            </w:r>
          </w:p>
        </w:tc>
        <w:tc>
          <w:tcPr>
            <w:tcW w:w="1701" w:type="dxa"/>
          </w:tcPr>
          <w:p w14:paraId="36289103" w14:textId="77777777" w:rsidR="008B1C85" w:rsidRPr="002137E6" w:rsidRDefault="008B1C85" w:rsidP="008B1C85">
            <w:pPr>
              <w:pStyle w:val="Tabletext"/>
              <w:rPr>
                <w:rFonts w:cstheme="minorHAnsi"/>
              </w:rPr>
            </w:pPr>
            <w:r w:rsidRPr="002137E6">
              <w:rPr>
                <w:rFonts w:cstheme="minorHAnsi"/>
              </w:rPr>
              <w:t xml:space="preserve">No </w:t>
            </w:r>
            <w:r w:rsidRPr="00661151">
              <w:t>spirometry (clinical assessment</w:t>
            </w:r>
            <w:r w:rsidRPr="002137E6">
              <w:rPr>
                <w:rFonts w:cstheme="minorHAnsi"/>
              </w:rPr>
              <w:t>)</w:t>
            </w:r>
          </w:p>
        </w:tc>
        <w:tc>
          <w:tcPr>
            <w:tcW w:w="2545" w:type="dxa"/>
          </w:tcPr>
          <w:p w14:paraId="4D4FEF97" w14:textId="77777777" w:rsidR="008B1C85" w:rsidRPr="00661151" w:rsidRDefault="008B1C85" w:rsidP="00661151">
            <w:pPr>
              <w:pStyle w:val="Tablebullet"/>
            </w:pPr>
            <w:r w:rsidRPr="00661151">
              <w:t>Quality of life</w:t>
            </w:r>
          </w:p>
          <w:p w14:paraId="0EA742FC" w14:textId="77777777" w:rsidR="008B1C85" w:rsidRPr="00661151" w:rsidRDefault="008B1C85" w:rsidP="00661151">
            <w:pPr>
              <w:pStyle w:val="Tablebullet"/>
            </w:pPr>
            <w:r w:rsidRPr="00661151">
              <w:t>Respiratory symptoms</w:t>
            </w:r>
          </w:p>
          <w:p w14:paraId="41C169D4" w14:textId="77777777" w:rsidR="008B1C85" w:rsidRPr="00661151" w:rsidRDefault="008B1C85" w:rsidP="00661151">
            <w:pPr>
              <w:pStyle w:val="Tablebullet"/>
            </w:pPr>
            <w:r w:rsidRPr="00661151">
              <w:t>Frequency and severity of exacerbations</w:t>
            </w:r>
          </w:p>
          <w:p w14:paraId="3405D145" w14:textId="77777777" w:rsidR="008B1C85" w:rsidRPr="00661151" w:rsidRDefault="008B1C85" w:rsidP="00661151">
            <w:pPr>
              <w:pStyle w:val="Tablebullet"/>
            </w:pPr>
            <w:r w:rsidRPr="00661151">
              <w:t>Compliance</w:t>
            </w:r>
          </w:p>
          <w:p w14:paraId="5E3A0314" w14:textId="77777777" w:rsidR="008B1C85" w:rsidRPr="002137E6" w:rsidRDefault="008B1C85" w:rsidP="00661151">
            <w:pPr>
              <w:pStyle w:val="Tablebullet"/>
            </w:pPr>
            <w:r w:rsidRPr="00661151">
              <w:t>Healthcare</w:t>
            </w:r>
            <w:r w:rsidRPr="002137E6">
              <w:t xml:space="preserve"> service use</w:t>
            </w:r>
          </w:p>
        </w:tc>
      </w:tr>
    </w:tbl>
    <w:p w14:paraId="5B2A3B2C" w14:textId="77777777" w:rsidR="008B1C85" w:rsidRDefault="008B1C85" w:rsidP="008B1C85">
      <w:pPr>
        <w:pStyle w:val="09Tablefootnoteslast-nostick"/>
        <w:spacing w:after="240"/>
      </w:pPr>
      <w:r>
        <w:t xml:space="preserve">Abbreviations: COPD, chronic obstructive pulmonary disease; </w:t>
      </w:r>
      <w:r w:rsidRPr="00D46811">
        <w:t>PICO, population, intervention, comparator, outcomes</w:t>
      </w:r>
      <w:r>
        <w:t>.</w:t>
      </w:r>
    </w:p>
    <w:p w14:paraId="7E2CE89D" w14:textId="77777777" w:rsidR="008B1C85" w:rsidRDefault="008B1C85" w:rsidP="008B1C85">
      <w:r>
        <w:t>Q3) What is the published evidence for the cost-effectiveness of spirometry for the diagnosis of people presenting with respiratory symptoms?</w:t>
      </w:r>
    </w:p>
    <w:p w14:paraId="1BE4C2E0" w14:textId="77777777" w:rsidR="008B1C85" w:rsidRDefault="008B1C85" w:rsidP="008B1C85">
      <w:r>
        <w:t>Q4) What is the evidence that an increase in spirometry service fees (a) increases the number of accurate diagnoses of asthma or COPD in people presenting with respiratory symptoms, and (b) improves health outcomes?</w:t>
      </w:r>
    </w:p>
    <w:p w14:paraId="3214DE52" w14:textId="77777777" w:rsidR="008B1C85" w:rsidRDefault="008B1C85" w:rsidP="008B1C85">
      <w:r>
        <w:lastRenderedPageBreak/>
        <w:t>Q5) What is the evidence that financial incentives for performing spirometry over and above a fee for service (a) increases the number of accurate diagnoses of asthma or COPD in people presenting with respiratory symptoms, and (b) improves health outcomes?</w:t>
      </w:r>
    </w:p>
    <w:p w14:paraId="65A1CC8C" w14:textId="77777777" w:rsidR="008B1C85" w:rsidRPr="005150A4" w:rsidRDefault="008B1C85" w:rsidP="008B1C85">
      <w:r>
        <w:t>Q6) What is the evidence that introduction of an outcome based payment model that links provider payment to accurate diagnosis of asthma or COPD (a) increases the number of accurate diagnoses of asthma or COPD in people presenting with respiratory symptoms, and (b) improves health outcomes?</w:t>
      </w:r>
    </w:p>
    <w:p w14:paraId="0B31121F" w14:textId="77777777" w:rsidR="008B1C85" w:rsidRDefault="00637E38" w:rsidP="008B1C85">
      <w:pPr>
        <w:pStyle w:val="AttHeading2"/>
      </w:pPr>
      <w:bookmarkStart w:id="359" w:name="_Toc456613611"/>
      <w:r>
        <w:t xml:space="preserve">2.2 </w:t>
      </w:r>
      <w:r w:rsidR="008B1C85">
        <w:t>Research Methods</w:t>
      </w:r>
      <w:bookmarkEnd w:id="359"/>
    </w:p>
    <w:p w14:paraId="7490DB04" w14:textId="77777777" w:rsidR="008B1C85" w:rsidRPr="007D7EA0" w:rsidRDefault="00637E38" w:rsidP="008B1C85">
      <w:pPr>
        <w:pStyle w:val="AttHeading3"/>
      </w:pPr>
      <w:r>
        <w:t xml:space="preserve">2.2.1 </w:t>
      </w:r>
      <w:r w:rsidR="008B1C85">
        <w:t>Literature Search</w:t>
      </w:r>
    </w:p>
    <w:p w14:paraId="742F2BA6" w14:textId="77777777" w:rsidR="008B1C85" w:rsidRPr="00C30EF8" w:rsidRDefault="008B1C85" w:rsidP="008B1C85">
      <w:r w:rsidRPr="00C30EF8">
        <w:t>A literature search was performed on 12</w:t>
      </w:r>
      <w:r w:rsidRPr="00C30EF8">
        <w:rPr>
          <w:vertAlign w:val="superscript"/>
        </w:rPr>
        <w:t>th</w:t>
      </w:r>
      <w:r w:rsidRPr="00C30EF8">
        <w:t xml:space="preserve"> January 2016, using MEDLINE and the Cochrane Library, to identify studies published from 2005 onwards that address the research questions shown in Section</w:t>
      </w:r>
      <w:r w:rsidR="00637E38">
        <w:t xml:space="preserve"> 2.1</w:t>
      </w:r>
      <w:r w:rsidRPr="00C30EF8">
        <w:t>. The search strategy is shown in</w:t>
      </w:r>
      <w:r w:rsidR="005E328F">
        <w:t xml:space="preserve"> Appendix 4</w:t>
      </w:r>
      <w:r w:rsidRPr="00C30EF8">
        <w:t>. Abstracts were reviewed by a single reviewer and, for those studies meeting the eligibility criteria, full-text articles were obtained. Reference lists were also examined for any additional relevant studies not identified through the search.</w:t>
      </w:r>
    </w:p>
    <w:p w14:paraId="50AA819B" w14:textId="77777777" w:rsidR="008B1C85" w:rsidRPr="00C30EF8" w:rsidRDefault="008B1C85" w:rsidP="008B1C85">
      <w:r w:rsidRPr="00C30EF8">
        <w:t>In addition, the following databases were searched on 12</w:t>
      </w:r>
      <w:r w:rsidRPr="00C30EF8">
        <w:rPr>
          <w:vertAlign w:val="superscript"/>
        </w:rPr>
        <w:t>th</w:t>
      </w:r>
      <w:r w:rsidRPr="00C30EF8">
        <w:t xml:space="preserve"> January 2016 to identify relevant clinical practice guidelines (CPGs): Guidelines International Network (G-I-N), Agency for Healthcare Research and Quality (AHRQ) National Guidelines Clearinghouse, and the Australian Clinical Practice Guidelines Portal.</w:t>
      </w:r>
    </w:p>
    <w:p w14:paraId="383AEC5A" w14:textId="000D1E00" w:rsidR="008B1C85" w:rsidRPr="00C30EF8" w:rsidRDefault="008B1C85" w:rsidP="008B1C85">
      <w:r w:rsidRPr="00C30EF8">
        <w:t>A targeted search of the websites of health technology assessment (HTA) agencies and other relevant groups and societies was also undertaken on 12</w:t>
      </w:r>
      <w:r w:rsidRPr="00C30EF8">
        <w:rPr>
          <w:vertAlign w:val="superscript"/>
        </w:rPr>
        <w:t>th</w:t>
      </w:r>
      <w:r w:rsidRPr="00C30EF8">
        <w:t xml:space="preserve"> January 2016. </w:t>
      </w:r>
      <w:r w:rsidRPr="00C30EF8">
        <w:fldChar w:fldCharType="begin"/>
      </w:r>
      <w:r w:rsidRPr="00C30EF8">
        <w:instrText xml:space="preserve"> REF _Ref442799114 \n \h </w:instrText>
      </w:r>
      <w:r>
        <w:instrText xml:space="preserve"> \* MERGEFORMAT </w:instrText>
      </w:r>
      <w:r w:rsidRPr="00C30EF8">
        <w:fldChar w:fldCharType="separate"/>
      </w:r>
      <w:r w:rsidR="00F2203C">
        <w:t>0</w:t>
      </w:r>
      <w:r w:rsidRPr="00C30EF8">
        <w:fldChar w:fldCharType="end"/>
      </w:r>
      <w:r w:rsidRPr="00C30EF8">
        <w:t xml:space="preserve"> lists the websites that were searched.</w:t>
      </w:r>
    </w:p>
    <w:p w14:paraId="478A18C1" w14:textId="77777777" w:rsidR="008B1C85" w:rsidRPr="00C30EF8" w:rsidRDefault="008B1C85" w:rsidP="008B1C85">
      <w:r w:rsidRPr="00C30EF8">
        <w:t>For the research questions that relate to financial incentives for spirometry, additional searches were conducted of government websites in an attempt to identify any relevant reports available in the public domain.</w:t>
      </w:r>
    </w:p>
    <w:p w14:paraId="17E478B6" w14:textId="77777777" w:rsidR="008B1C85" w:rsidRDefault="00637E38" w:rsidP="008B1C85">
      <w:pPr>
        <w:pStyle w:val="AttHeading3"/>
      </w:pPr>
      <w:r>
        <w:t xml:space="preserve">2.2.2 </w:t>
      </w:r>
      <w:r w:rsidR="008B1C85">
        <w:t>Inclusion Criteria</w:t>
      </w:r>
    </w:p>
    <w:p w14:paraId="32F7945E" w14:textId="77777777" w:rsidR="008B1C85" w:rsidRPr="00C30EF8" w:rsidRDefault="008B1C85" w:rsidP="008B1C85">
      <w:r w:rsidRPr="00C30EF8">
        <w:t>Systematic reviews, meta-analyses, HTAs and CPGs were included if they fulfilled the following criteria:</w:t>
      </w:r>
    </w:p>
    <w:p w14:paraId="5F03A11B" w14:textId="77777777" w:rsidR="008B1C85" w:rsidRPr="00C30EF8" w:rsidRDefault="008B1C85" w:rsidP="00EE3CFE">
      <w:pPr>
        <w:pStyle w:val="NormalBulleted"/>
        <w:numPr>
          <w:ilvl w:val="0"/>
          <w:numId w:val="45"/>
        </w:numPr>
      </w:pPr>
      <w:r w:rsidRPr="00C30EF8">
        <w:t>English-language full publication;</w:t>
      </w:r>
    </w:p>
    <w:p w14:paraId="2948632C" w14:textId="77777777" w:rsidR="008B1C85" w:rsidRPr="00C30EF8" w:rsidRDefault="008B1C85" w:rsidP="00EE3CFE">
      <w:pPr>
        <w:pStyle w:val="NormalBulleted"/>
        <w:numPr>
          <w:ilvl w:val="0"/>
          <w:numId w:val="45"/>
        </w:numPr>
      </w:pPr>
      <w:r w:rsidRPr="00C30EF8">
        <w:t>published between 1</w:t>
      </w:r>
      <w:r w:rsidRPr="000F3D82">
        <w:rPr>
          <w:vertAlign w:val="superscript"/>
        </w:rPr>
        <w:t>st</w:t>
      </w:r>
      <w:r w:rsidRPr="00C30EF8">
        <w:t xml:space="preserve"> January 2005 and 12</w:t>
      </w:r>
      <w:r w:rsidRPr="000F3D82">
        <w:rPr>
          <w:vertAlign w:val="superscript"/>
        </w:rPr>
        <w:t>th</w:t>
      </w:r>
      <w:r w:rsidRPr="00C30EF8">
        <w:t xml:space="preserve"> January 2016;</w:t>
      </w:r>
    </w:p>
    <w:p w14:paraId="59116B12" w14:textId="77777777" w:rsidR="008B1C85" w:rsidRPr="00C30EF8" w:rsidRDefault="008B1C85" w:rsidP="00EE3CFE">
      <w:pPr>
        <w:pStyle w:val="NormalBulleted"/>
        <w:numPr>
          <w:ilvl w:val="0"/>
          <w:numId w:val="45"/>
        </w:numPr>
      </w:pPr>
      <w:r w:rsidRPr="00C30EF8">
        <w:t>focused on patients diagnosed with, or presenting with symptoms suggestive of, asthma, COPD or other causes of airflow limitation; and</w:t>
      </w:r>
    </w:p>
    <w:p w14:paraId="0C457473" w14:textId="77777777" w:rsidR="008B1C85" w:rsidRPr="00C30EF8" w:rsidRDefault="008B1C85" w:rsidP="00EE3CFE">
      <w:pPr>
        <w:pStyle w:val="NormalBulleted"/>
        <w:numPr>
          <w:ilvl w:val="0"/>
          <w:numId w:val="45"/>
        </w:numPr>
      </w:pPr>
      <w:r w:rsidRPr="00C30EF8">
        <w:t>provided assessment of, or guidance relating to, the use of spirometry for diagnosis, assessment of acute exacerbations, or long-term monitoring.</w:t>
      </w:r>
    </w:p>
    <w:p w14:paraId="5F910A43" w14:textId="77777777" w:rsidR="008B1C85" w:rsidRDefault="00637E38" w:rsidP="008B1C85">
      <w:pPr>
        <w:pStyle w:val="AttHeading3"/>
      </w:pPr>
      <w:r>
        <w:t xml:space="preserve">2.2.3 </w:t>
      </w:r>
      <w:r w:rsidR="008B1C85">
        <w:t>Exclusion Criteria</w:t>
      </w:r>
    </w:p>
    <w:p w14:paraId="5A4385CE" w14:textId="77777777" w:rsidR="008B1C85" w:rsidRPr="00C30EF8" w:rsidRDefault="008B1C85" w:rsidP="008B1C85">
      <w:r w:rsidRPr="00C30EF8">
        <w:t>The following exclusion criteria were applied:</w:t>
      </w:r>
    </w:p>
    <w:p w14:paraId="6B710507" w14:textId="77777777" w:rsidR="008B1C85" w:rsidRPr="00C30EF8" w:rsidRDefault="008B1C85" w:rsidP="00EE3CFE">
      <w:pPr>
        <w:pStyle w:val="NormalBulleted"/>
        <w:numPr>
          <w:ilvl w:val="0"/>
          <w:numId w:val="45"/>
        </w:numPr>
      </w:pPr>
      <w:r w:rsidRPr="00C30EF8">
        <w:t>original (primary) studies, narrative reviews, editorials, conference abstracts;</w:t>
      </w:r>
    </w:p>
    <w:p w14:paraId="69DACB89" w14:textId="77777777" w:rsidR="008B1C85" w:rsidRPr="00C30EF8" w:rsidRDefault="008B1C85" w:rsidP="00EE3CFE">
      <w:pPr>
        <w:pStyle w:val="NormalBulleted"/>
        <w:numPr>
          <w:ilvl w:val="0"/>
          <w:numId w:val="45"/>
        </w:numPr>
      </w:pPr>
      <w:r w:rsidRPr="00C30EF8">
        <w:lastRenderedPageBreak/>
        <w:t>spirometry for screening rather than diagnosis or monitoring;</w:t>
      </w:r>
    </w:p>
    <w:p w14:paraId="09BF397D" w14:textId="77777777" w:rsidR="008B1C85" w:rsidRPr="00C30EF8" w:rsidRDefault="008B1C85" w:rsidP="00EE3CFE">
      <w:pPr>
        <w:pStyle w:val="NormalBulleted"/>
        <w:numPr>
          <w:ilvl w:val="0"/>
          <w:numId w:val="45"/>
        </w:numPr>
      </w:pPr>
      <w:r w:rsidRPr="00C30EF8">
        <w:t xml:space="preserve">studies reporting diagnostic yield only; </w:t>
      </w:r>
    </w:p>
    <w:p w14:paraId="080D2769" w14:textId="77777777" w:rsidR="008B1C85" w:rsidRDefault="008B1C85" w:rsidP="00EE3CFE">
      <w:pPr>
        <w:pStyle w:val="NormalBulleted"/>
        <w:numPr>
          <w:ilvl w:val="0"/>
          <w:numId w:val="45"/>
        </w:numPr>
      </w:pPr>
      <w:r w:rsidRPr="00C30EF8">
        <w:t>studies reporting outcomes not relevant to the research questions</w:t>
      </w:r>
      <w:r>
        <w:t>.</w:t>
      </w:r>
    </w:p>
    <w:p w14:paraId="7BADA70E" w14:textId="77777777" w:rsidR="008B1C85" w:rsidRDefault="00637E38" w:rsidP="008B1C85">
      <w:pPr>
        <w:pStyle w:val="AttHeading3"/>
      </w:pPr>
      <w:r>
        <w:t xml:space="preserve">2.2.4 </w:t>
      </w:r>
      <w:r w:rsidR="008B1C85">
        <w:t>Outcomes of Interest</w:t>
      </w:r>
    </w:p>
    <w:p w14:paraId="4FEEC1F7" w14:textId="77777777" w:rsidR="008B1C85" w:rsidRPr="00C30EF8" w:rsidRDefault="008B1C85" w:rsidP="008B1C85">
      <w:r w:rsidRPr="00C30EF8">
        <w:t xml:space="preserve">The outcomes of interest related to diagnostic accuracy, patient health outcomes, and cost-effectiveness, as per the research questions and PICO criteria shown in Section </w:t>
      </w:r>
      <w:r w:rsidR="00637E38">
        <w:t>2.1</w:t>
      </w:r>
      <w:r w:rsidRPr="00C30EF8">
        <w:t>.</w:t>
      </w:r>
    </w:p>
    <w:p w14:paraId="15940091" w14:textId="77777777" w:rsidR="008B1C85" w:rsidRDefault="00637E38" w:rsidP="008B1C85">
      <w:pPr>
        <w:pStyle w:val="AttHeading2"/>
      </w:pPr>
      <w:bookmarkStart w:id="360" w:name="_Toc456613612"/>
      <w:r>
        <w:t xml:space="preserve">2.3 </w:t>
      </w:r>
      <w:r w:rsidR="008B1C85">
        <w:t>Results of Literature Search</w:t>
      </w:r>
      <w:bookmarkEnd w:id="360"/>
    </w:p>
    <w:p w14:paraId="69E67A5D" w14:textId="77777777" w:rsidR="008B1C85" w:rsidRDefault="00637E38" w:rsidP="008B1C85">
      <w:pPr>
        <w:pStyle w:val="AttHeading3"/>
      </w:pPr>
      <w:r>
        <w:t xml:space="preserve">2.3.1 </w:t>
      </w:r>
      <w:r w:rsidR="008B1C85">
        <w:t>Systematic Reviews and Meta-analyses</w:t>
      </w:r>
    </w:p>
    <w:p w14:paraId="49F12AC2" w14:textId="77777777" w:rsidR="008B1C85" w:rsidRPr="00881BDB" w:rsidRDefault="008B1C85" w:rsidP="00B83773">
      <w:r w:rsidRPr="00881BDB">
        <w:t>The searches of MEDLINE and the Cochrane Library yielded 282 citations published between 1</w:t>
      </w:r>
      <w:r w:rsidRPr="00881BDB">
        <w:rPr>
          <w:vertAlign w:val="superscript"/>
        </w:rPr>
        <w:t>st</w:t>
      </w:r>
      <w:r w:rsidRPr="00881BDB">
        <w:t xml:space="preserve"> January 2005 and 12</w:t>
      </w:r>
      <w:r w:rsidRPr="00881BDB">
        <w:rPr>
          <w:vertAlign w:val="superscript"/>
        </w:rPr>
        <w:t>th</w:t>
      </w:r>
      <w:r w:rsidRPr="00881BDB">
        <w:t xml:space="preserve"> January 2016. After a review of titles and abstracts, 244 citations were excluded and 24 articles (10 of which were CPGs) were obtained for a review of the full text. An additional two systematic reviews were identified through a search of relevant websites and the ‘grey’ literature.</w:t>
      </w:r>
    </w:p>
    <w:p w14:paraId="440240AC" w14:textId="77777777" w:rsidR="008B1C85" w:rsidRPr="00881BDB" w:rsidRDefault="008B1C85" w:rsidP="00B83773">
      <w:r w:rsidRPr="00881BDB">
        <w:t xml:space="preserve">After full text review, no standalone systematic reviews, meta-analyses or HTAs were identified that fully addressed the research questions shown in Section </w:t>
      </w:r>
      <w:r w:rsidR="00637E38">
        <w:t>2.1</w:t>
      </w:r>
      <w:r w:rsidRPr="00881BDB">
        <w:t xml:space="preserve">. However, one HTA and four systematic reviews were identified that partially address the research questions, or attempted to address similar research questions. These studies are listed in </w:t>
      </w:r>
      <w:r w:rsidR="003771CF">
        <w:t>Table 3</w:t>
      </w:r>
      <w:r w:rsidRPr="00881BDB">
        <w:t xml:space="preserve">, together with an overall AMSTAR quality assessment score (see </w:t>
      </w:r>
      <w:r w:rsidR="005E328F">
        <w:t>Appendix 5</w:t>
      </w:r>
      <w:r w:rsidRPr="00881BDB">
        <w:t>).</w:t>
      </w:r>
    </w:p>
    <w:p w14:paraId="2577EB6A" w14:textId="39614FC8" w:rsidR="008B1C85" w:rsidRDefault="003771CF" w:rsidP="005C3A85">
      <w:pPr>
        <w:pStyle w:val="Appcaption"/>
      </w:pPr>
      <w:r>
        <w:t xml:space="preserve">Table </w:t>
      </w:r>
      <w:fldSimple w:instr=" SEQ Title \* ARABIC ">
        <w:r w:rsidR="00F2203C">
          <w:rPr>
            <w:noProof/>
          </w:rPr>
          <w:t>3</w:t>
        </w:r>
      </w:fldSimple>
      <w:r>
        <w:rPr>
          <w:noProof/>
        </w:rPr>
        <w:t xml:space="preserve"> </w:t>
      </w:r>
      <w:r w:rsidR="008B1C85">
        <w:t>List of included systematic reviews and HTAs</w:t>
      </w:r>
    </w:p>
    <w:tbl>
      <w:tblPr>
        <w:tblStyle w:val="TableGrid"/>
        <w:tblW w:w="5000" w:type="pct"/>
        <w:tblLook w:val="04A0" w:firstRow="1" w:lastRow="0" w:firstColumn="1" w:lastColumn="0" w:noHBand="0" w:noVBand="1"/>
        <w:tblDescription w:val="Appendix C table 3 shows a list of systematic reviews and the Health Technology Assessment(HTA).  This table contains 3 heading columns: 1.the study ID, 2.Commissioning body 3. title, and Assessment of Multiple Systematic Reviews (AMSTAR) scores."/>
      </w:tblPr>
      <w:tblGrid>
        <w:gridCol w:w="1393"/>
        <w:gridCol w:w="1479"/>
        <w:gridCol w:w="4798"/>
        <w:gridCol w:w="1391"/>
      </w:tblGrid>
      <w:tr w:rsidR="008B1C85" w14:paraId="7C9C43FF" w14:textId="77777777" w:rsidTr="00FF6AB5">
        <w:trPr>
          <w:tblHeader/>
        </w:trPr>
        <w:tc>
          <w:tcPr>
            <w:tcW w:w="780" w:type="pct"/>
            <w:tcBorders>
              <w:top w:val="single" w:sz="4" w:space="0" w:color="auto"/>
              <w:left w:val="single" w:sz="4" w:space="0" w:color="auto"/>
              <w:bottom w:val="single" w:sz="4" w:space="0" w:color="auto"/>
              <w:right w:val="single" w:sz="4" w:space="0" w:color="auto"/>
            </w:tcBorders>
          </w:tcPr>
          <w:p w14:paraId="048F0EB0" w14:textId="77777777" w:rsidR="008B1C85" w:rsidRPr="001E558F" w:rsidRDefault="008B1C85" w:rsidP="00661151">
            <w:pPr>
              <w:pStyle w:val="Tableheading"/>
            </w:pPr>
            <w:r w:rsidRPr="001E558F">
              <w:t>Study ID</w:t>
            </w:r>
          </w:p>
        </w:tc>
        <w:tc>
          <w:tcPr>
            <w:tcW w:w="782" w:type="pct"/>
            <w:tcBorders>
              <w:top w:val="single" w:sz="4" w:space="0" w:color="auto"/>
              <w:left w:val="single" w:sz="4" w:space="0" w:color="auto"/>
              <w:bottom w:val="single" w:sz="4" w:space="0" w:color="auto"/>
              <w:right w:val="single" w:sz="4" w:space="0" w:color="auto"/>
            </w:tcBorders>
          </w:tcPr>
          <w:p w14:paraId="7F332CDB" w14:textId="77777777" w:rsidR="008B1C85" w:rsidRPr="001E558F" w:rsidRDefault="008B1C85" w:rsidP="00661151">
            <w:pPr>
              <w:pStyle w:val="Tableheading"/>
            </w:pPr>
            <w:r w:rsidRPr="001E558F">
              <w:t>Commissioning body</w:t>
            </w:r>
          </w:p>
        </w:tc>
        <w:tc>
          <w:tcPr>
            <w:tcW w:w="2659" w:type="pct"/>
            <w:tcBorders>
              <w:top w:val="single" w:sz="4" w:space="0" w:color="auto"/>
              <w:left w:val="single" w:sz="4" w:space="0" w:color="auto"/>
              <w:bottom w:val="single" w:sz="4" w:space="0" w:color="auto"/>
              <w:right w:val="single" w:sz="4" w:space="0" w:color="auto"/>
            </w:tcBorders>
          </w:tcPr>
          <w:p w14:paraId="694CD33A" w14:textId="77777777" w:rsidR="008B1C85" w:rsidRPr="001E558F" w:rsidRDefault="008B1C85" w:rsidP="00661151">
            <w:pPr>
              <w:pStyle w:val="Tableheading"/>
            </w:pPr>
            <w:r w:rsidRPr="001E558F">
              <w:t>Title</w:t>
            </w:r>
          </w:p>
        </w:tc>
        <w:tc>
          <w:tcPr>
            <w:tcW w:w="779" w:type="pct"/>
            <w:tcBorders>
              <w:top w:val="single" w:sz="4" w:space="0" w:color="auto"/>
              <w:left w:val="single" w:sz="4" w:space="0" w:color="auto"/>
              <w:bottom w:val="single" w:sz="4" w:space="0" w:color="auto"/>
              <w:right w:val="single" w:sz="4" w:space="0" w:color="auto"/>
            </w:tcBorders>
          </w:tcPr>
          <w:p w14:paraId="43505A12" w14:textId="77777777" w:rsidR="008B1C85" w:rsidRPr="001E558F" w:rsidRDefault="008B1C85" w:rsidP="00661151">
            <w:pPr>
              <w:pStyle w:val="Tableheading"/>
            </w:pPr>
            <w:r w:rsidRPr="001E558F">
              <w:t>Overall AMSTAR score</w:t>
            </w:r>
            <w:r w:rsidRPr="001E558F">
              <w:rPr>
                <w:vertAlign w:val="superscript"/>
              </w:rPr>
              <w:t>a</w:t>
            </w:r>
          </w:p>
        </w:tc>
      </w:tr>
      <w:tr w:rsidR="008B1C85" w14:paraId="3800DAFE" w14:textId="77777777" w:rsidTr="008B1C85">
        <w:tc>
          <w:tcPr>
            <w:tcW w:w="780" w:type="pct"/>
            <w:tcBorders>
              <w:top w:val="single" w:sz="4" w:space="0" w:color="auto"/>
              <w:left w:val="single" w:sz="4" w:space="0" w:color="auto"/>
              <w:bottom w:val="single" w:sz="4" w:space="0" w:color="auto"/>
              <w:right w:val="single" w:sz="4" w:space="0" w:color="auto"/>
            </w:tcBorders>
          </w:tcPr>
          <w:p w14:paraId="11E97737" w14:textId="77777777" w:rsidR="008B1C85" w:rsidRDefault="008B1C85" w:rsidP="008B1C85">
            <w:pPr>
              <w:pStyle w:val="Tabletext"/>
            </w:pPr>
            <w:r>
              <w:t>Cranston et al (2006)</w:t>
            </w:r>
          </w:p>
        </w:tc>
        <w:tc>
          <w:tcPr>
            <w:tcW w:w="782" w:type="pct"/>
            <w:tcBorders>
              <w:top w:val="single" w:sz="4" w:space="0" w:color="auto"/>
              <w:left w:val="single" w:sz="4" w:space="0" w:color="auto"/>
              <w:bottom w:val="single" w:sz="4" w:space="0" w:color="auto"/>
              <w:right w:val="single" w:sz="4" w:space="0" w:color="auto"/>
            </w:tcBorders>
          </w:tcPr>
          <w:p w14:paraId="448F29E9" w14:textId="77777777" w:rsidR="008B1C85" w:rsidRDefault="008B1C85" w:rsidP="008B1C85">
            <w:pPr>
              <w:pStyle w:val="Tabletext"/>
            </w:pPr>
            <w:r>
              <w:t>APHCRI</w:t>
            </w:r>
          </w:p>
        </w:tc>
        <w:tc>
          <w:tcPr>
            <w:tcW w:w="2659" w:type="pct"/>
            <w:tcBorders>
              <w:top w:val="single" w:sz="4" w:space="0" w:color="auto"/>
              <w:left w:val="single" w:sz="4" w:space="0" w:color="auto"/>
              <w:bottom w:val="single" w:sz="4" w:space="0" w:color="auto"/>
              <w:right w:val="single" w:sz="4" w:space="0" w:color="auto"/>
            </w:tcBorders>
          </w:tcPr>
          <w:p w14:paraId="43479A93" w14:textId="77777777" w:rsidR="008B1C85" w:rsidRDefault="008B1C85" w:rsidP="008B1C85">
            <w:pPr>
              <w:pStyle w:val="Tabletext"/>
            </w:pPr>
            <w:r w:rsidRPr="006950EE">
              <w:t>Models of chronic disease management in primary care for patients with mild to moderate asthma or COPD</w:t>
            </w:r>
            <w:r>
              <w:t>.</w:t>
            </w:r>
          </w:p>
        </w:tc>
        <w:tc>
          <w:tcPr>
            <w:tcW w:w="779" w:type="pct"/>
            <w:tcBorders>
              <w:top w:val="single" w:sz="4" w:space="0" w:color="auto"/>
              <w:left w:val="single" w:sz="4" w:space="0" w:color="auto"/>
              <w:bottom w:val="single" w:sz="4" w:space="0" w:color="auto"/>
              <w:right w:val="single" w:sz="4" w:space="0" w:color="auto"/>
            </w:tcBorders>
          </w:tcPr>
          <w:p w14:paraId="2D01C575" w14:textId="77777777" w:rsidR="008B1C85" w:rsidRDefault="008B1C85" w:rsidP="008B1C85">
            <w:pPr>
              <w:pStyle w:val="Tabletext"/>
              <w:jc w:val="center"/>
            </w:pPr>
            <w:r>
              <w:t>6</w:t>
            </w:r>
          </w:p>
        </w:tc>
      </w:tr>
      <w:tr w:rsidR="008B1C85" w14:paraId="3CEEECE1" w14:textId="77777777" w:rsidTr="008B1C85">
        <w:tc>
          <w:tcPr>
            <w:tcW w:w="780" w:type="pct"/>
            <w:tcBorders>
              <w:top w:val="single" w:sz="4" w:space="0" w:color="auto"/>
              <w:left w:val="single" w:sz="4" w:space="0" w:color="auto"/>
              <w:bottom w:val="single" w:sz="4" w:space="0" w:color="auto"/>
              <w:right w:val="single" w:sz="4" w:space="0" w:color="auto"/>
            </w:tcBorders>
          </w:tcPr>
          <w:p w14:paraId="13DE12AD" w14:textId="77777777" w:rsidR="008B1C85" w:rsidRDefault="008B1C85" w:rsidP="008B1C85">
            <w:pPr>
              <w:pStyle w:val="Tabletext"/>
            </w:pPr>
            <w:r>
              <w:t>Jos</w:t>
            </w:r>
            <w:r w:rsidRPr="006950EE">
              <w:t>é</w:t>
            </w:r>
            <w:r>
              <w:t xml:space="preserve"> et al (2014)</w:t>
            </w:r>
          </w:p>
        </w:tc>
        <w:tc>
          <w:tcPr>
            <w:tcW w:w="782" w:type="pct"/>
            <w:tcBorders>
              <w:top w:val="single" w:sz="4" w:space="0" w:color="auto"/>
              <w:left w:val="single" w:sz="4" w:space="0" w:color="auto"/>
              <w:bottom w:val="single" w:sz="4" w:space="0" w:color="auto"/>
              <w:right w:val="single" w:sz="4" w:space="0" w:color="auto"/>
            </w:tcBorders>
          </w:tcPr>
          <w:p w14:paraId="497F2680" w14:textId="77777777" w:rsidR="008B1C85" w:rsidRDefault="00637E38" w:rsidP="008B1C85">
            <w:pPr>
              <w:pStyle w:val="Tabletext"/>
            </w:pPr>
            <w:r>
              <w:t>Not applicable</w:t>
            </w:r>
          </w:p>
        </w:tc>
        <w:tc>
          <w:tcPr>
            <w:tcW w:w="2659" w:type="pct"/>
            <w:tcBorders>
              <w:top w:val="single" w:sz="4" w:space="0" w:color="auto"/>
              <w:left w:val="single" w:sz="4" w:space="0" w:color="auto"/>
              <w:bottom w:val="single" w:sz="4" w:space="0" w:color="auto"/>
              <w:right w:val="single" w:sz="4" w:space="0" w:color="auto"/>
            </w:tcBorders>
          </w:tcPr>
          <w:p w14:paraId="2DF4EA6C" w14:textId="77777777" w:rsidR="008B1C85" w:rsidRDefault="008B1C85" w:rsidP="008B1C85">
            <w:pPr>
              <w:pStyle w:val="Tabletext"/>
            </w:pPr>
            <w:r w:rsidRPr="00107A2A">
              <w:t>Diagnostic accuracy of respiratory diseases in primary health units</w:t>
            </w:r>
            <w:r>
              <w:t>.</w:t>
            </w:r>
          </w:p>
        </w:tc>
        <w:tc>
          <w:tcPr>
            <w:tcW w:w="779" w:type="pct"/>
            <w:tcBorders>
              <w:top w:val="single" w:sz="4" w:space="0" w:color="auto"/>
              <w:left w:val="single" w:sz="4" w:space="0" w:color="auto"/>
              <w:bottom w:val="single" w:sz="4" w:space="0" w:color="auto"/>
              <w:right w:val="single" w:sz="4" w:space="0" w:color="auto"/>
            </w:tcBorders>
          </w:tcPr>
          <w:p w14:paraId="27D1F69F" w14:textId="77777777" w:rsidR="008B1C85" w:rsidRDefault="008B1C85" w:rsidP="008B1C85">
            <w:pPr>
              <w:pStyle w:val="Tabletext"/>
              <w:jc w:val="center"/>
            </w:pPr>
            <w:r>
              <w:t>3</w:t>
            </w:r>
          </w:p>
        </w:tc>
      </w:tr>
      <w:tr w:rsidR="008B1C85" w14:paraId="5C13A2EF" w14:textId="77777777" w:rsidTr="008B1C85">
        <w:tc>
          <w:tcPr>
            <w:tcW w:w="780" w:type="pct"/>
            <w:tcBorders>
              <w:top w:val="single" w:sz="4" w:space="0" w:color="auto"/>
              <w:left w:val="single" w:sz="4" w:space="0" w:color="auto"/>
              <w:bottom w:val="single" w:sz="4" w:space="0" w:color="auto"/>
              <w:right w:val="single" w:sz="4" w:space="0" w:color="auto"/>
            </w:tcBorders>
            <w:shd w:val="clear" w:color="auto" w:fill="auto"/>
          </w:tcPr>
          <w:p w14:paraId="350259A4" w14:textId="77777777" w:rsidR="008B1C85" w:rsidRPr="00326B72" w:rsidRDefault="008B1C85" w:rsidP="008B1C85">
            <w:pPr>
              <w:pStyle w:val="Tabletext"/>
            </w:pPr>
            <w:r w:rsidRPr="00326B72">
              <w:t>Langdown et al (2014)</w:t>
            </w: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3635C39E" w14:textId="77777777" w:rsidR="008B1C85" w:rsidRPr="00326B72" w:rsidRDefault="00637E38" w:rsidP="00637E38">
            <w:pPr>
              <w:pStyle w:val="Tabletext"/>
            </w:pPr>
            <w:r>
              <w:t>Not applicable</w:t>
            </w:r>
            <w:r w:rsidRPr="00326B72">
              <w:t xml:space="preserve"> </w:t>
            </w:r>
          </w:p>
        </w:tc>
        <w:tc>
          <w:tcPr>
            <w:tcW w:w="2659" w:type="pct"/>
            <w:tcBorders>
              <w:top w:val="single" w:sz="4" w:space="0" w:color="auto"/>
              <w:left w:val="single" w:sz="4" w:space="0" w:color="auto"/>
              <w:bottom w:val="single" w:sz="4" w:space="0" w:color="auto"/>
              <w:right w:val="single" w:sz="4" w:space="0" w:color="auto"/>
            </w:tcBorders>
          </w:tcPr>
          <w:p w14:paraId="479E5279" w14:textId="77777777" w:rsidR="008B1C85" w:rsidRDefault="008B1C85" w:rsidP="008B1C85">
            <w:pPr>
              <w:pStyle w:val="Tabletext"/>
            </w:pPr>
            <w:r w:rsidRPr="006950EE">
              <w:t>The use of financial incentives to help improve health outcomes: is the quality and outcomes framework fit for purpose? A systematic review.</w:t>
            </w:r>
          </w:p>
        </w:tc>
        <w:tc>
          <w:tcPr>
            <w:tcW w:w="779" w:type="pct"/>
            <w:tcBorders>
              <w:top w:val="single" w:sz="4" w:space="0" w:color="auto"/>
              <w:left w:val="single" w:sz="4" w:space="0" w:color="auto"/>
              <w:bottom w:val="single" w:sz="4" w:space="0" w:color="auto"/>
              <w:right w:val="single" w:sz="4" w:space="0" w:color="auto"/>
            </w:tcBorders>
          </w:tcPr>
          <w:p w14:paraId="1FCED023" w14:textId="77777777" w:rsidR="008B1C85" w:rsidRDefault="008B1C85" w:rsidP="008B1C85">
            <w:pPr>
              <w:pStyle w:val="Tabletext"/>
              <w:jc w:val="center"/>
            </w:pPr>
            <w:r>
              <w:t>7</w:t>
            </w:r>
          </w:p>
        </w:tc>
      </w:tr>
      <w:tr w:rsidR="008B1C85" w14:paraId="50728243" w14:textId="77777777" w:rsidTr="008B1C85">
        <w:tc>
          <w:tcPr>
            <w:tcW w:w="780" w:type="pct"/>
            <w:tcBorders>
              <w:top w:val="single" w:sz="4" w:space="0" w:color="auto"/>
              <w:left w:val="single" w:sz="4" w:space="0" w:color="auto"/>
              <w:bottom w:val="single" w:sz="4" w:space="0" w:color="auto"/>
              <w:right w:val="single" w:sz="4" w:space="0" w:color="auto"/>
            </w:tcBorders>
          </w:tcPr>
          <w:p w14:paraId="785E8AF4" w14:textId="77777777" w:rsidR="008B1C85" w:rsidRDefault="008B1C85" w:rsidP="008B1C85">
            <w:pPr>
              <w:pStyle w:val="Tabletext"/>
            </w:pPr>
            <w:r>
              <w:t>Wilt et al (2005)</w:t>
            </w:r>
          </w:p>
        </w:tc>
        <w:tc>
          <w:tcPr>
            <w:tcW w:w="782" w:type="pct"/>
            <w:tcBorders>
              <w:top w:val="single" w:sz="4" w:space="0" w:color="auto"/>
              <w:left w:val="single" w:sz="4" w:space="0" w:color="auto"/>
              <w:bottom w:val="single" w:sz="4" w:space="0" w:color="auto"/>
              <w:right w:val="single" w:sz="4" w:space="0" w:color="auto"/>
            </w:tcBorders>
          </w:tcPr>
          <w:p w14:paraId="5E05B491" w14:textId="77777777" w:rsidR="008B1C85" w:rsidRDefault="008B1C85" w:rsidP="008B1C85">
            <w:pPr>
              <w:pStyle w:val="Tabletext"/>
            </w:pPr>
            <w:r>
              <w:t>AHRQ</w:t>
            </w:r>
          </w:p>
        </w:tc>
        <w:tc>
          <w:tcPr>
            <w:tcW w:w="2659" w:type="pct"/>
            <w:tcBorders>
              <w:top w:val="single" w:sz="4" w:space="0" w:color="auto"/>
              <w:left w:val="single" w:sz="4" w:space="0" w:color="auto"/>
              <w:bottom w:val="single" w:sz="4" w:space="0" w:color="auto"/>
              <w:right w:val="single" w:sz="4" w:space="0" w:color="auto"/>
            </w:tcBorders>
          </w:tcPr>
          <w:p w14:paraId="1BECF752" w14:textId="77777777" w:rsidR="008B1C85" w:rsidRDefault="008B1C85" w:rsidP="008B1C85">
            <w:pPr>
              <w:pStyle w:val="Tabletext"/>
            </w:pPr>
            <w:r w:rsidRPr="006950EE">
              <w:t>Use of spirometry for case finding, diagnosis, and management of chronic obstructive pulmonary disease (COPD). Evidence Report/Technology Assessment No. 121</w:t>
            </w:r>
            <w:r>
              <w:t>.</w:t>
            </w:r>
          </w:p>
        </w:tc>
        <w:tc>
          <w:tcPr>
            <w:tcW w:w="779" w:type="pct"/>
            <w:tcBorders>
              <w:top w:val="single" w:sz="4" w:space="0" w:color="auto"/>
              <w:left w:val="single" w:sz="4" w:space="0" w:color="auto"/>
              <w:bottom w:val="single" w:sz="4" w:space="0" w:color="auto"/>
              <w:right w:val="single" w:sz="4" w:space="0" w:color="auto"/>
            </w:tcBorders>
          </w:tcPr>
          <w:p w14:paraId="6CD8B3B1" w14:textId="77777777" w:rsidR="008B1C85" w:rsidRDefault="008B1C85" w:rsidP="008B1C85">
            <w:pPr>
              <w:pStyle w:val="Tabletext"/>
              <w:jc w:val="center"/>
            </w:pPr>
            <w:r>
              <w:t>8</w:t>
            </w:r>
          </w:p>
        </w:tc>
      </w:tr>
      <w:tr w:rsidR="008B1C85" w14:paraId="00B754D6" w14:textId="77777777" w:rsidTr="008B1C85">
        <w:tc>
          <w:tcPr>
            <w:tcW w:w="780" w:type="pct"/>
            <w:tcBorders>
              <w:top w:val="single" w:sz="4" w:space="0" w:color="auto"/>
              <w:left w:val="single" w:sz="4" w:space="0" w:color="auto"/>
              <w:bottom w:val="single" w:sz="4" w:space="0" w:color="auto"/>
              <w:right w:val="single" w:sz="4" w:space="0" w:color="auto"/>
            </w:tcBorders>
          </w:tcPr>
          <w:p w14:paraId="53FC3302" w14:textId="77777777" w:rsidR="008B1C85" w:rsidRDefault="008B1C85" w:rsidP="008B1C85">
            <w:pPr>
              <w:pStyle w:val="Tabletext"/>
            </w:pPr>
            <w:r>
              <w:t>Wilt et al (2007)</w:t>
            </w:r>
          </w:p>
        </w:tc>
        <w:tc>
          <w:tcPr>
            <w:tcW w:w="782" w:type="pct"/>
            <w:tcBorders>
              <w:top w:val="single" w:sz="4" w:space="0" w:color="auto"/>
              <w:left w:val="single" w:sz="4" w:space="0" w:color="auto"/>
              <w:bottom w:val="single" w:sz="4" w:space="0" w:color="auto"/>
              <w:right w:val="single" w:sz="4" w:space="0" w:color="auto"/>
            </w:tcBorders>
          </w:tcPr>
          <w:p w14:paraId="0D3DB86F" w14:textId="77777777" w:rsidR="008B1C85" w:rsidRDefault="008B1C85" w:rsidP="008B1C85">
            <w:pPr>
              <w:pStyle w:val="Tabletext"/>
            </w:pPr>
            <w:r>
              <w:t>AHRQ</w:t>
            </w:r>
          </w:p>
        </w:tc>
        <w:tc>
          <w:tcPr>
            <w:tcW w:w="2659" w:type="pct"/>
            <w:tcBorders>
              <w:top w:val="single" w:sz="4" w:space="0" w:color="auto"/>
              <w:left w:val="single" w:sz="4" w:space="0" w:color="auto"/>
              <w:bottom w:val="single" w:sz="4" w:space="0" w:color="auto"/>
              <w:right w:val="single" w:sz="4" w:space="0" w:color="auto"/>
            </w:tcBorders>
          </w:tcPr>
          <w:p w14:paraId="13D93299" w14:textId="77777777" w:rsidR="008B1C85" w:rsidRDefault="008B1C85" w:rsidP="008B1C85">
            <w:pPr>
              <w:pStyle w:val="Tabletext"/>
            </w:pPr>
            <w:r w:rsidRPr="006950EE">
              <w:t>Management of stable chronic obstructive pulmonary disease: a systematic review for a clinical practice guideline.</w:t>
            </w:r>
          </w:p>
        </w:tc>
        <w:tc>
          <w:tcPr>
            <w:tcW w:w="779" w:type="pct"/>
            <w:tcBorders>
              <w:top w:val="single" w:sz="4" w:space="0" w:color="auto"/>
              <w:left w:val="single" w:sz="4" w:space="0" w:color="auto"/>
              <w:bottom w:val="single" w:sz="4" w:space="0" w:color="auto"/>
              <w:right w:val="single" w:sz="4" w:space="0" w:color="auto"/>
            </w:tcBorders>
          </w:tcPr>
          <w:p w14:paraId="0E76DADF" w14:textId="77777777" w:rsidR="008B1C85" w:rsidRDefault="008B1C85" w:rsidP="008B1C85">
            <w:pPr>
              <w:pStyle w:val="Tabletext"/>
              <w:jc w:val="center"/>
            </w:pPr>
            <w:r>
              <w:t>10</w:t>
            </w:r>
          </w:p>
        </w:tc>
      </w:tr>
    </w:tbl>
    <w:p w14:paraId="143E5596" w14:textId="77777777" w:rsidR="008B1C85" w:rsidRDefault="008B1C85" w:rsidP="008B1C85">
      <w:pPr>
        <w:pStyle w:val="08Tablefootnotes"/>
      </w:pPr>
      <w:r>
        <w:t xml:space="preserve">Abbreviations: AHRQ, </w:t>
      </w:r>
      <w:r w:rsidRPr="00326B72">
        <w:t>US Agency for Healthcare Research and Quality</w:t>
      </w:r>
      <w:r>
        <w:t xml:space="preserve">; </w:t>
      </w:r>
      <w:r w:rsidRPr="00326B72">
        <w:t>APHCRI</w:t>
      </w:r>
      <w:r>
        <w:t xml:space="preserve">, </w:t>
      </w:r>
      <w:r w:rsidRPr="00326B72">
        <w:t xml:space="preserve">Australian Primary </w:t>
      </w:r>
      <w:r>
        <w:t>Health Care Research Institute</w:t>
      </w:r>
    </w:p>
    <w:p w14:paraId="366605AE" w14:textId="2A914AF1" w:rsidR="008B1C85" w:rsidRPr="00247FEB" w:rsidRDefault="008B1C85" w:rsidP="008B1C85">
      <w:pPr>
        <w:pStyle w:val="09Tablefootnoteslast-nostick"/>
      </w:pPr>
      <w:r w:rsidRPr="005C1089">
        <w:rPr>
          <w:b/>
        </w:rPr>
        <w:t>a</w:t>
      </w:r>
      <w:r>
        <w:t xml:space="preserve"> See </w:t>
      </w:r>
      <w:r w:rsidRPr="00642519">
        <w:t xml:space="preserve">Table A-5.1 in </w:t>
      </w:r>
      <w:r w:rsidRPr="00642519">
        <w:fldChar w:fldCharType="begin"/>
      </w:r>
      <w:r w:rsidRPr="00642519">
        <w:instrText xml:space="preserve"> REF _Ref442799178 \n \h  \* MERGEFORMAT </w:instrText>
      </w:r>
      <w:r w:rsidRPr="00642519">
        <w:fldChar w:fldCharType="separate"/>
      </w:r>
      <w:r w:rsidR="00F2203C">
        <w:t>0</w:t>
      </w:r>
      <w:r w:rsidRPr="00642519">
        <w:fldChar w:fldCharType="end"/>
      </w:r>
      <w:r w:rsidRPr="00911544">
        <w:t xml:space="preserve"> for further</w:t>
      </w:r>
      <w:r>
        <w:t xml:space="preserve"> details.</w:t>
      </w:r>
    </w:p>
    <w:p w14:paraId="02F4AD4F" w14:textId="77777777" w:rsidR="008B1C85" w:rsidRDefault="00EA16D9" w:rsidP="008B1C85">
      <w:pPr>
        <w:pStyle w:val="AttHeading3"/>
      </w:pPr>
      <w:r>
        <w:lastRenderedPageBreak/>
        <w:t xml:space="preserve">2.3.2 </w:t>
      </w:r>
      <w:r w:rsidR="008B1C85">
        <w:t>Clinical Practice Guidelines</w:t>
      </w:r>
    </w:p>
    <w:p w14:paraId="7FA95742" w14:textId="77777777" w:rsidR="008B1C85" w:rsidRPr="00881BDB" w:rsidRDefault="008B1C85" w:rsidP="00B83773">
      <w:r w:rsidRPr="00881BDB">
        <w:t>The review of CPGs was undertaken to determine the appropriateness of MBS item 11506 relative to ‘best practice’ as recommended in evidence-based CPGs from Australia and comparable health systems overseas.</w:t>
      </w:r>
    </w:p>
    <w:p w14:paraId="1E857B96" w14:textId="77777777" w:rsidR="008B1C85" w:rsidRPr="00881BDB" w:rsidRDefault="008B1C85" w:rsidP="00B83773">
      <w:r w:rsidRPr="00881BDB">
        <w:t>Guidelines specifically relating to best practice for the performance of spirometry (e.g. obtaining acceptable and repeatable spirometric data) and indications/contraindications for spirometry were considered out of scope for this MBS Review. Guidelines published prior to 2010 were also excluded on the basis that they may not reflect current practice.</w:t>
      </w:r>
    </w:p>
    <w:p w14:paraId="01E2F699" w14:textId="77777777" w:rsidR="008B1C85" w:rsidRPr="00881BDB" w:rsidRDefault="008B1C85" w:rsidP="00B83773">
      <w:r w:rsidRPr="00881BDB">
        <w:t>After exclusion of superseded versions, a total of 24 relevant CPGs were identified. Of those, 11 evidence-based CPGs were selected for inclusion in the review because they provided guidance on best practice use of spirometry and were from peak bodies in Australia and overseas. The included CPGs, four of which are from Australia, are listed in</w:t>
      </w:r>
      <w:r w:rsidR="003771CF">
        <w:t xml:space="preserve"> Table 4</w:t>
      </w:r>
      <w:r w:rsidRPr="00881BDB">
        <w:t>. General information about each guideline, such as the primary aim and focus, and a brief summary of methodology is provided in</w:t>
      </w:r>
      <w:r w:rsidR="005E328F">
        <w:t xml:space="preserve"> Appendix 6</w:t>
      </w:r>
      <w:r w:rsidRPr="00881BDB">
        <w:t>.</w:t>
      </w:r>
    </w:p>
    <w:p w14:paraId="7B1AFB88" w14:textId="77777777" w:rsidR="008B1C85" w:rsidRPr="00881BDB" w:rsidRDefault="008B1C85" w:rsidP="00B83773">
      <w:r w:rsidRPr="00881BDB">
        <w:t>For each CPG, relevant recommendations, evidence statements and practice tips/consensus statements are tabulated and other relevant guidance and general advice is reported in the text. Where applicable, the system used to grade recommendations and describe the level of evidence underpinning recommendations has been summarised; however, in several CPGs (GINA, 2015; GOLD 2016) the particular guidance relevant to this review was not developed into formal recommendations and was therefore not graded using the methods described. In these cases there was not necessarily a clear link between the general guidance provided in the CPG and the underlying evidence base.</w:t>
      </w:r>
    </w:p>
    <w:p w14:paraId="55309A33" w14:textId="77777777" w:rsidR="008B1C85" w:rsidRPr="00881BDB" w:rsidRDefault="008B1C85" w:rsidP="00B83773">
      <w:r w:rsidRPr="00881BDB">
        <w:t xml:space="preserve">In addition, while the </w:t>
      </w:r>
      <w:r w:rsidRPr="00881BDB">
        <w:rPr>
          <w:i/>
        </w:rPr>
        <w:t xml:space="preserve">Australian Asthma Handbook </w:t>
      </w:r>
      <w:r w:rsidRPr="00881BDB">
        <w:t>(NAC, 2015) stated that National Health and Medical Research Council (NHMRC) grades A to D were used to grade evidence-based recommendations, the recommendations relevant to this review were all consensus-based, with only occasional references to supporting evidence from the published literature.</w:t>
      </w:r>
    </w:p>
    <w:p w14:paraId="449888CB" w14:textId="35328CAC" w:rsidR="008B1C85" w:rsidRDefault="003771CF" w:rsidP="005C3A85">
      <w:pPr>
        <w:pStyle w:val="Appcaption"/>
      </w:pPr>
      <w:r w:rsidRPr="0099709F">
        <w:t xml:space="preserve">Table </w:t>
      </w:r>
      <w:fldSimple w:instr=" SEQ Title \* ARABIC ">
        <w:r w:rsidR="00F2203C">
          <w:rPr>
            <w:noProof/>
          </w:rPr>
          <w:t>4</w:t>
        </w:r>
      </w:fldSimple>
      <w:r w:rsidR="008B1C85" w:rsidRPr="0099709F">
        <w:tab/>
        <w:t>Summary of CPGs that address the use of spirometry in people with respiratory symptoms</w:t>
      </w:r>
    </w:p>
    <w:tbl>
      <w:tblPr>
        <w:tblStyle w:val="TableGrid"/>
        <w:tblW w:w="0" w:type="auto"/>
        <w:tblLook w:val="04A0" w:firstRow="1" w:lastRow="0" w:firstColumn="1" w:lastColumn="0" w:noHBand="0" w:noVBand="1"/>
        <w:tblDescription w:val="Appendix C table 4 summer arises the Australian and international  Clinical Practice Guidelines (CPG).  This table contains 4 heading columns: 1. Region, 2. Identification (ID), 3. Title and 4. Affiliation for the organisation responsible for producing them."/>
      </w:tblPr>
      <w:tblGrid>
        <w:gridCol w:w="1274"/>
        <w:gridCol w:w="1274"/>
        <w:gridCol w:w="3410"/>
        <w:gridCol w:w="3103"/>
      </w:tblGrid>
      <w:tr w:rsidR="00F86B7D" w:rsidRPr="002137E6" w14:paraId="411E379A" w14:textId="77777777" w:rsidTr="0099709F">
        <w:trPr>
          <w:tblHeader/>
        </w:trPr>
        <w:tc>
          <w:tcPr>
            <w:tcW w:w="1274" w:type="dxa"/>
          </w:tcPr>
          <w:p w14:paraId="2AC4ADA9" w14:textId="77777777" w:rsidR="00F86B7D" w:rsidRPr="001E558F" w:rsidRDefault="00F86B7D" w:rsidP="00A403FC">
            <w:pPr>
              <w:pStyle w:val="Style01TableheadingorsubheadingText1"/>
            </w:pPr>
            <w:r>
              <w:t>Region</w:t>
            </w:r>
          </w:p>
        </w:tc>
        <w:tc>
          <w:tcPr>
            <w:tcW w:w="1274" w:type="dxa"/>
          </w:tcPr>
          <w:p w14:paraId="56470509" w14:textId="77777777" w:rsidR="00F86B7D" w:rsidRPr="001E558F" w:rsidRDefault="00F86B7D" w:rsidP="00A403FC">
            <w:pPr>
              <w:pStyle w:val="Style01TableheadingorsubheadingText1"/>
            </w:pPr>
            <w:r w:rsidRPr="001E558F">
              <w:t>ID</w:t>
            </w:r>
          </w:p>
        </w:tc>
        <w:tc>
          <w:tcPr>
            <w:tcW w:w="3534" w:type="dxa"/>
          </w:tcPr>
          <w:p w14:paraId="7D98FF89" w14:textId="77777777" w:rsidR="00F86B7D" w:rsidRPr="001E558F" w:rsidRDefault="00F86B7D" w:rsidP="00A403FC">
            <w:pPr>
              <w:pStyle w:val="Style01TableheadingorsubheadingText1"/>
            </w:pPr>
            <w:r w:rsidRPr="001E558F">
              <w:t>Title</w:t>
            </w:r>
          </w:p>
        </w:tc>
        <w:tc>
          <w:tcPr>
            <w:tcW w:w="3205" w:type="dxa"/>
          </w:tcPr>
          <w:p w14:paraId="71901FBB" w14:textId="77777777" w:rsidR="00F86B7D" w:rsidRPr="001E558F" w:rsidRDefault="00F86B7D" w:rsidP="00A403FC">
            <w:pPr>
              <w:pStyle w:val="Style01TableheadingorsubheadingText1"/>
            </w:pPr>
            <w:r w:rsidRPr="001E558F">
              <w:t>Affiliation</w:t>
            </w:r>
          </w:p>
        </w:tc>
      </w:tr>
      <w:tr w:rsidR="00070865" w:rsidRPr="002137E6" w14:paraId="560D0DAB" w14:textId="77777777" w:rsidTr="001132C1">
        <w:tc>
          <w:tcPr>
            <w:tcW w:w="1274" w:type="dxa"/>
            <w:vMerge w:val="restart"/>
          </w:tcPr>
          <w:p w14:paraId="3F47F3B9" w14:textId="77777777" w:rsidR="00070865" w:rsidRPr="002137E6" w:rsidRDefault="00070865" w:rsidP="008B1C85">
            <w:pPr>
              <w:pStyle w:val="Tabletext"/>
              <w:rPr>
                <w:rFonts w:cstheme="minorHAnsi"/>
              </w:rPr>
            </w:pPr>
            <w:r w:rsidRPr="00F86B7D">
              <w:rPr>
                <w:rFonts w:cstheme="minorHAnsi"/>
              </w:rPr>
              <w:t>Australia</w:t>
            </w:r>
          </w:p>
        </w:tc>
        <w:tc>
          <w:tcPr>
            <w:tcW w:w="1274" w:type="dxa"/>
            <w:shd w:val="clear" w:color="auto" w:fill="auto"/>
          </w:tcPr>
          <w:p w14:paraId="465DE5CF" w14:textId="77777777" w:rsidR="00070865" w:rsidRPr="002137E6" w:rsidRDefault="00070865" w:rsidP="008B1C85">
            <w:pPr>
              <w:pStyle w:val="Tabletext"/>
              <w:rPr>
                <w:rFonts w:cstheme="minorHAnsi"/>
              </w:rPr>
            </w:pPr>
            <w:r w:rsidRPr="002137E6">
              <w:rPr>
                <w:rFonts w:cstheme="minorHAnsi"/>
              </w:rPr>
              <w:t>LFA/TSANZ (2015)</w:t>
            </w:r>
          </w:p>
        </w:tc>
        <w:tc>
          <w:tcPr>
            <w:tcW w:w="3534" w:type="dxa"/>
            <w:shd w:val="clear" w:color="auto" w:fill="auto"/>
          </w:tcPr>
          <w:p w14:paraId="1B461BBB" w14:textId="77777777" w:rsidR="00070865" w:rsidRPr="002137E6" w:rsidRDefault="00070865" w:rsidP="008B1C85">
            <w:pPr>
              <w:pStyle w:val="Tabletext"/>
              <w:rPr>
                <w:rFonts w:cstheme="minorHAnsi"/>
              </w:rPr>
            </w:pPr>
            <w:r w:rsidRPr="002137E6">
              <w:rPr>
                <w:rFonts w:cstheme="minorHAnsi"/>
              </w:rPr>
              <w:t>The COPD-X Plan: Australian and New Zealand guidelines for the management of chronic obstructive pulmonary disease 2015, Version 2.43</w:t>
            </w:r>
            <w:r w:rsidRPr="002137E6">
              <w:rPr>
                <w:rStyle w:val="FootnoteReference"/>
                <w:rFonts w:eastAsiaTheme="minorHAnsi" w:cstheme="minorHAnsi"/>
              </w:rPr>
              <w:footnoteReference w:id="4"/>
            </w:r>
          </w:p>
        </w:tc>
        <w:tc>
          <w:tcPr>
            <w:tcW w:w="3205" w:type="dxa"/>
            <w:shd w:val="clear" w:color="auto" w:fill="auto"/>
          </w:tcPr>
          <w:p w14:paraId="6BA28D21" w14:textId="77777777" w:rsidR="00070865" w:rsidRPr="002137E6" w:rsidRDefault="00070865" w:rsidP="008B1C85">
            <w:pPr>
              <w:pStyle w:val="Tabletext"/>
              <w:rPr>
                <w:rFonts w:cstheme="minorHAnsi"/>
              </w:rPr>
            </w:pPr>
            <w:r w:rsidRPr="002137E6">
              <w:rPr>
                <w:rFonts w:cstheme="minorHAnsi"/>
              </w:rPr>
              <w:t>Lung Foundation Australia (LFA); Thoracic Society of Australia and New Zealand (TSANZ)</w:t>
            </w:r>
          </w:p>
        </w:tc>
      </w:tr>
      <w:tr w:rsidR="00070865" w:rsidRPr="002137E6" w14:paraId="18D0CB9A" w14:textId="77777777" w:rsidTr="005E328F">
        <w:tc>
          <w:tcPr>
            <w:tcW w:w="1274" w:type="dxa"/>
            <w:vMerge/>
            <w:shd w:val="clear" w:color="auto" w:fill="DBE5F1" w:themeFill="accent1" w:themeFillTint="33"/>
          </w:tcPr>
          <w:p w14:paraId="4DD23B80" w14:textId="77777777" w:rsidR="00070865" w:rsidRPr="002137E6" w:rsidRDefault="00070865" w:rsidP="008B1C85">
            <w:pPr>
              <w:pStyle w:val="Tabletext"/>
              <w:rPr>
                <w:rFonts w:cstheme="minorHAnsi"/>
              </w:rPr>
            </w:pPr>
          </w:p>
        </w:tc>
        <w:tc>
          <w:tcPr>
            <w:tcW w:w="1274" w:type="dxa"/>
            <w:shd w:val="clear" w:color="auto" w:fill="auto"/>
          </w:tcPr>
          <w:p w14:paraId="15418A4C" w14:textId="77777777" w:rsidR="00070865" w:rsidRPr="002137E6" w:rsidRDefault="00070865" w:rsidP="008B1C85">
            <w:pPr>
              <w:pStyle w:val="Tabletext"/>
              <w:rPr>
                <w:rFonts w:cstheme="minorHAnsi"/>
              </w:rPr>
            </w:pPr>
            <w:r w:rsidRPr="002137E6">
              <w:rPr>
                <w:rFonts w:cstheme="minorHAnsi"/>
              </w:rPr>
              <w:t>NAC (2015)</w:t>
            </w:r>
          </w:p>
        </w:tc>
        <w:tc>
          <w:tcPr>
            <w:tcW w:w="3534" w:type="dxa"/>
            <w:shd w:val="clear" w:color="auto" w:fill="auto"/>
          </w:tcPr>
          <w:p w14:paraId="0E635590" w14:textId="77777777" w:rsidR="00070865" w:rsidRPr="002137E6" w:rsidRDefault="00070865" w:rsidP="008B1C85">
            <w:pPr>
              <w:pStyle w:val="Tabletext"/>
              <w:rPr>
                <w:rFonts w:cstheme="minorHAnsi"/>
              </w:rPr>
            </w:pPr>
            <w:r w:rsidRPr="002137E6">
              <w:rPr>
                <w:rFonts w:cstheme="minorHAnsi"/>
              </w:rPr>
              <w:t>Australian Asthma Handbook, Version 1.1</w:t>
            </w:r>
            <w:r w:rsidRPr="002137E6">
              <w:rPr>
                <w:rStyle w:val="FootnoteReference"/>
                <w:rFonts w:eastAsiaTheme="minorHAnsi" w:cstheme="minorHAnsi"/>
              </w:rPr>
              <w:footnoteReference w:id="5"/>
            </w:r>
          </w:p>
        </w:tc>
        <w:tc>
          <w:tcPr>
            <w:tcW w:w="3205" w:type="dxa"/>
            <w:shd w:val="clear" w:color="auto" w:fill="auto"/>
          </w:tcPr>
          <w:p w14:paraId="13D62186" w14:textId="77777777" w:rsidR="00070865" w:rsidRPr="002137E6" w:rsidRDefault="00070865" w:rsidP="008B1C85">
            <w:pPr>
              <w:pStyle w:val="Tabletext"/>
              <w:rPr>
                <w:rFonts w:cstheme="minorHAnsi"/>
              </w:rPr>
            </w:pPr>
            <w:r w:rsidRPr="002137E6">
              <w:rPr>
                <w:rFonts w:cstheme="minorHAnsi"/>
              </w:rPr>
              <w:t xml:space="preserve">National Asthma Council Australia (NAC). Endorsed by: Royal </w:t>
            </w:r>
            <w:r w:rsidRPr="002137E6">
              <w:rPr>
                <w:rFonts w:cstheme="minorHAnsi"/>
              </w:rPr>
              <w:lastRenderedPageBreak/>
              <w:t>Australian College of General Practitioners (RACGP); Australian Primary Health Care Nurses Association (APNA); and Thoracic Society of Australia and New Zealand (TSANZ)</w:t>
            </w:r>
          </w:p>
        </w:tc>
      </w:tr>
      <w:tr w:rsidR="00070865" w:rsidRPr="002137E6" w14:paraId="22F654FE" w14:textId="77777777" w:rsidTr="001132C1">
        <w:tc>
          <w:tcPr>
            <w:tcW w:w="1274" w:type="dxa"/>
            <w:vMerge/>
          </w:tcPr>
          <w:p w14:paraId="1D1F9615" w14:textId="77777777" w:rsidR="00070865" w:rsidRPr="002137E6" w:rsidRDefault="00070865" w:rsidP="008B1C85">
            <w:pPr>
              <w:pStyle w:val="Tabletext"/>
              <w:rPr>
                <w:rFonts w:cstheme="minorHAnsi"/>
              </w:rPr>
            </w:pPr>
          </w:p>
        </w:tc>
        <w:tc>
          <w:tcPr>
            <w:tcW w:w="1274" w:type="dxa"/>
            <w:shd w:val="clear" w:color="auto" w:fill="auto"/>
          </w:tcPr>
          <w:p w14:paraId="5FCD73E0" w14:textId="77777777" w:rsidR="00070865" w:rsidRPr="002137E6" w:rsidRDefault="00070865" w:rsidP="008B1C85">
            <w:pPr>
              <w:pStyle w:val="Tabletext"/>
              <w:rPr>
                <w:rFonts w:cstheme="minorHAnsi"/>
              </w:rPr>
            </w:pPr>
            <w:r w:rsidRPr="002137E6">
              <w:rPr>
                <w:rFonts w:cstheme="minorHAnsi"/>
              </w:rPr>
              <w:t>Abramson (2014)</w:t>
            </w:r>
          </w:p>
        </w:tc>
        <w:tc>
          <w:tcPr>
            <w:tcW w:w="3534" w:type="dxa"/>
            <w:shd w:val="clear" w:color="auto" w:fill="auto"/>
          </w:tcPr>
          <w:p w14:paraId="67E346D1" w14:textId="77777777" w:rsidR="00070865" w:rsidRPr="002137E6" w:rsidRDefault="00070865" w:rsidP="008B1C85">
            <w:pPr>
              <w:pStyle w:val="Tabletext"/>
              <w:rPr>
                <w:rFonts w:cstheme="minorHAnsi"/>
              </w:rPr>
            </w:pPr>
            <w:r w:rsidRPr="002137E6">
              <w:rPr>
                <w:rFonts w:cstheme="minorHAnsi"/>
              </w:rPr>
              <w:t>COPD-X Concise guide for primary care</w:t>
            </w:r>
          </w:p>
        </w:tc>
        <w:tc>
          <w:tcPr>
            <w:tcW w:w="3205" w:type="dxa"/>
            <w:shd w:val="clear" w:color="auto" w:fill="auto"/>
          </w:tcPr>
          <w:p w14:paraId="1520B617" w14:textId="77777777" w:rsidR="00070865" w:rsidRPr="002137E6" w:rsidRDefault="00070865" w:rsidP="008B1C85">
            <w:pPr>
              <w:pStyle w:val="Tabletext"/>
              <w:rPr>
                <w:rFonts w:cstheme="minorHAnsi"/>
              </w:rPr>
            </w:pPr>
            <w:r w:rsidRPr="002137E6">
              <w:rPr>
                <w:rFonts w:cstheme="minorHAnsi"/>
              </w:rPr>
              <w:t>Lung Foundation Australia (LFA); Thoracic Society of Australia and New Zealand (TSANZ)</w:t>
            </w:r>
          </w:p>
        </w:tc>
      </w:tr>
      <w:tr w:rsidR="00070865" w:rsidRPr="002137E6" w14:paraId="08691DC7" w14:textId="77777777" w:rsidTr="008D305C">
        <w:tc>
          <w:tcPr>
            <w:tcW w:w="1274" w:type="dxa"/>
            <w:vMerge/>
            <w:shd w:val="clear" w:color="auto" w:fill="DBE5F1" w:themeFill="accent1" w:themeFillTint="33"/>
          </w:tcPr>
          <w:p w14:paraId="5F27566F" w14:textId="77777777" w:rsidR="00070865" w:rsidRPr="002137E6" w:rsidRDefault="00070865" w:rsidP="008B1C85">
            <w:pPr>
              <w:pStyle w:val="Tabletext"/>
              <w:rPr>
                <w:rFonts w:cstheme="minorHAnsi"/>
              </w:rPr>
            </w:pPr>
          </w:p>
        </w:tc>
        <w:tc>
          <w:tcPr>
            <w:tcW w:w="1274" w:type="dxa"/>
            <w:shd w:val="clear" w:color="auto" w:fill="auto"/>
          </w:tcPr>
          <w:p w14:paraId="032BC914" w14:textId="77777777" w:rsidR="00070865" w:rsidRPr="002137E6" w:rsidRDefault="00070865" w:rsidP="008B1C85">
            <w:pPr>
              <w:pStyle w:val="Tabletext"/>
              <w:rPr>
                <w:rFonts w:cstheme="minorHAnsi"/>
                <w:highlight w:val="yellow"/>
              </w:rPr>
            </w:pPr>
            <w:r w:rsidRPr="002137E6">
              <w:rPr>
                <w:rFonts w:cstheme="minorHAnsi"/>
              </w:rPr>
              <w:t>NAC (2013)</w:t>
            </w:r>
          </w:p>
        </w:tc>
        <w:tc>
          <w:tcPr>
            <w:tcW w:w="3534" w:type="dxa"/>
            <w:shd w:val="clear" w:color="auto" w:fill="auto"/>
          </w:tcPr>
          <w:p w14:paraId="41CDB532" w14:textId="77777777" w:rsidR="00070865" w:rsidRPr="002137E6" w:rsidRDefault="00070865" w:rsidP="008B1C85">
            <w:pPr>
              <w:pStyle w:val="Tabletext"/>
              <w:rPr>
                <w:rFonts w:cstheme="minorHAnsi"/>
              </w:rPr>
            </w:pPr>
            <w:r w:rsidRPr="002137E6">
              <w:rPr>
                <w:rFonts w:cstheme="minorHAnsi"/>
              </w:rPr>
              <w:t>Asthma and the over 65s – an information paper for health professionals</w:t>
            </w:r>
          </w:p>
        </w:tc>
        <w:tc>
          <w:tcPr>
            <w:tcW w:w="3205" w:type="dxa"/>
            <w:shd w:val="clear" w:color="auto" w:fill="auto"/>
          </w:tcPr>
          <w:p w14:paraId="0BAD0A19" w14:textId="77777777" w:rsidR="00070865" w:rsidRPr="002137E6" w:rsidRDefault="00070865" w:rsidP="008B1C85">
            <w:pPr>
              <w:pStyle w:val="Tabletext"/>
              <w:rPr>
                <w:rFonts w:cstheme="minorHAnsi"/>
              </w:rPr>
            </w:pPr>
            <w:r w:rsidRPr="002137E6">
              <w:rPr>
                <w:rFonts w:cstheme="minorHAnsi"/>
              </w:rPr>
              <w:t>National Asthma Council Australia (NAC)</w:t>
            </w:r>
          </w:p>
        </w:tc>
      </w:tr>
      <w:tr w:rsidR="00F86B7D" w:rsidRPr="002137E6" w14:paraId="631126E2" w14:textId="77777777" w:rsidTr="001132C1">
        <w:tc>
          <w:tcPr>
            <w:tcW w:w="1274" w:type="dxa"/>
            <w:vMerge w:val="restart"/>
          </w:tcPr>
          <w:p w14:paraId="43A813B7" w14:textId="77777777" w:rsidR="00F86B7D" w:rsidRPr="002137E6" w:rsidRDefault="00F86B7D" w:rsidP="00661151">
            <w:pPr>
              <w:pStyle w:val="Tabletext"/>
              <w:rPr>
                <w:rFonts w:cstheme="minorHAnsi"/>
              </w:rPr>
            </w:pPr>
            <w:r w:rsidRPr="00F86B7D">
              <w:rPr>
                <w:rFonts w:cstheme="minorHAnsi"/>
              </w:rPr>
              <w:t>International</w:t>
            </w:r>
          </w:p>
        </w:tc>
        <w:tc>
          <w:tcPr>
            <w:tcW w:w="1274" w:type="dxa"/>
          </w:tcPr>
          <w:p w14:paraId="220924B4" w14:textId="77777777" w:rsidR="00F86B7D" w:rsidRPr="002137E6" w:rsidRDefault="00F86B7D" w:rsidP="00661151">
            <w:pPr>
              <w:pStyle w:val="Tabletext"/>
              <w:rPr>
                <w:rFonts w:cstheme="minorHAnsi"/>
              </w:rPr>
            </w:pPr>
            <w:r w:rsidRPr="002137E6">
              <w:rPr>
                <w:rFonts w:cstheme="minorHAnsi"/>
              </w:rPr>
              <w:t>NCGC (2016)</w:t>
            </w:r>
            <w:r>
              <w:rPr>
                <w:rFonts w:cstheme="minorHAnsi"/>
              </w:rPr>
              <w:t xml:space="preserve"> – </w:t>
            </w:r>
            <w:r w:rsidRPr="002137E6">
              <w:rPr>
                <w:rFonts w:cstheme="minorHAnsi"/>
              </w:rPr>
              <w:t>UK</w:t>
            </w:r>
          </w:p>
        </w:tc>
        <w:tc>
          <w:tcPr>
            <w:tcW w:w="3534" w:type="dxa"/>
          </w:tcPr>
          <w:p w14:paraId="53D1E355" w14:textId="77777777" w:rsidR="00F86B7D" w:rsidRPr="002137E6" w:rsidRDefault="00F86B7D" w:rsidP="008B1C85">
            <w:pPr>
              <w:pStyle w:val="Tabletext"/>
              <w:rPr>
                <w:rFonts w:cstheme="minorHAnsi"/>
              </w:rPr>
            </w:pPr>
            <w:r w:rsidRPr="002137E6">
              <w:rPr>
                <w:rFonts w:cstheme="minorHAnsi"/>
              </w:rPr>
              <w:t xml:space="preserve">Asthma: diagnosis and monitoring of asthma in adults, children and young people </w:t>
            </w:r>
            <w:r w:rsidRPr="002137E6">
              <w:rPr>
                <w:rFonts w:cstheme="minorHAnsi"/>
                <w:i/>
              </w:rPr>
              <w:t>[Interim findings]</w:t>
            </w:r>
            <w:r w:rsidRPr="002137E6">
              <w:rPr>
                <w:rStyle w:val="FootnoteReference"/>
                <w:rFonts w:eastAsiaTheme="minorHAnsi" w:cstheme="minorHAnsi"/>
                <w:i/>
              </w:rPr>
              <w:footnoteReference w:id="6"/>
            </w:r>
          </w:p>
        </w:tc>
        <w:tc>
          <w:tcPr>
            <w:tcW w:w="3205" w:type="dxa"/>
          </w:tcPr>
          <w:p w14:paraId="360B1AD5" w14:textId="77777777" w:rsidR="00F86B7D" w:rsidRPr="002137E6" w:rsidRDefault="00F86B7D" w:rsidP="008B1C85">
            <w:pPr>
              <w:pStyle w:val="Tabletext"/>
              <w:rPr>
                <w:rFonts w:cstheme="minorHAnsi"/>
              </w:rPr>
            </w:pPr>
            <w:r w:rsidRPr="002137E6">
              <w:rPr>
                <w:rFonts w:cstheme="minorHAnsi"/>
              </w:rPr>
              <w:t>National Clinical Guideline Centre (NCGC). Commissioned by the National Institute of Health and Care Excellence (NICE)</w:t>
            </w:r>
          </w:p>
        </w:tc>
      </w:tr>
      <w:tr w:rsidR="00F86B7D" w:rsidRPr="002137E6" w14:paraId="51D43A3E" w14:textId="77777777" w:rsidTr="001132C1">
        <w:trPr>
          <w:trHeight w:val="171"/>
        </w:trPr>
        <w:tc>
          <w:tcPr>
            <w:tcW w:w="1274" w:type="dxa"/>
            <w:vMerge/>
          </w:tcPr>
          <w:p w14:paraId="240D8D36" w14:textId="77777777" w:rsidR="00F86B7D" w:rsidRPr="002137E6" w:rsidRDefault="00F86B7D" w:rsidP="00661151">
            <w:pPr>
              <w:pStyle w:val="Tabletext"/>
              <w:rPr>
                <w:rFonts w:cstheme="minorHAnsi"/>
              </w:rPr>
            </w:pPr>
          </w:p>
        </w:tc>
        <w:tc>
          <w:tcPr>
            <w:tcW w:w="1274" w:type="dxa"/>
          </w:tcPr>
          <w:p w14:paraId="36EF13AE" w14:textId="77777777" w:rsidR="00F86B7D" w:rsidRPr="002137E6" w:rsidRDefault="00F86B7D" w:rsidP="00661151">
            <w:pPr>
              <w:pStyle w:val="Tabletext"/>
              <w:rPr>
                <w:rFonts w:cstheme="minorHAnsi"/>
              </w:rPr>
            </w:pPr>
            <w:r w:rsidRPr="002137E6">
              <w:rPr>
                <w:rFonts w:cstheme="minorHAnsi"/>
              </w:rPr>
              <w:t>GOLD (2016)</w:t>
            </w:r>
            <w:r>
              <w:rPr>
                <w:rFonts w:cstheme="minorHAnsi"/>
              </w:rPr>
              <w:t xml:space="preserve"> – </w:t>
            </w:r>
            <w:r w:rsidRPr="002137E6">
              <w:rPr>
                <w:rFonts w:cstheme="minorHAnsi"/>
              </w:rPr>
              <w:t>International</w:t>
            </w:r>
          </w:p>
        </w:tc>
        <w:tc>
          <w:tcPr>
            <w:tcW w:w="3534" w:type="dxa"/>
          </w:tcPr>
          <w:p w14:paraId="0CD2C37F" w14:textId="77777777" w:rsidR="00F86B7D" w:rsidRPr="002137E6" w:rsidRDefault="00F86B7D" w:rsidP="008B1C85">
            <w:pPr>
              <w:pStyle w:val="Tabletext"/>
              <w:rPr>
                <w:rFonts w:cstheme="minorHAnsi"/>
              </w:rPr>
            </w:pPr>
            <w:r w:rsidRPr="002137E6">
              <w:rPr>
                <w:rFonts w:cstheme="minorHAnsi"/>
              </w:rPr>
              <w:t>Global strategy for the diagnosis, management, and prevention of chronic obstructive pulmonary disease</w:t>
            </w:r>
          </w:p>
        </w:tc>
        <w:tc>
          <w:tcPr>
            <w:tcW w:w="3205" w:type="dxa"/>
          </w:tcPr>
          <w:p w14:paraId="0CA284FB" w14:textId="77777777" w:rsidR="00F86B7D" w:rsidRPr="002137E6" w:rsidRDefault="00F86B7D" w:rsidP="008B1C85">
            <w:pPr>
              <w:pStyle w:val="Tabletext"/>
              <w:rPr>
                <w:rFonts w:cstheme="minorHAnsi"/>
              </w:rPr>
            </w:pPr>
            <w:r w:rsidRPr="002137E6">
              <w:rPr>
                <w:rFonts w:cstheme="minorHAnsi"/>
              </w:rPr>
              <w:t>Global Initiative for Chronic Obstructive Lung Disease (GOLD)</w:t>
            </w:r>
          </w:p>
        </w:tc>
      </w:tr>
      <w:tr w:rsidR="00F86B7D" w:rsidRPr="002137E6" w14:paraId="45A62D69" w14:textId="77777777" w:rsidTr="001132C1">
        <w:tc>
          <w:tcPr>
            <w:tcW w:w="1274" w:type="dxa"/>
            <w:vMerge/>
          </w:tcPr>
          <w:p w14:paraId="55CB4B0B" w14:textId="77777777" w:rsidR="00F86B7D" w:rsidRPr="002137E6" w:rsidRDefault="00F86B7D" w:rsidP="00661151">
            <w:pPr>
              <w:pStyle w:val="Tabletext"/>
              <w:rPr>
                <w:rFonts w:cstheme="minorHAnsi"/>
              </w:rPr>
            </w:pPr>
          </w:p>
        </w:tc>
        <w:tc>
          <w:tcPr>
            <w:tcW w:w="1274" w:type="dxa"/>
          </w:tcPr>
          <w:p w14:paraId="730ABBC3" w14:textId="77777777" w:rsidR="00F86B7D" w:rsidRPr="002137E6" w:rsidRDefault="00F86B7D" w:rsidP="00661151">
            <w:pPr>
              <w:pStyle w:val="Tabletext"/>
              <w:rPr>
                <w:rFonts w:cstheme="minorHAnsi"/>
                <w:i/>
              </w:rPr>
            </w:pPr>
            <w:r w:rsidRPr="002137E6">
              <w:rPr>
                <w:rFonts w:cstheme="minorHAnsi"/>
              </w:rPr>
              <w:t>GINA (2015)</w:t>
            </w:r>
            <w:r>
              <w:rPr>
                <w:rFonts w:cstheme="minorHAnsi"/>
              </w:rPr>
              <w:t xml:space="preserve"> </w:t>
            </w:r>
            <w:r w:rsidRPr="002137E6">
              <w:rPr>
                <w:rFonts w:cstheme="minorHAnsi"/>
                <w:i/>
              </w:rPr>
              <w:t>International</w:t>
            </w:r>
          </w:p>
        </w:tc>
        <w:tc>
          <w:tcPr>
            <w:tcW w:w="3534" w:type="dxa"/>
          </w:tcPr>
          <w:p w14:paraId="7DD20EB7" w14:textId="77777777" w:rsidR="00F86B7D" w:rsidRPr="002137E6" w:rsidRDefault="00F86B7D" w:rsidP="008B1C85">
            <w:pPr>
              <w:pStyle w:val="Tabletext"/>
              <w:rPr>
                <w:rFonts w:cstheme="minorHAnsi"/>
              </w:rPr>
            </w:pPr>
            <w:r w:rsidRPr="002137E6">
              <w:rPr>
                <w:rFonts w:cstheme="minorHAnsi"/>
              </w:rPr>
              <w:t>Global Strategy for Asthma Management and Prevention</w:t>
            </w:r>
          </w:p>
        </w:tc>
        <w:tc>
          <w:tcPr>
            <w:tcW w:w="3205" w:type="dxa"/>
          </w:tcPr>
          <w:p w14:paraId="7E8B6B74" w14:textId="77777777" w:rsidR="00F86B7D" w:rsidRPr="002137E6" w:rsidRDefault="00F86B7D" w:rsidP="008B1C85">
            <w:pPr>
              <w:pStyle w:val="Tabletext"/>
              <w:rPr>
                <w:rFonts w:cstheme="minorHAnsi"/>
              </w:rPr>
            </w:pPr>
            <w:r w:rsidRPr="002137E6">
              <w:rPr>
                <w:rFonts w:cstheme="minorHAnsi"/>
              </w:rPr>
              <w:t>Global Initiative for Asthma (GINA)</w:t>
            </w:r>
          </w:p>
        </w:tc>
      </w:tr>
      <w:tr w:rsidR="00F86B7D" w:rsidRPr="002137E6" w14:paraId="7E7265BA" w14:textId="77777777" w:rsidTr="001132C1">
        <w:tc>
          <w:tcPr>
            <w:tcW w:w="1274" w:type="dxa"/>
            <w:vMerge/>
          </w:tcPr>
          <w:p w14:paraId="1329011F" w14:textId="77777777" w:rsidR="00F86B7D" w:rsidRPr="002137E6" w:rsidRDefault="00F86B7D" w:rsidP="00661151">
            <w:pPr>
              <w:pStyle w:val="Tabletext"/>
              <w:rPr>
                <w:rFonts w:cstheme="minorHAnsi"/>
              </w:rPr>
            </w:pPr>
          </w:p>
        </w:tc>
        <w:tc>
          <w:tcPr>
            <w:tcW w:w="1274" w:type="dxa"/>
          </w:tcPr>
          <w:p w14:paraId="271CABEC" w14:textId="77777777" w:rsidR="00F86B7D" w:rsidRPr="002137E6" w:rsidRDefault="00F86B7D" w:rsidP="00661151">
            <w:pPr>
              <w:pStyle w:val="Tabletext"/>
              <w:rPr>
                <w:rFonts w:cstheme="minorHAnsi"/>
              </w:rPr>
            </w:pPr>
            <w:r w:rsidRPr="002137E6">
              <w:rPr>
                <w:rFonts w:cstheme="minorHAnsi"/>
              </w:rPr>
              <w:t>BTS/SIGN (2014)</w:t>
            </w:r>
            <w:r>
              <w:rPr>
                <w:rFonts w:cstheme="minorHAnsi"/>
              </w:rPr>
              <w:t xml:space="preserve"> – </w:t>
            </w:r>
            <w:r w:rsidRPr="002137E6">
              <w:rPr>
                <w:rFonts w:cstheme="minorHAnsi"/>
              </w:rPr>
              <w:t>UK</w:t>
            </w:r>
          </w:p>
        </w:tc>
        <w:tc>
          <w:tcPr>
            <w:tcW w:w="3534" w:type="dxa"/>
          </w:tcPr>
          <w:p w14:paraId="11FC5647" w14:textId="77777777" w:rsidR="00F86B7D" w:rsidRPr="002137E6" w:rsidRDefault="00F86B7D" w:rsidP="008B1C85">
            <w:pPr>
              <w:pStyle w:val="Tabletext"/>
              <w:rPr>
                <w:rFonts w:cstheme="minorHAnsi"/>
              </w:rPr>
            </w:pPr>
            <w:r w:rsidRPr="002137E6">
              <w:rPr>
                <w:rFonts w:cstheme="minorHAnsi"/>
              </w:rPr>
              <w:t>British guideline on the management of asthma. SIGN 141</w:t>
            </w:r>
          </w:p>
        </w:tc>
        <w:tc>
          <w:tcPr>
            <w:tcW w:w="3205" w:type="dxa"/>
          </w:tcPr>
          <w:p w14:paraId="18869798" w14:textId="77777777" w:rsidR="00F86B7D" w:rsidRPr="002137E6" w:rsidRDefault="00F86B7D" w:rsidP="008B1C85">
            <w:pPr>
              <w:pStyle w:val="Tabletext"/>
              <w:rPr>
                <w:rFonts w:cstheme="minorHAnsi"/>
              </w:rPr>
            </w:pPr>
            <w:r w:rsidRPr="002137E6">
              <w:rPr>
                <w:rFonts w:cstheme="minorHAnsi"/>
              </w:rPr>
              <w:t>British Thoracic Society (BTS); Scottish Intercollegiate Guidelines Network (SIGN); Royal College of Physicians (RCP); Primary Care Respiratory Society (PCRS); Health Improvement Scotland; Asthma UK; Education for Health.</w:t>
            </w:r>
          </w:p>
        </w:tc>
      </w:tr>
      <w:tr w:rsidR="00F86B7D" w:rsidRPr="002137E6" w14:paraId="5A9BF0C5" w14:textId="77777777" w:rsidTr="001132C1">
        <w:tc>
          <w:tcPr>
            <w:tcW w:w="1274" w:type="dxa"/>
            <w:vMerge/>
          </w:tcPr>
          <w:p w14:paraId="05B583AA" w14:textId="77777777" w:rsidR="00F86B7D" w:rsidRPr="002137E6" w:rsidRDefault="00F86B7D" w:rsidP="00661151">
            <w:pPr>
              <w:pStyle w:val="Tabletext"/>
              <w:rPr>
                <w:rFonts w:cstheme="minorHAnsi"/>
              </w:rPr>
            </w:pPr>
          </w:p>
        </w:tc>
        <w:tc>
          <w:tcPr>
            <w:tcW w:w="1274" w:type="dxa"/>
          </w:tcPr>
          <w:p w14:paraId="1F88C43C" w14:textId="77777777" w:rsidR="00F86B7D" w:rsidRPr="002137E6" w:rsidRDefault="00F86B7D" w:rsidP="00661151">
            <w:pPr>
              <w:pStyle w:val="Tabletext"/>
              <w:rPr>
                <w:rFonts w:cstheme="minorHAnsi"/>
              </w:rPr>
            </w:pPr>
            <w:r w:rsidRPr="002137E6">
              <w:rPr>
                <w:rFonts w:cstheme="minorHAnsi"/>
              </w:rPr>
              <w:t>VA/DoD (2014)</w:t>
            </w:r>
            <w:r>
              <w:rPr>
                <w:rFonts w:cstheme="minorHAnsi"/>
              </w:rPr>
              <w:t xml:space="preserve"> – </w:t>
            </w:r>
            <w:r w:rsidRPr="002137E6">
              <w:rPr>
                <w:rFonts w:cstheme="minorHAnsi"/>
              </w:rPr>
              <w:t>US</w:t>
            </w:r>
          </w:p>
        </w:tc>
        <w:tc>
          <w:tcPr>
            <w:tcW w:w="3534" w:type="dxa"/>
          </w:tcPr>
          <w:p w14:paraId="5CDD0378" w14:textId="77777777" w:rsidR="00F86B7D" w:rsidRPr="002137E6" w:rsidRDefault="00F86B7D" w:rsidP="008B1C85">
            <w:pPr>
              <w:pStyle w:val="Tabletext"/>
              <w:rPr>
                <w:rFonts w:cstheme="minorHAnsi"/>
              </w:rPr>
            </w:pPr>
            <w:r w:rsidRPr="002137E6">
              <w:rPr>
                <w:rFonts w:cstheme="minorHAnsi"/>
              </w:rPr>
              <w:t>VA/DoD clinical practice guideline for the management of outpatient chronic obstructive pulmonary disease</w:t>
            </w:r>
          </w:p>
        </w:tc>
        <w:tc>
          <w:tcPr>
            <w:tcW w:w="3205" w:type="dxa"/>
          </w:tcPr>
          <w:p w14:paraId="25DAEBFC" w14:textId="77777777" w:rsidR="00F86B7D" w:rsidRPr="002137E6" w:rsidRDefault="00F86B7D" w:rsidP="008B1C85">
            <w:pPr>
              <w:pStyle w:val="Tabletext"/>
              <w:rPr>
                <w:rFonts w:cstheme="minorHAnsi"/>
              </w:rPr>
            </w:pPr>
            <w:r w:rsidRPr="002137E6">
              <w:rPr>
                <w:rFonts w:cstheme="minorHAnsi"/>
              </w:rPr>
              <w:t>Department of Veterans Affairs (VA); Department of Defense (DoD)</w:t>
            </w:r>
          </w:p>
        </w:tc>
      </w:tr>
      <w:tr w:rsidR="00F86B7D" w:rsidRPr="002137E6" w14:paraId="257CCE29" w14:textId="77777777" w:rsidTr="001132C1">
        <w:tc>
          <w:tcPr>
            <w:tcW w:w="1274" w:type="dxa"/>
            <w:vMerge/>
          </w:tcPr>
          <w:p w14:paraId="2B70A7AF" w14:textId="77777777" w:rsidR="00F86B7D" w:rsidRPr="002137E6" w:rsidRDefault="00F86B7D" w:rsidP="00661151">
            <w:pPr>
              <w:pStyle w:val="Tabletext"/>
              <w:rPr>
                <w:rFonts w:cstheme="minorHAnsi"/>
              </w:rPr>
            </w:pPr>
          </w:p>
        </w:tc>
        <w:tc>
          <w:tcPr>
            <w:tcW w:w="1274" w:type="dxa"/>
          </w:tcPr>
          <w:p w14:paraId="1BDDB08E" w14:textId="77777777" w:rsidR="00F86B7D" w:rsidRPr="002137E6" w:rsidRDefault="00F86B7D" w:rsidP="00661151">
            <w:pPr>
              <w:pStyle w:val="Tabletext"/>
              <w:rPr>
                <w:rFonts w:cstheme="minorHAnsi"/>
              </w:rPr>
            </w:pPr>
            <w:r w:rsidRPr="002137E6">
              <w:rPr>
                <w:rFonts w:cstheme="minorHAnsi"/>
              </w:rPr>
              <w:t>Qaseem (2011)</w:t>
            </w:r>
            <w:r>
              <w:rPr>
                <w:rFonts w:cstheme="minorHAnsi"/>
              </w:rPr>
              <w:t xml:space="preserve"> – </w:t>
            </w:r>
            <w:r w:rsidRPr="002137E6">
              <w:rPr>
                <w:rFonts w:cstheme="minorHAnsi"/>
              </w:rPr>
              <w:t>US/Europe</w:t>
            </w:r>
          </w:p>
        </w:tc>
        <w:tc>
          <w:tcPr>
            <w:tcW w:w="3534" w:type="dxa"/>
          </w:tcPr>
          <w:p w14:paraId="22CAF21B" w14:textId="77777777" w:rsidR="00F86B7D" w:rsidRPr="002137E6" w:rsidRDefault="00F86B7D" w:rsidP="008B1C85">
            <w:pPr>
              <w:pStyle w:val="Tabletext"/>
              <w:rPr>
                <w:rFonts w:cstheme="minorHAnsi"/>
              </w:rPr>
            </w:pPr>
            <w:r w:rsidRPr="002137E6">
              <w:rPr>
                <w:rFonts w:cstheme="minorHAnsi"/>
              </w:rPr>
              <w:t>Diagnosis and management of stable chronic obstructive pulmonary disease: a clinical practice guideline update from the American College of Physicians, American College of Chest Physicians, American Thoracic Society, and European Respiratory Society</w:t>
            </w:r>
          </w:p>
        </w:tc>
        <w:tc>
          <w:tcPr>
            <w:tcW w:w="3205" w:type="dxa"/>
          </w:tcPr>
          <w:p w14:paraId="5EB6CA53" w14:textId="77777777" w:rsidR="00F86B7D" w:rsidRPr="002137E6" w:rsidRDefault="00F86B7D" w:rsidP="008B1C85">
            <w:pPr>
              <w:pStyle w:val="Tabletext"/>
              <w:rPr>
                <w:rFonts w:cstheme="minorHAnsi"/>
              </w:rPr>
            </w:pPr>
            <w:r w:rsidRPr="002137E6">
              <w:rPr>
                <w:rFonts w:cstheme="minorHAnsi"/>
              </w:rPr>
              <w:t>American College of Physicians (ACP); American College of Chest Physicians (ACCP); American Thoracic Society (ATS); European Respiratory Society (ERS)</w:t>
            </w:r>
          </w:p>
        </w:tc>
      </w:tr>
      <w:tr w:rsidR="00F86B7D" w:rsidRPr="002137E6" w14:paraId="7AE0E47D" w14:textId="77777777" w:rsidTr="001132C1">
        <w:tc>
          <w:tcPr>
            <w:tcW w:w="1274" w:type="dxa"/>
            <w:vMerge/>
          </w:tcPr>
          <w:p w14:paraId="3FFDC5F9" w14:textId="77777777" w:rsidR="00F86B7D" w:rsidRPr="002137E6" w:rsidRDefault="00F86B7D" w:rsidP="00661151">
            <w:pPr>
              <w:pStyle w:val="Tabletext"/>
              <w:rPr>
                <w:rFonts w:cstheme="minorHAnsi"/>
              </w:rPr>
            </w:pPr>
          </w:p>
        </w:tc>
        <w:tc>
          <w:tcPr>
            <w:tcW w:w="1274" w:type="dxa"/>
          </w:tcPr>
          <w:p w14:paraId="05A0BB73" w14:textId="77777777" w:rsidR="00F86B7D" w:rsidRPr="002137E6" w:rsidRDefault="00F86B7D" w:rsidP="00661151">
            <w:pPr>
              <w:pStyle w:val="Tabletext"/>
              <w:rPr>
                <w:rFonts w:cstheme="minorHAnsi"/>
              </w:rPr>
            </w:pPr>
            <w:r w:rsidRPr="002137E6">
              <w:rPr>
                <w:rFonts w:cstheme="minorHAnsi"/>
              </w:rPr>
              <w:t>NCGC (2010)</w:t>
            </w:r>
            <w:r>
              <w:rPr>
                <w:rFonts w:cstheme="minorHAnsi"/>
              </w:rPr>
              <w:t xml:space="preserve"> – </w:t>
            </w:r>
            <w:r w:rsidRPr="002137E6">
              <w:rPr>
                <w:rFonts w:cstheme="minorHAnsi"/>
              </w:rPr>
              <w:t>UK</w:t>
            </w:r>
          </w:p>
        </w:tc>
        <w:tc>
          <w:tcPr>
            <w:tcW w:w="3534" w:type="dxa"/>
          </w:tcPr>
          <w:p w14:paraId="0243E407" w14:textId="77777777" w:rsidR="00F86B7D" w:rsidRPr="002137E6" w:rsidRDefault="00F86B7D" w:rsidP="008B1C85">
            <w:pPr>
              <w:pStyle w:val="Tabletext"/>
              <w:rPr>
                <w:rFonts w:cstheme="minorHAnsi"/>
              </w:rPr>
            </w:pPr>
            <w:r w:rsidRPr="002137E6">
              <w:rPr>
                <w:rFonts w:cstheme="minorHAnsi"/>
              </w:rPr>
              <w:t>Chronic obstructive pulmonary disease: Management of chronic obstructive pulmonary disease in adults in primary and secondary care</w:t>
            </w:r>
          </w:p>
        </w:tc>
        <w:tc>
          <w:tcPr>
            <w:tcW w:w="3205" w:type="dxa"/>
          </w:tcPr>
          <w:p w14:paraId="018F8B55" w14:textId="77777777" w:rsidR="00F86B7D" w:rsidRPr="002137E6" w:rsidRDefault="00F86B7D" w:rsidP="008B1C85">
            <w:pPr>
              <w:pStyle w:val="Tabletext"/>
              <w:rPr>
                <w:rFonts w:cstheme="minorHAnsi"/>
              </w:rPr>
            </w:pPr>
            <w:r w:rsidRPr="002137E6">
              <w:rPr>
                <w:rFonts w:cstheme="minorHAnsi"/>
              </w:rPr>
              <w:t>National Clinical Guideline Centre (NCGC). Commissioned by the National Institute of Health and Care Excellence (NICE)</w:t>
            </w:r>
          </w:p>
        </w:tc>
      </w:tr>
    </w:tbl>
    <w:p w14:paraId="20AA917B" w14:textId="77777777" w:rsidR="008B1C85" w:rsidRDefault="008B1C85" w:rsidP="008B1C85">
      <w:pPr>
        <w:pStyle w:val="09Tablefootnoteslast-nostick"/>
      </w:pPr>
      <w:r w:rsidRPr="00284DDF">
        <w:t xml:space="preserve">Abbreviations: </w:t>
      </w:r>
      <w:r>
        <w:t xml:space="preserve">COPD, chronic obstructive pulmonary disease; </w:t>
      </w:r>
      <w:r w:rsidRPr="00284DDF">
        <w:t xml:space="preserve">CPG, </w:t>
      </w:r>
      <w:r>
        <w:t>c</w:t>
      </w:r>
      <w:r w:rsidRPr="00284DDF">
        <w:t xml:space="preserve">linical </w:t>
      </w:r>
      <w:r>
        <w:t>p</w:t>
      </w:r>
      <w:r w:rsidRPr="00284DDF">
        <w:t xml:space="preserve">ractice </w:t>
      </w:r>
      <w:r>
        <w:t>g</w:t>
      </w:r>
      <w:r w:rsidRPr="00284DDF">
        <w:t>uideline</w:t>
      </w:r>
      <w:r>
        <w:t>; UK, United Kingdom; US, United States.</w:t>
      </w:r>
    </w:p>
    <w:p w14:paraId="4A9BEF14" w14:textId="77777777" w:rsidR="008B1C85" w:rsidRPr="00C14460" w:rsidRDefault="00EA16D9" w:rsidP="008B1C85">
      <w:pPr>
        <w:pStyle w:val="AttHeading2"/>
      </w:pPr>
      <w:bookmarkStart w:id="361" w:name="_Toc456613613"/>
      <w:r>
        <w:lastRenderedPageBreak/>
        <w:t xml:space="preserve">2.4 </w:t>
      </w:r>
      <w:r w:rsidR="008B1C85" w:rsidRPr="00C14460">
        <w:t>Does the use of spirometry improve diagnostic accuracy and health outcomes in people presenting with respiratory symptoms?</w:t>
      </w:r>
      <w:bookmarkEnd w:id="361"/>
    </w:p>
    <w:p w14:paraId="5B2FB279" w14:textId="77777777" w:rsidR="008B1C85" w:rsidRDefault="00EA16D9" w:rsidP="008B1C85">
      <w:pPr>
        <w:pStyle w:val="AttHeading3"/>
      </w:pPr>
      <w:bookmarkStart w:id="362" w:name="_Ref442956082"/>
      <w:r>
        <w:t xml:space="preserve">2.4.1 </w:t>
      </w:r>
      <w:r w:rsidR="008B1C85">
        <w:t>Systematic Reviews</w:t>
      </w:r>
      <w:bookmarkEnd w:id="362"/>
    </w:p>
    <w:p w14:paraId="4FDEAE7D" w14:textId="77777777" w:rsidR="008B1C85" w:rsidRPr="00881BDB" w:rsidRDefault="008B1C85" w:rsidP="00B83773">
      <w:r w:rsidRPr="00881BDB">
        <w:t>The literature search identified three systematic reviews that address – to some extent – the research question. Two of the reviews (Cranston et al, 2006; Wilt et al, 2005) are quite old and the evidence may no longer be considered ‘contemporary’. The third review (José et al, 2014) searched for articles assessing the concordance between the diagnosis by primary health care physicians and specialists (or spirometry) for common respiratory diseases.</w:t>
      </w:r>
    </w:p>
    <w:p w14:paraId="2CD8C5C8" w14:textId="77777777" w:rsidR="008B1C85" w:rsidRPr="00CB24CB" w:rsidRDefault="008B1C85" w:rsidP="00CB5570">
      <w:pPr>
        <w:pStyle w:val="AttHeading4"/>
      </w:pPr>
      <w:r w:rsidRPr="00CB24CB">
        <w:t>Wilt et al (2005)[AHRQ]</w:t>
      </w:r>
    </w:p>
    <w:p w14:paraId="1328515E" w14:textId="77777777" w:rsidR="008B1C85" w:rsidRPr="00881BDB" w:rsidRDefault="008B1C85" w:rsidP="00B83773">
      <w:r w:rsidRPr="00881BDB">
        <w:t>Wilt and colleagues (2005) undertook an HTA for the AHRQ on the use of spirometry for case-finding, diagnosis and management of COPD. The evidence identified in the Wilt HTA will not be described in detail as the report has been officially archived for historical reference only. Of note, the authors concluded that spirometry, in addition to clinical examination, improves COPD diagnostic accuracy compared to clinical examination alone and it is a useful diagnostic tool in individuals with symptoms suggestive of possible COPD. They concluded that the primary benefit of spirometry is to identify individuals who might benefit from pharmacologic treatment in order to improve exacerbations.</w:t>
      </w:r>
    </w:p>
    <w:p w14:paraId="0CC6301C" w14:textId="77777777" w:rsidR="008B1C85" w:rsidRPr="00CB24CB" w:rsidRDefault="008B1C85" w:rsidP="00CB5570">
      <w:pPr>
        <w:pStyle w:val="AttHeading4"/>
      </w:pPr>
      <w:r w:rsidRPr="00CB24CB">
        <w:t>Cranston et al (2006)[APHCRI]</w:t>
      </w:r>
    </w:p>
    <w:p w14:paraId="2A30550D" w14:textId="77777777" w:rsidR="008B1C85" w:rsidRPr="00881BDB" w:rsidRDefault="008B1C85" w:rsidP="00B83773">
      <w:r w:rsidRPr="00881BDB">
        <w:t>A systematic review from the Australian Primary Health Care Research Institute (APHCRI) (Cranston et al, 2006) explored models of chronic disease management in primary care for patients with mild to moderate asthma or COPD. The clinical research questions relating to spirometry were: “What is the evidence base to support the use of spirometry in primary care?” and “What is the evidence that the performance of spirometry in primary care has been implemented and evaluated, and that it has influenced the clinical outcome of patients with mild to moderate asthma or COPD?”</w:t>
      </w:r>
    </w:p>
    <w:p w14:paraId="1B3B9404" w14:textId="77777777" w:rsidR="008B1C85" w:rsidRPr="00881BDB" w:rsidRDefault="008B1C85" w:rsidP="00B83773">
      <w:r w:rsidRPr="00881BDB">
        <w:t>A total of 17 studies were identified in relation to the two research questions above: two systematic reviews (one of which was the Wilt HTA for the AHRQ and the other focused on biomedical risk assessment as an aid for smoking cessation); two additional RCTs; and 13 surveys where spirometry was used to confirm airway obstruction, COPD or asthma. Each research question was addressed by a brief narrative summary of each included study. Not all of the included studies are relevant to the PICO criteria in the current MBS Review (many evaluated spirometry for screening or case-finding). For these reasons, plus the age of the evidence base, the Grading of Recommendations Assessment, Development and Evaluation (GRADE) criteria were not used in the current MBS Review to assess the quality of the body of evidence.</w:t>
      </w:r>
    </w:p>
    <w:p w14:paraId="57AA0B15" w14:textId="77777777" w:rsidR="008B1C85" w:rsidRPr="00881BDB" w:rsidRDefault="008B1C85" w:rsidP="00B83773">
      <w:r w:rsidRPr="00881BDB">
        <w:t>The relevant key findings from the APHCRI review were that “Spirometry is useful for the differential diagnosis of asthma and COPD, but using some defining criteria, could triple the number of adults being labelled as ‘at-risk’ or with COPD.” and “Evidence suggests that spirometry results alone have not altered management of COPD in primary care. Only smoking cessation and influenza vaccination have been found to be effective in preventing symptom development in COPD” (Cranston et al, 2006).</w:t>
      </w:r>
    </w:p>
    <w:p w14:paraId="31781639" w14:textId="77777777" w:rsidR="008B1C85" w:rsidRPr="00CB24CB" w:rsidRDefault="008B1C85" w:rsidP="00CB5570">
      <w:pPr>
        <w:pStyle w:val="AttHeading4"/>
      </w:pPr>
      <w:r w:rsidRPr="00CB24CB">
        <w:lastRenderedPageBreak/>
        <w:t>José et al (2014)</w:t>
      </w:r>
    </w:p>
    <w:p w14:paraId="66F94A44" w14:textId="77777777" w:rsidR="008B1C85" w:rsidRPr="00881BDB" w:rsidRDefault="008B1C85" w:rsidP="00B83773">
      <w:r w:rsidRPr="00881BDB">
        <w:t>The systematic review by José and colleagues (2014) aimed to evaluate the diagnostic ability of GPs working in primary health care in relation to common respiratory diseases, including asthma and COPD. Articles were included if they assessed concordance between the diagnosis from primary health care physicians with the diagnosis from respiratory specialists. Studies that compared a clinical diagnosis from a GP with a diagnosis using spirometry were also included, although it is not clear whether any of the studies specifically compared GP diagnoses with and without spirometry.</w:t>
      </w:r>
    </w:p>
    <w:p w14:paraId="04A31070" w14:textId="77777777" w:rsidR="008B1C85" w:rsidRPr="00881BDB" w:rsidRDefault="008B1C85" w:rsidP="00B83773">
      <w:r w:rsidRPr="00881BDB">
        <w:t>Of the 21 studies that related to diagnosis of asthma and COPD, 19 were cross-sectional and two were cohort studies. GRADE quality assessment was not undertaken on the body of evidence because not all of the studies specifically addressed the research questions of interest to this MBS Review. Many of the selected studies reported the proportion of spirometrically-confirmed cases that had not previously been diagnosed by their GP; however, it is not clear whether under-diagnosis was due to inappropriate interpretation of symptoms by the GP or the patients’ failure to express their symptoms to the doctor (i.e. it is not known whether patients presented to primary care with respiratory symptoms suggestive of asthma, COPD or other causes of airflow limitation). Although the literature places the GP as the key player in the context of mistaken diagnosis, the authors of the José review acknowledge that the degree of liability for the mistakes cannot be determined.</w:t>
      </w:r>
    </w:p>
    <w:p w14:paraId="7EBA4438" w14:textId="77777777" w:rsidR="008B1C85" w:rsidRPr="00881BDB" w:rsidRDefault="008B1C85" w:rsidP="00B83773">
      <w:r w:rsidRPr="00881BDB">
        <w:t>Using spirometry as the reference standard, over-diagnosis of COPD varied across the eight COPD studies from 28% to 40% while under-diagnosis varied from 25.7% to 81.4%. The authors postulated that “This heterogeneity may have occurred, at least in part, because the studies were not randomised, due to diversification in sampling and definitions of each disease, and the variables considered in the populations analysed”. Two of the COPD studies (Walters et al, 2011; Zwar et al, 2011) were conducted in Australia and have been described elsewhere in this report (see Section</w:t>
      </w:r>
      <w:r w:rsidR="00EA16D9">
        <w:t xml:space="preserve"> 1.3</w:t>
      </w:r>
      <w:r w:rsidRPr="00881BDB">
        <w:t>).</w:t>
      </w:r>
    </w:p>
    <w:p w14:paraId="4AD806A3" w14:textId="77777777" w:rsidR="008B1C85" w:rsidRPr="00881BDB" w:rsidRDefault="008B1C85" w:rsidP="00B83773">
      <w:r w:rsidRPr="00881BDB">
        <w:t>The eight studies that evaluated asthma and COPD in conjunction were also heterogeneous in relation to the methodologies employed and showed large variation in rates of over- and under-diagnosis of each condition. However, several of the studies compared GP diagnosis with specialist diagnosis rather than spirometry.</w:t>
      </w:r>
    </w:p>
    <w:p w14:paraId="5C838370" w14:textId="77777777" w:rsidR="008B1C85" w:rsidRDefault="00EA16D9" w:rsidP="008B1C85">
      <w:pPr>
        <w:pStyle w:val="AttHeading3"/>
      </w:pPr>
      <w:bookmarkStart w:id="363" w:name="_Ref442798124"/>
      <w:r>
        <w:t xml:space="preserve">2.4.2 </w:t>
      </w:r>
      <w:r w:rsidR="008B1C85">
        <w:t>Clinical Practice Guidelines</w:t>
      </w:r>
      <w:bookmarkEnd w:id="363"/>
    </w:p>
    <w:p w14:paraId="3C5652EE" w14:textId="77777777" w:rsidR="008B1C85" w:rsidRPr="009F58DB" w:rsidRDefault="008B1C85" w:rsidP="009F58DB">
      <w:pPr>
        <w:rPr>
          <w:b/>
        </w:rPr>
      </w:pPr>
      <w:r w:rsidRPr="009F58DB">
        <w:rPr>
          <w:b/>
        </w:rPr>
        <w:t>Asthma</w:t>
      </w:r>
    </w:p>
    <w:p w14:paraId="56B835DF" w14:textId="77777777" w:rsidR="008B1C85" w:rsidRPr="00881BDB" w:rsidRDefault="008B1C85" w:rsidP="00B83773">
      <w:r w:rsidRPr="00881BDB">
        <w:t>In general, the CPGs included in this review identified the same overarching clinical features that are required to diagnose asthma. Although there were differences in the exact wording, central to all definitions of asthma was the presence of clinical symptoms (dyspnoea, wheeze or cough), and variable airflow limitation. Spirometry allows for the measurement of airflow limitation and is therefore useful in confirming a diagnosis of asthma. Clinical guidance relating to the appropriate use of spirometry for the diagnosis of asthma is summarised in this section.</w:t>
      </w:r>
    </w:p>
    <w:p w14:paraId="73F79BCD" w14:textId="77777777" w:rsidR="008B1C85" w:rsidRPr="00CB24CB" w:rsidRDefault="008B1C85" w:rsidP="00CB5570">
      <w:pPr>
        <w:pStyle w:val="AttHeading5"/>
      </w:pPr>
      <w:r w:rsidRPr="00CB24CB">
        <w:lastRenderedPageBreak/>
        <w:t>National Asthma Council Australia (2015)</w:t>
      </w:r>
    </w:p>
    <w:p w14:paraId="7D2107F9" w14:textId="77777777" w:rsidR="008B1C85" w:rsidRPr="00881BDB" w:rsidRDefault="008B1C85" w:rsidP="00B83773">
      <w:r w:rsidRPr="00881BDB">
        <w:t xml:space="preserve">According to the </w:t>
      </w:r>
      <w:r w:rsidRPr="00881BDB">
        <w:rPr>
          <w:i/>
        </w:rPr>
        <w:t>Australian Asthma Handbook,</w:t>
      </w:r>
      <w:r w:rsidRPr="00881BDB">
        <w:t xml:space="preserve"> spirometry is the best lung function test for diagnosing asthma and for measuring lung function when assessing asthma control. It can be used to:</w:t>
      </w:r>
    </w:p>
    <w:p w14:paraId="773BC913" w14:textId="77777777" w:rsidR="008B1C85" w:rsidRPr="00881BDB" w:rsidRDefault="008B1C85" w:rsidP="00EE3CFE">
      <w:pPr>
        <w:pStyle w:val="NormalBulleted"/>
        <w:numPr>
          <w:ilvl w:val="0"/>
          <w:numId w:val="46"/>
        </w:numPr>
      </w:pPr>
      <w:r w:rsidRPr="00881BDB">
        <w:t>detect airflow limitation;</w:t>
      </w:r>
    </w:p>
    <w:p w14:paraId="4B9DD437" w14:textId="77777777" w:rsidR="008B1C85" w:rsidRPr="00881BDB" w:rsidRDefault="008B1C85" w:rsidP="00EE3CFE">
      <w:pPr>
        <w:pStyle w:val="NormalBulleted"/>
        <w:numPr>
          <w:ilvl w:val="0"/>
          <w:numId w:val="46"/>
        </w:numPr>
      </w:pPr>
      <w:r w:rsidRPr="00881BDB">
        <w:t>measure the degree of airflow limitation compared with predicted normal airflow (or with personal best); and</w:t>
      </w:r>
    </w:p>
    <w:p w14:paraId="00E314A1" w14:textId="77777777" w:rsidR="008B1C85" w:rsidRPr="00881BDB" w:rsidRDefault="008B1C85" w:rsidP="00EE3CFE">
      <w:pPr>
        <w:pStyle w:val="NormalBulleted"/>
        <w:numPr>
          <w:ilvl w:val="0"/>
          <w:numId w:val="46"/>
        </w:numPr>
      </w:pPr>
      <w:r w:rsidRPr="00881BDB">
        <w:t>demonstrate whether airflow limitation is reversible.</w:t>
      </w:r>
    </w:p>
    <w:p w14:paraId="229B2561" w14:textId="3EB3A4E7" w:rsidR="00F4631D" w:rsidRDefault="008B1C85" w:rsidP="008B1C85">
      <w:r w:rsidRPr="00881BDB">
        <w:t xml:space="preserve">The algorithms for diagnosing asthma in adults and children in the NAC Handbook both mention the use of spirometry (see </w:t>
      </w:r>
      <w:r w:rsidRPr="00881BDB">
        <w:fldChar w:fldCharType="begin"/>
      </w:r>
      <w:r w:rsidRPr="00881BDB">
        <w:instrText xml:space="preserve"> REF _Ref441760773 \n \h </w:instrText>
      </w:r>
      <w:r>
        <w:instrText xml:space="preserve"> \* MERGEFORMAT </w:instrText>
      </w:r>
      <w:r w:rsidRPr="00881BDB">
        <w:fldChar w:fldCharType="separate"/>
      </w:r>
      <w:r w:rsidR="00F2203C">
        <w:t>0</w:t>
      </w:r>
      <w:r w:rsidRPr="00881BDB">
        <w:fldChar w:fldCharType="end"/>
      </w:r>
      <w:r w:rsidRPr="00881BDB">
        <w:t>). The Handbook also includes a large number of recommendations relating to the diagnosis of asthma in adults and children. Those that are of relevance to this review are reproduced in</w:t>
      </w:r>
      <w:r w:rsidR="003771CF">
        <w:t xml:space="preserve"> Table 5 and Table 6</w:t>
      </w:r>
      <w:r w:rsidRPr="00881BDB">
        <w:t>, respectively.</w:t>
      </w:r>
    </w:p>
    <w:p w14:paraId="34F5B941" w14:textId="6FD15A97" w:rsidR="008B1C85" w:rsidRDefault="003771CF" w:rsidP="005C3A85">
      <w:pPr>
        <w:pStyle w:val="Appcaption"/>
      </w:pPr>
      <w:r w:rsidRPr="0099709F">
        <w:t xml:space="preserve">Table </w:t>
      </w:r>
      <w:fldSimple w:instr=" SEQ Title \* ARABIC ">
        <w:r w:rsidR="00F2203C">
          <w:rPr>
            <w:noProof/>
          </w:rPr>
          <w:t>5</w:t>
        </w:r>
      </w:fldSimple>
      <w:r w:rsidR="008B1C85" w:rsidRPr="0099709F">
        <w:tab/>
        <w:t>NAC</w:t>
      </w:r>
      <w:r w:rsidR="008B1C85">
        <w:t xml:space="preserve"> (2015): </w:t>
      </w:r>
      <w:r w:rsidR="008B1C85" w:rsidRPr="00F365E8">
        <w:t xml:space="preserve">Clinical guidance relating to spirometry and </w:t>
      </w:r>
      <w:r w:rsidR="008B1C85">
        <w:t>the diagnosis of asthma in adults</w:t>
      </w:r>
    </w:p>
    <w:tbl>
      <w:tblPr>
        <w:tblStyle w:val="TableGrid"/>
        <w:tblW w:w="0" w:type="auto"/>
        <w:tblLook w:val="04A0" w:firstRow="1" w:lastRow="0" w:firstColumn="1" w:lastColumn="0" w:noHBand="0" w:noVBand="1"/>
        <w:tblDescription w:val="Appendix C table 5  list the National Asthma Council Australia (NAC) guidance relating to spirometry and the diagnosis of asthma in adults.  This table contains 3 heading columns: 1. Action, 2. Recommendation and 3. Type of recommendation for actions during diagnosis."/>
      </w:tblPr>
      <w:tblGrid>
        <w:gridCol w:w="2054"/>
        <w:gridCol w:w="5355"/>
        <w:gridCol w:w="1652"/>
      </w:tblGrid>
      <w:tr w:rsidR="009E0A63" w:rsidRPr="002137E6" w14:paraId="2730D7FD" w14:textId="77777777" w:rsidTr="0099709F">
        <w:trPr>
          <w:tblHeader/>
        </w:trPr>
        <w:tc>
          <w:tcPr>
            <w:tcW w:w="2093" w:type="dxa"/>
            <w:tcBorders>
              <w:top w:val="single" w:sz="4" w:space="0" w:color="auto"/>
              <w:left w:val="single" w:sz="4" w:space="0" w:color="auto"/>
              <w:bottom w:val="single" w:sz="4" w:space="0" w:color="auto"/>
              <w:right w:val="single" w:sz="4" w:space="0" w:color="auto"/>
            </w:tcBorders>
          </w:tcPr>
          <w:p w14:paraId="51D0CEBD" w14:textId="77777777" w:rsidR="009E0A63" w:rsidRPr="001E558F" w:rsidRDefault="004E6E3C" w:rsidP="00661151">
            <w:pPr>
              <w:pStyle w:val="Tableheading"/>
            </w:pPr>
            <w:r>
              <w:t>Clinical component</w:t>
            </w:r>
          </w:p>
        </w:tc>
        <w:tc>
          <w:tcPr>
            <w:tcW w:w="5542" w:type="dxa"/>
            <w:tcBorders>
              <w:top w:val="single" w:sz="4" w:space="0" w:color="auto"/>
              <w:left w:val="single" w:sz="4" w:space="0" w:color="auto"/>
              <w:bottom w:val="single" w:sz="4" w:space="0" w:color="auto"/>
              <w:right w:val="single" w:sz="4" w:space="0" w:color="auto"/>
            </w:tcBorders>
          </w:tcPr>
          <w:p w14:paraId="5297FBDE" w14:textId="77777777" w:rsidR="009E0A63" w:rsidRPr="001E558F" w:rsidRDefault="009E0A63" w:rsidP="0099709F">
            <w:pPr>
              <w:pStyle w:val="Tableheading"/>
            </w:pPr>
            <w:r w:rsidRPr="001E558F">
              <w:t>Recommendation</w:t>
            </w:r>
          </w:p>
        </w:tc>
        <w:tc>
          <w:tcPr>
            <w:tcW w:w="1652" w:type="dxa"/>
            <w:tcBorders>
              <w:top w:val="single" w:sz="4" w:space="0" w:color="auto"/>
              <w:left w:val="single" w:sz="4" w:space="0" w:color="auto"/>
              <w:bottom w:val="single" w:sz="4" w:space="0" w:color="auto"/>
              <w:right w:val="single" w:sz="4" w:space="0" w:color="auto"/>
            </w:tcBorders>
          </w:tcPr>
          <w:p w14:paraId="2BA655A8" w14:textId="77777777" w:rsidR="009E0A63" w:rsidRPr="001E558F" w:rsidRDefault="009E0A63" w:rsidP="0099709F">
            <w:pPr>
              <w:pStyle w:val="Tableheading"/>
              <w:rPr>
                <w:rFonts w:cstheme="minorHAnsi"/>
              </w:rPr>
            </w:pPr>
            <w:r w:rsidRPr="001E558F">
              <w:rPr>
                <w:rFonts w:cstheme="minorHAnsi"/>
              </w:rPr>
              <w:t>Type of recommendation</w:t>
            </w:r>
          </w:p>
        </w:tc>
      </w:tr>
      <w:tr w:rsidR="009E0A63" w:rsidRPr="002137E6" w14:paraId="22B9FA88" w14:textId="77777777" w:rsidTr="0099709F">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tcPr>
          <w:p w14:paraId="17DAC31A" w14:textId="77777777" w:rsidR="009E0A63" w:rsidRPr="002137E6" w:rsidRDefault="009E0A63" w:rsidP="008B1C85">
            <w:pPr>
              <w:pStyle w:val="Tabletext"/>
              <w:rPr>
                <w:rFonts w:cstheme="minorHAnsi"/>
              </w:rPr>
            </w:pPr>
            <w:r w:rsidRPr="002137E6">
              <w:rPr>
                <w:rFonts w:cstheme="minorHAnsi"/>
              </w:rPr>
              <w:t>Taking a history</w:t>
            </w:r>
          </w:p>
        </w:tc>
        <w:tc>
          <w:tcPr>
            <w:tcW w:w="5542" w:type="dxa"/>
            <w:tcBorders>
              <w:top w:val="single" w:sz="4" w:space="0" w:color="auto"/>
              <w:left w:val="single" w:sz="4" w:space="0" w:color="auto"/>
              <w:bottom w:val="single" w:sz="4" w:space="0" w:color="auto"/>
              <w:right w:val="single" w:sz="4" w:space="0" w:color="auto"/>
            </w:tcBorders>
            <w:shd w:val="clear" w:color="auto" w:fill="FFFFFF" w:themeFill="background1"/>
          </w:tcPr>
          <w:p w14:paraId="3E7B8D25" w14:textId="77777777" w:rsidR="009E0A63" w:rsidRPr="002137E6" w:rsidRDefault="009E0A63" w:rsidP="008B1C85">
            <w:pPr>
              <w:pStyle w:val="Tabletext"/>
              <w:rPr>
                <w:rFonts w:cstheme="minorHAnsi"/>
              </w:rPr>
            </w:pPr>
            <w:r w:rsidRPr="002137E6">
              <w:rPr>
                <w:rFonts w:cstheme="minorHAnsi"/>
              </w:rPr>
              <w:t>When respiratory symptoms are not typical, do not rule out the possibility of asthma without doing spirometry, because symptoms of asthma vary widely from person to person.</w:t>
            </w: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tcPr>
          <w:p w14:paraId="24E28FF9" w14:textId="77777777" w:rsidR="009E0A63" w:rsidRPr="002137E6" w:rsidRDefault="009E0A63" w:rsidP="008B1C85">
            <w:pPr>
              <w:pStyle w:val="Tabletext"/>
              <w:rPr>
                <w:rFonts w:cstheme="minorHAnsi"/>
              </w:rPr>
            </w:pPr>
            <w:r w:rsidRPr="002137E6">
              <w:rPr>
                <w:rFonts w:cstheme="minorHAnsi"/>
              </w:rPr>
              <w:t>Consensus recommendation</w:t>
            </w:r>
          </w:p>
        </w:tc>
      </w:tr>
      <w:tr w:rsidR="009E0A63" w:rsidRPr="002137E6" w14:paraId="48097288" w14:textId="77777777" w:rsidTr="0099709F">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tcPr>
          <w:p w14:paraId="53CCFA4A" w14:textId="77777777" w:rsidR="009E0A63" w:rsidRPr="002137E6" w:rsidRDefault="009E0A63" w:rsidP="009E0A63">
            <w:pPr>
              <w:pStyle w:val="Tabletext"/>
              <w:rPr>
                <w:rFonts w:cstheme="minorHAnsi"/>
              </w:rPr>
            </w:pPr>
            <w:r w:rsidRPr="002137E6">
              <w:rPr>
                <w:rFonts w:cstheme="minorHAnsi"/>
              </w:rPr>
              <w:t>Performing a physical examination</w:t>
            </w:r>
          </w:p>
        </w:tc>
        <w:tc>
          <w:tcPr>
            <w:tcW w:w="5542" w:type="dxa"/>
            <w:tcBorders>
              <w:top w:val="single" w:sz="4" w:space="0" w:color="auto"/>
              <w:left w:val="single" w:sz="4" w:space="0" w:color="auto"/>
              <w:bottom w:val="single" w:sz="4" w:space="0" w:color="auto"/>
              <w:right w:val="single" w:sz="4" w:space="0" w:color="auto"/>
            </w:tcBorders>
            <w:shd w:val="clear" w:color="auto" w:fill="FFFFFF" w:themeFill="background1"/>
          </w:tcPr>
          <w:p w14:paraId="79AABC46" w14:textId="77777777" w:rsidR="009E0A63" w:rsidRPr="002137E6" w:rsidRDefault="009E0A63" w:rsidP="009E0A63">
            <w:pPr>
              <w:pStyle w:val="Tabletext"/>
              <w:rPr>
                <w:rFonts w:cstheme="minorHAnsi"/>
              </w:rPr>
            </w:pPr>
            <w:r w:rsidRPr="002137E6">
              <w:rPr>
                <w:rFonts w:cstheme="minorHAnsi"/>
              </w:rPr>
              <w:t>Do not rule out the possibility of asthma without doing spirometry, because physical examination may be normal when symptoms are absent and this does not exclude a diagnosis of asthma.</w:t>
            </w: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tcPr>
          <w:p w14:paraId="2605D001" w14:textId="77777777" w:rsidR="009E0A63" w:rsidRPr="002137E6" w:rsidRDefault="009E0A63" w:rsidP="009E0A63">
            <w:pPr>
              <w:pStyle w:val="Tabletext"/>
              <w:rPr>
                <w:rFonts w:cstheme="minorHAnsi"/>
              </w:rPr>
            </w:pPr>
            <w:r w:rsidRPr="002137E6">
              <w:rPr>
                <w:rFonts w:cstheme="minorHAnsi"/>
              </w:rPr>
              <w:t>Consensus recommendation</w:t>
            </w:r>
          </w:p>
        </w:tc>
      </w:tr>
      <w:tr w:rsidR="00D913B2" w:rsidRPr="002137E6" w14:paraId="4D452632" w14:textId="77777777" w:rsidTr="001132C1">
        <w:tc>
          <w:tcPr>
            <w:tcW w:w="2093" w:type="dxa"/>
            <w:vMerge w:val="restart"/>
            <w:tcBorders>
              <w:top w:val="single" w:sz="4" w:space="0" w:color="auto"/>
              <w:left w:val="single" w:sz="4" w:space="0" w:color="auto"/>
              <w:right w:val="single" w:sz="4" w:space="0" w:color="auto"/>
            </w:tcBorders>
            <w:shd w:val="clear" w:color="auto" w:fill="FFFFFF" w:themeFill="background1"/>
          </w:tcPr>
          <w:p w14:paraId="2D7B9FC7" w14:textId="77777777" w:rsidR="00D913B2" w:rsidRPr="002137E6" w:rsidRDefault="00D913B2" w:rsidP="009E0A63">
            <w:pPr>
              <w:pStyle w:val="Tabletext"/>
              <w:rPr>
                <w:rFonts w:cstheme="minorHAnsi"/>
              </w:rPr>
            </w:pPr>
            <w:r w:rsidRPr="002137E6">
              <w:rPr>
                <w:rFonts w:cstheme="minorHAnsi"/>
              </w:rPr>
              <w:t>Assessing lung function</w:t>
            </w:r>
          </w:p>
        </w:tc>
        <w:tc>
          <w:tcPr>
            <w:tcW w:w="5542" w:type="dxa"/>
            <w:tcBorders>
              <w:top w:val="single" w:sz="4" w:space="0" w:color="auto"/>
              <w:left w:val="single" w:sz="4" w:space="0" w:color="auto"/>
              <w:bottom w:val="single" w:sz="4" w:space="0" w:color="auto"/>
              <w:right w:val="single" w:sz="4" w:space="0" w:color="auto"/>
            </w:tcBorders>
            <w:shd w:val="clear" w:color="auto" w:fill="FFFFFF" w:themeFill="background1"/>
          </w:tcPr>
          <w:p w14:paraId="7AAD5CFF" w14:textId="77777777" w:rsidR="00D913B2" w:rsidRPr="002137E6" w:rsidRDefault="00D913B2" w:rsidP="009E0A63">
            <w:pPr>
              <w:pStyle w:val="Tabletext"/>
              <w:rPr>
                <w:rFonts w:cstheme="minorHAnsi"/>
              </w:rPr>
            </w:pPr>
            <w:r w:rsidRPr="002137E6">
              <w:rPr>
                <w:rFonts w:cstheme="minorHAnsi"/>
              </w:rPr>
              <w:t>Perform or arrange spirometry for every patient with suspected asthma.</w:t>
            </w:r>
          </w:p>
          <w:p w14:paraId="67D59C51" w14:textId="77777777" w:rsidR="00D913B2" w:rsidRPr="00661151" w:rsidRDefault="00D913B2" w:rsidP="009E0A63">
            <w:pPr>
              <w:pStyle w:val="04Tabletextspaceitalics"/>
            </w:pPr>
            <w:r w:rsidRPr="00661151">
              <w:t xml:space="preserve">Note: If reliable equipment and appropriately </w:t>
            </w:r>
            <w:r w:rsidRPr="00661151">
              <w:rPr>
                <w:rFonts w:asciiTheme="minorHAnsi" w:hAnsiTheme="minorHAnsi"/>
                <w:iCs/>
              </w:rPr>
              <w:t>trained staff are available, spirometry can be performed in primary care. If not, refer to an appropriate provider such as an accredited respiratory function laboratory.</w:t>
            </w: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tcPr>
          <w:p w14:paraId="08DACF08" w14:textId="77777777" w:rsidR="00D913B2" w:rsidRPr="002137E6" w:rsidRDefault="00D913B2" w:rsidP="009E0A63">
            <w:pPr>
              <w:pStyle w:val="Tabletext"/>
              <w:rPr>
                <w:rFonts w:cstheme="minorHAnsi"/>
              </w:rPr>
            </w:pPr>
            <w:r w:rsidRPr="002137E6">
              <w:rPr>
                <w:rFonts w:cstheme="minorHAnsi"/>
              </w:rPr>
              <w:t>Consensus recommendation</w:t>
            </w:r>
          </w:p>
        </w:tc>
      </w:tr>
      <w:tr w:rsidR="00D913B2" w:rsidRPr="002137E6" w14:paraId="5AF87D4D" w14:textId="77777777" w:rsidTr="005E328F">
        <w:trPr>
          <w:trHeight w:val="2789"/>
        </w:trPr>
        <w:tc>
          <w:tcPr>
            <w:tcW w:w="2093" w:type="dxa"/>
            <w:vMerge/>
            <w:tcBorders>
              <w:left w:val="single" w:sz="4" w:space="0" w:color="auto"/>
              <w:right w:val="single" w:sz="4" w:space="0" w:color="auto"/>
            </w:tcBorders>
            <w:shd w:val="clear" w:color="auto" w:fill="DBE5F1" w:themeFill="accent1" w:themeFillTint="33"/>
          </w:tcPr>
          <w:p w14:paraId="70D72028" w14:textId="77777777" w:rsidR="00D913B2" w:rsidRPr="002137E6" w:rsidRDefault="00D913B2" w:rsidP="009E0A63">
            <w:pPr>
              <w:pStyle w:val="Tabletext"/>
              <w:rPr>
                <w:rFonts w:cstheme="minorHAnsi"/>
              </w:rPr>
            </w:pPr>
          </w:p>
        </w:tc>
        <w:tc>
          <w:tcPr>
            <w:tcW w:w="5542" w:type="dxa"/>
            <w:tcBorders>
              <w:top w:val="single" w:sz="4" w:space="0" w:color="auto"/>
              <w:left w:val="single" w:sz="4" w:space="0" w:color="auto"/>
              <w:bottom w:val="single" w:sz="4" w:space="0" w:color="auto"/>
              <w:right w:val="single" w:sz="4" w:space="0" w:color="auto"/>
            </w:tcBorders>
            <w:shd w:val="clear" w:color="auto" w:fill="auto"/>
          </w:tcPr>
          <w:p w14:paraId="07F99020" w14:textId="77777777" w:rsidR="00D913B2" w:rsidRPr="002137E6" w:rsidRDefault="00D913B2" w:rsidP="009E0A63">
            <w:pPr>
              <w:pStyle w:val="Tabletext"/>
              <w:rPr>
                <w:rFonts w:cstheme="minorHAnsi"/>
              </w:rPr>
            </w:pPr>
            <w:r w:rsidRPr="002137E6">
              <w:rPr>
                <w:rFonts w:cstheme="minorHAnsi"/>
              </w:rPr>
              <w:t>Measure bronchodilator reversibility by performing spirometry before and after administration of a rapid-onset beta</w:t>
            </w:r>
            <w:r w:rsidRPr="002137E6">
              <w:rPr>
                <w:rFonts w:cstheme="minorHAnsi"/>
                <w:vertAlign w:val="subscript"/>
              </w:rPr>
              <w:t>2</w:t>
            </w:r>
            <w:r w:rsidRPr="002137E6">
              <w:rPr>
                <w:rFonts w:cstheme="minorHAnsi"/>
              </w:rPr>
              <w:t xml:space="preserve"> agonist bronchodilator (e.g. 4 puffs of salbutamol 100 mcg/actuation via pressurised metered-dose inhaler and spacer).</w:t>
            </w:r>
          </w:p>
          <w:p w14:paraId="0C1ADD31" w14:textId="77777777" w:rsidR="00D913B2" w:rsidRPr="002137E6" w:rsidRDefault="00D913B2" w:rsidP="009E0A63">
            <w:pPr>
              <w:pStyle w:val="04Tabletextspaceitalics"/>
              <w:keepNext w:val="0"/>
              <w:rPr>
                <w:rFonts w:asciiTheme="minorHAnsi" w:hAnsiTheme="minorHAnsi" w:cstheme="minorHAnsi"/>
              </w:rPr>
            </w:pPr>
            <w:r w:rsidRPr="002137E6">
              <w:rPr>
                <w:rFonts w:asciiTheme="minorHAnsi" w:hAnsiTheme="minorHAnsi" w:cstheme="minorHAnsi"/>
              </w:rPr>
              <w:t>Notes: Airflow limitation is defined as reversible (i.e. bronchodilator response is clinically important) if FEV</w:t>
            </w:r>
            <w:r w:rsidRPr="002137E6">
              <w:rPr>
                <w:rFonts w:asciiTheme="minorHAnsi" w:hAnsiTheme="minorHAnsi" w:cstheme="minorHAnsi"/>
                <w:vertAlign w:val="subscript"/>
              </w:rPr>
              <w:t>1</w:t>
            </w:r>
            <w:r w:rsidRPr="002137E6">
              <w:rPr>
                <w:rFonts w:asciiTheme="minorHAnsi" w:hAnsiTheme="minorHAnsi" w:cstheme="minorHAnsi"/>
              </w:rPr>
              <w:t xml:space="preserve"> increases by ≥200 mL and ≥12%.</w:t>
            </w:r>
          </w:p>
          <w:p w14:paraId="7DA451CD" w14:textId="77777777" w:rsidR="00D913B2" w:rsidRPr="002137E6" w:rsidRDefault="00D913B2" w:rsidP="009E0A63">
            <w:pPr>
              <w:pStyle w:val="04Tabletextspaceitalics"/>
              <w:keepNext w:val="0"/>
              <w:rPr>
                <w:rFonts w:asciiTheme="minorHAnsi" w:hAnsiTheme="minorHAnsi" w:cstheme="minorHAnsi"/>
              </w:rPr>
            </w:pPr>
            <w:r w:rsidRPr="002137E6">
              <w:rPr>
                <w:rFonts w:asciiTheme="minorHAnsi" w:hAnsiTheme="minorHAnsi" w:cstheme="minorHAnsi"/>
              </w:rPr>
              <w:t>Failure to demonstrate a reversible airflow limitation after bronchodilator (‘bronchodilator reversibility’) does not exclude asthma, and its presence does not prove asthma – the pattern of symptoms and other clinical features must also be considered.</w:t>
            </w: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23E31DBC" w14:textId="77777777" w:rsidR="00D913B2" w:rsidRPr="002137E6" w:rsidRDefault="00D913B2" w:rsidP="009E0A63">
            <w:pPr>
              <w:pStyle w:val="Tabletext"/>
              <w:rPr>
                <w:rFonts w:cstheme="minorHAnsi"/>
              </w:rPr>
            </w:pPr>
            <w:r w:rsidRPr="002137E6">
              <w:rPr>
                <w:rFonts w:cstheme="minorHAnsi"/>
              </w:rPr>
              <w:t>Consensus recommendation</w:t>
            </w:r>
          </w:p>
        </w:tc>
      </w:tr>
      <w:tr w:rsidR="00D913B2" w:rsidRPr="002137E6" w14:paraId="12285183" w14:textId="77777777" w:rsidTr="001132C1">
        <w:tc>
          <w:tcPr>
            <w:tcW w:w="2093" w:type="dxa"/>
            <w:vMerge/>
            <w:tcBorders>
              <w:left w:val="single" w:sz="4" w:space="0" w:color="auto"/>
              <w:right w:val="single" w:sz="4" w:space="0" w:color="auto"/>
            </w:tcBorders>
            <w:shd w:val="clear" w:color="auto" w:fill="FFFFFF" w:themeFill="background1"/>
          </w:tcPr>
          <w:p w14:paraId="09EBE22B" w14:textId="77777777" w:rsidR="00D913B2" w:rsidRPr="002137E6" w:rsidRDefault="00D913B2" w:rsidP="009E0A63">
            <w:pPr>
              <w:pStyle w:val="Tabletext"/>
              <w:rPr>
                <w:rFonts w:cstheme="minorHAnsi"/>
              </w:rPr>
            </w:pPr>
          </w:p>
        </w:tc>
        <w:tc>
          <w:tcPr>
            <w:tcW w:w="5542" w:type="dxa"/>
            <w:tcBorders>
              <w:top w:val="single" w:sz="4" w:space="0" w:color="auto"/>
              <w:left w:val="single" w:sz="4" w:space="0" w:color="auto"/>
              <w:bottom w:val="single" w:sz="4" w:space="0" w:color="auto"/>
              <w:right w:val="single" w:sz="4" w:space="0" w:color="auto"/>
            </w:tcBorders>
            <w:shd w:val="clear" w:color="auto" w:fill="FFFFFF" w:themeFill="background1"/>
          </w:tcPr>
          <w:p w14:paraId="39505461" w14:textId="77777777" w:rsidR="00D913B2" w:rsidRPr="002137E6" w:rsidRDefault="00D913B2" w:rsidP="009E0A63">
            <w:pPr>
              <w:pStyle w:val="Tabletext"/>
              <w:rPr>
                <w:rFonts w:cstheme="minorHAnsi"/>
              </w:rPr>
            </w:pPr>
            <w:r w:rsidRPr="002137E6">
              <w:rPr>
                <w:rFonts w:cstheme="minorHAnsi"/>
              </w:rPr>
              <w:t>Record the ratio of FEV</w:t>
            </w:r>
            <w:r w:rsidRPr="002137E6">
              <w:rPr>
                <w:rFonts w:cstheme="minorHAnsi"/>
                <w:vertAlign w:val="subscript"/>
              </w:rPr>
              <w:t>1</w:t>
            </w:r>
            <w:r w:rsidRPr="002137E6">
              <w:rPr>
                <w:rFonts w:cstheme="minorHAnsi"/>
              </w:rPr>
              <w:t xml:space="preserve"> to FVC (FEV</w:t>
            </w:r>
            <w:r w:rsidRPr="002137E6">
              <w:rPr>
                <w:rFonts w:cstheme="minorHAnsi"/>
                <w:vertAlign w:val="subscript"/>
              </w:rPr>
              <w:t>1</w:t>
            </w:r>
            <w:r w:rsidRPr="002137E6">
              <w:rPr>
                <w:rFonts w:cstheme="minorHAnsi"/>
              </w:rPr>
              <w:t>/FVC). Before making the diagnosis of asthma, confirm that FEV</w:t>
            </w:r>
            <w:r w:rsidRPr="002137E6">
              <w:rPr>
                <w:rFonts w:cstheme="minorHAnsi"/>
                <w:vertAlign w:val="subscript"/>
              </w:rPr>
              <w:t>1</w:t>
            </w:r>
            <w:r w:rsidRPr="002137E6">
              <w:rPr>
                <w:rFonts w:cstheme="minorHAnsi"/>
              </w:rPr>
              <w:t>/FVC is reduced (less than the LLN for age) at a time when FEV</w:t>
            </w:r>
            <w:r w:rsidRPr="002137E6">
              <w:rPr>
                <w:rFonts w:cstheme="minorHAnsi"/>
                <w:vertAlign w:val="subscript"/>
              </w:rPr>
              <w:t>1</w:t>
            </w:r>
            <w:r w:rsidRPr="002137E6">
              <w:rPr>
                <w:rFonts w:cstheme="minorHAnsi"/>
              </w:rPr>
              <w:t xml:space="preserve"> is lower than predicted.</w:t>
            </w:r>
          </w:p>
          <w:p w14:paraId="59C1CF06" w14:textId="77777777" w:rsidR="00D913B2" w:rsidRPr="002137E6" w:rsidRDefault="00D913B2" w:rsidP="009E0A63">
            <w:pPr>
              <w:pStyle w:val="03Tabletextspacebefore"/>
              <w:rPr>
                <w:rFonts w:asciiTheme="minorHAnsi" w:hAnsiTheme="minorHAnsi" w:cstheme="minorHAnsi"/>
                <w:i/>
              </w:rPr>
            </w:pPr>
            <w:r w:rsidRPr="002137E6">
              <w:rPr>
                <w:rFonts w:asciiTheme="minorHAnsi" w:hAnsiTheme="minorHAnsi" w:cstheme="minorHAnsi"/>
                <w:i/>
              </w:rPr>
              <w:t>Note: If the spirometer does not provide LLN for age, use the following age-based cut-points to indicate expiratory airflow limitation in adults and older adolescents:</w:t>
            </w:r>
          </w:p>
          <w:p w14:paraId="7B300573" w14:textId="77777777" w:rsidR="00D913B2" w:rsidRPr="002137E6" w:rsidRDefault="00D913B2" w:rsidP="009E0A63">
            <w:pPr>
              <w:pStyle w:val="06Tablebullet"/>
              <w:rPr>
                <w:rFonts w:asciiTheme="minorHAnsi" w:hAnsiTheme="minorHAnsi" w:cstheme="minorHAnsi"/>
                <w:i/>
              </w:rPr>
            </w:pPr>
            <w:r w:rsidRPr="002137E6">
              <w:rPr>
                <w:rFonts w:asciiTheme="minorHAnsi" w:hAnsiTheme="minorHAnsi" w:cstheme="minorHAnsi"/>
                <w:i/>
              </w:rPr>
              <w:t>less than 0.85 (up to 19 years)</w:t>
            </w:r>
          </w:p>
          <w:p w14:paraId="7C4DF8AC" w14:textId="77777777" w:rsidR="00D913B2" w:rsidRPr="002137E6" w:rsidRDefault="00D913B2" w:rsidP="009E0A63">
            <w:pPr>
              <w:pStyle w:val="06Tablebullet"/>
              <w:rPr>
                <w:rFonts w:asciiTheme="minorHAnsi" w:hAnsiTheme="minorHAnsi" w:cstheme="minorHAnsi"/>
                <w:i/>
              </w:rPr>
            </w:pPr>
            <w:r w:rsidRPr="002137E6">
              <w:rPr>
                <w:rFonts w:asciiTheme="minorHAnsi" w:hAnsiTheme="minorHAnsi" w:cstheme="minorHAnsi"/>
                <w:i/>
              </w:rPr>
              <w:t>less than 0.80 (20-39 years)</w:t>
            </w:r>
          </w:p>
          <w:p w14:paraId="5649CDE7" w14:textId="77777777" w:rsidR="00D913B2" w:rsidRPr="002137E6" w:rsidRDefault="00D913B2" w:rsidP="009E0A63">
            <w:pPr>
              <w:pStyle w:val="06Tablebullet"/>
              <w:rPr>
                <w:rFonts w:asciiTheme="minorHAnsi" w:hAnsiTheme="minorHAnsi" w:cstheme="minorHAnsi"/>
                <w:i/>
              </w:rPr>
            </w:pPr>
            <w:r w:rsidRPr="002137E6">
              <w:rPr>
                <w:rFonts w:asciiTheme="minorHAnsi" w:hAnsiTheme="minorHAnsi" w:cstheme="minorHAnsi"/>
                <w:i/>
              </w:rPr>
              <w:t>less than 0.75 (40-59 years)</w:t>
            </w:r>
          </w:p>
          <w:p w14:paraId="686CF4A7" w14:textId="77777777" w:rsidR="00D913B2" w:rsidRPr="002137E6" w:rsidRDefault="00D913B2" w:rsidP="009E0A63">
            <w:pPr>
              <w:pStyle w:val="06Tablebullet"/>
              <w:rPr>
                <w:rFonts w:asciiTheme="minorHAnsi" w:hAnsiTheme="minorHAnsi" w:cstheme="minorHAnsi"/>
              </w:rPr>
            </w:pPr>
            <w:r w:rsidRPr="002137E6">
              <w:rPr>
                <w:rFonts w:asciiTheme="minorHAnsi" w:hAnsiTheme="minorHAnsi" w:cstheme="minorHAnsi"/>
                <w:i/>
              </w:rPr>
              <w:lastRenderedPageBreak/>
              <w:t>less than 0.70 (60 years and older)</w:t>
            </w: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tcPr>
          <w:p w14:paraId="36F28D6D" w14:textId="77777777" w:rsidR="00D913B2" w:rsidRPr="002137E6" w:rsidRDefault="00D913B2" w:rsidP="009E0A63">
            <w:pPr>
              <w:pStyle w:val="Tabletext"/>
              <w:rPr>
                <w:rFonts w:cstheme="minorHAnsi"/>
                <w:vertAlign w:val="superscript"/>
              </w:rPr>
            </w:pPr>
            <w:r w:rsidRPr="002137E6">
              <w:rPr>
                <w:rFonts w:cstheme="minorHAnsi"/>
              </w:rPr>
              <w:lastRenderedPageBreak/>
              <w:t>Consensus recommendation with reference to named sources</w:t>
            </w:r>
            <w:r w:rsidRPr="002137E6">
              <w:rPr>
                <w:rFonts w:cstheme="minorHAnsi"/>
                <w:vertAlign w:val="superscript"/>
              </w:rPr>
              <w:t>a</w:t>
            </w:r>
          </w:p>
        </w:tc>
      </w:tr>
      <w:tr w:rsidR="00D913B2" w:rsidRPr="002137E6" w14:paraId="3B5AEB52" w14:textId="77777777" w:rsidTr="005E328F">
        <w:tc>
          <w:tcPr>
            <w:tcW w:w="2093" w:type="dxa"/>
            <w:vMerge/>
            <w:tcBorders>
              <w:left w:val="single" w:sz="4" w:space="0" w:color="auto"/>
              <w:right w:val="single" w:sz="4" w:space="0" w:color="auto"/>
            </w:tcBorders>
            <w:shd w:val="clear" w:color="auto" w:fill="DBE5F1" w:themeFill="accent1" w:themeFillTint="33"/>
          </w:tcPr>
          <w:p w14:paraId="2FCBC9EF" w14:textId="77777777" w:rsidR="00D913B2" w:rsidRPr="002137E6" w:rsidRDefault="00D913B2" w:rsidP="009E0A63">
            <w:pPr>
              <w:pStyle w:val="Tabletext"/>
              <w:rPr>
                <w:rFonts w:cstheme="minorHAnsi"/>
              </w:rPr>
            </w:pPr>
          </w:p>
        </w:tc>
        <w:tc>
          <w:tcPr>
            <w:tcW w:w="5542" w:type="dxa"/>
            <w:tcBorders>
              <w:top w:val="single" w:sz="4" w:space="0" w:color="auto"/>
              <w:left w:val="single" w:sz="4" w:space="0" w:color="auto"/>
              <w:bottom w:val="single" w:sz="4" w:space="0" w:color="auto"/>
              <w:right w:val="single" w:sz="4" w:space="0" w:color="auto"/>
            </w:tcBorders>
            <w:shd w:val="clear" w:color="auto" w:fill="auto"/>
          </w:tcPr>
          <w:p w14:paraId="380EAA45" w14:textId="77777777" w:rsidR="00D913B2" w:rsidRPr="002137E6" w:rsidRDefault="00D913B2" w:rsidP="009E0A63">
            <w:pPr>
              <w:pStyle w:val="Tabletext"/>
              <w:rPr>
                <w:rFonts w:cstheme="minorHAnsi"/>
              </w:rPr>
            </w:pPr>
            <w:r w:rsidRPr="002137E6">
              <w:rPr>
                <w:rFonts w:cstheme="minorHAnsi"/>
              </w:rPr>
              <w:t>If a patient shows some improvement in FEV</w:t>
            </w:r>
            <w:r w:rsidRPr="002137E6">
              <w:rPr>
                <w:rFonts w:cstheme="minorHAnsi"/>
                <w:vertAlign w:val="subscript"/>
              </w:rPr>
              <w:t>1</w:t>
            </w:r>
            <w:r w:rsidRPr="002137E6">
              <w:rPr>
                <w:rFonts w:cstheme="minorHAnsi"/>
              </w:rPr>
              <w:t xml:space="preserve"> after bronchodilator, but does not meet criteria for reversible airflow limitation, consider other investigations. If necessary, repeat spirometry after a treatment trial of 4-6 weeks with regular low-dose inhaled corticosteroid plus short-acting beta</w:t>
            </w:r>
            <w:r w:rsidRPr="002137E6">
              <w:rPr>
                <w:rFonts w:cstheme="minorHAnsi"/>
                <w:vertAlign w:val="subscript"/>
              </w:rPr>
              <w:t>2</w:t>
            </w:r>
            <w:r w:rsidRPr="002137E6">
              <w:rPr>
                <w:rFonts w:cstheme="minorHAnsi"/>
              </w:rPr>
              <w:t xml:space="preserve"> agonist as needed, to see if there is a significant improvement in symptoms and lung function.</w:t>
            </w:r>
          </w:p>
          <w:p w14:paraId="25A6E7BE" w14:textId="77777777" w:rsidR="00D913B2" w:rsidRPr="002137E6" w:rsidRDefault="00D913B2" w:rsidP="009E0A63">
            <w:pPr>
              <w:pStyle w:val="Tabletext"/>
              <w:rPr>
                <w:rFonts w:cstheme="minorHAnsi"/>
              </w:rPr>
            </w:pPr>
            <w:r w:rsidRPr="002137E6">
              <w:rPr>
                <w:rFonts w:cstheme="minorHAnsi"/>
                <w:i/>
              </w:rPr>
              <w:t>Note: Airflow limitations can be transient (e.g. when recorded during a severe acute infection of the respiratory tract) and does not necessarily mean that the person has chronic asthma. Ideally, airflow limitation should be confirmed when the patient does not have a respiratory tract infection.</w:t>
            </w: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0F15333A" w14:textId="77777777" w:rsidR="00D913B2" w:rsidRPr="002137E6" w:rsidRDefault="00D913B2" w:rsidP="009E0A63">
            <w:pPr>
              <w:pStyle w:val="Tabletext"/>
              <w:rPr>
                <w:rFonts w:cstheme="minorHAnsi"/>
              </w:rPr>
            </w:pPr>
            <w:r w:rsidRPr="002137E6">
              <w:rPr>
                <w:rFonts w:cstheme="minorHAnsi"/>
              </w:rPr>
              <w:t>Consensus recommendation</w:t>
            </w:r>
          </w:p>
        </w:tc>
      </w:tr>
      <w:tr w:rsidR="00D913B2" w:rsidRPr="002137E6" w14:paraId="6DF169E3" w14:textId="77777777" w:rsidTr="001132C1">
        <w:tc>
          <w:tcPr>
            <w:tcW w:w="2093" w:type="dxa"/>
            <w:vMerge/>
            <w:tcBorders>
              <w:left w:val="single" w:sz="4" w:space="0" w:color="auto"/>
              <w:right w:val="single" w:sz="4" w:space="0" w:color="auto"/>
            </w:tcBorders>
            <w:shd w:val="clear" w:color="auto" w:fill="FFFFFF" w:themeFill="background1"/>
          </w:tcPr>
          <w:p w14:paraId="2A028BEC" w14:textId="77777777" w:rsidR="00D913B2" w:rsidRPr="002137E6" w:rsidRDefault="00D913B2" w:rsidP="009E0A63">
            <w:pPr>
              <w:pStyle w:val="Tabletext"/>
              <w:rPr>
                <w:rFonts w:cstheme="minorHAnsi"/>
              </w:rPr>
            </w:pPr>
          </w:p>
        </w:tc>
        <w:tc>
          <w:tcPr>
            <w:tcW w:w="5542" w:type="dxa"/>
            <w:tcBorders>
              <w:top w:val="single" w:sz="4" w:space="0" w:color="auto"/>
              <w:left w:val="single" w:sz="4" w:space="0" w:color="auto"/>
              <w:bottom w:val="single" w:sz="4" w:space="0" w:color="auto"/>
              <w:right w:val="single" w:sz="4" w:space="0" w:color="auto"/>
            </w:tcBorders>
            <w:shd w:val="clear" w:color="auto" w:fill="FFFFFF" w:themeFill="background1"/>
          </w:tcPr>
          <w:p w14:paraId="3EBE9C20" w14:textId="77777777" w:rsidR="00D913B2" w:rsidRPr="002137E6" w:rsidRDefault="00D913B2" w:rsidP="009E0A63">
            <w:pPr>
              <w:pStyle w:val="Tabletext"/>
              <w:rPr>
                <w:rFonts w:cstheme="minorHAnsi"/>
              </w:rPr>
            </w:pPr>
            <w:r w:rsidRPr="002137E6">
              <w:rPr>
                <w:rFonts w:cstheme="minorHAnsi"/>
              </w:rPr>
              <w:t>Hand-held lung function-measuring devices (designed to measure FEV</w:t>
            </w:r>
            <w:r w:rsidRPr="002137E6">
              <w:rPr>
                <w:rFonts w:cstheme="minorHAnsi"/>
                <w:vertAlign w:val="subscript"/>
              </w:rPr>
              <w:t>1</w:t>
            </w:r>
            <w:r w:rsidRPr="002137E6">
              <w:rPr>
                <w:rFonts w:cstheme="minorHAnsi"/>
              </w:rPr>
              <w:t xml:space="preserve"> and/or FEV</w:t>
            </w:r>
            <w:r w:rsidRPr="002137E6">
              <w:rPr>
                <w:rFonts w:cstheme="minorHAnsi"/>
                <w:vertAlign w:val="subscript"/>
              </w:rPr>
              <w:t>6</w:t>
            </w:r>
            <w:r w:rsidRPr="002137E6">
              <w:rPr>
                <w:rFonts w:cstheme="minorHAnsi"/>
              </w:rPr>
              <w:t>, but not FVC) can be used in COPD case-finding and may also be useful in asthma case-finding, but must not be relied on either for ruling out asthma or when making a definitive diagnosis of asthma, because there is not enough evidence and validated protocols have not been developed.</w:t>
            </w: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tcPr>
          <w:p w14:paraId="317844BA" w14:textId="77777777" w:rsidR="00D913B2" w:rsidRPr="002137E6" w:rsidRDefault="00D913B2" w:rsidP="009E0A63">
            <w:pPr>
              <w:pStyle w:val="Tabletext"/>
              <w:rPr>
                <w:rFonts w:cstheme="minorHAnsi"/>
              </w:rPr>
            </w:pPr>
            <w:r w:rsidRPr="002137E6">
              <w:rPr>
                <w:rFonts w:cstheme="minorHAnsi"/>
              </w:rPr>
              <w:t>Consensus recommendation</w:t>
            </w:r>
          </w:p>
        </w:tc>
      </w:tr>
      <w:tr w:rsidR="00D913B2" w:rsidRPr="002137E6" w14:paraId="75D2BFF7" w14:textId="77777777" w:rsidTr="005E328F">
        <w:tc>
          <w:tcPr>
            <w:tcW w:w="2093" w:type="dxa"/>
            <w:vMerge/>
            <w:tcBorders>
              <w:left w:val="single" w:sz="4" w:space="0" w:color="auto"/>
              <w:bottom w:val="single" w:sz="4" w:space="0" w:color="auto"/>
              <w:right w:val="single" w:sz="4" w:space="0" w:color="auto"/>
            </w:tcBorders>
            <w:shd w:val="clear" w:color="auto" w:fill="DBE5F1" w:themeFill="accent1" w:themeFillTint="33"/>
          </w:tcPr>
          <w:p w14:paraId="61780CE5" w14:textId="77777777" w:rsidR="00D913B2" w:rsidRPr="002137E6" w:rsidRDefault="00D913B2" w:rsidP="009E0A63">
            <w:pPr>
              <w:pStyle w:val="Tabletext"/>
              <w:rPr>
                <w:rFonts w:cstheme="minorHAnsi"/>
              </w:rPr>
            </w:pPr>
          </w:p>
        </w:tc>
        <w:tc>
          <w:tcPr>
            <w:tcW w:w="5542" w:type="dxa"/>
            <w:tcBorders>
              <w:top w:val="single" w:sz="4" w:space="0" w:color="auto"/>
              <w:left w:val="single" w:sz="4" w:space="0" w:color="auto"/>
              <w:bottom w:val="single" w:sz="4" w:space="0" w:color="auto"/>
              <w:right w:val="single" w:sz="4" w:space="0" w:color="auto"/>
            </w:tcBorders>
            <w:shd w:val="clear" w:color="auto" w:fill="auto"/>
          </w:tcPr>
          <w:p w14:paraId="55938887" w14:textId="77777777" w:rsidR="00D913B2" w:rsidRPr="002137E6" w:rsidRDefault="00D913B2" w:rsidP="009E0A63">
            <w:pPr>
              <w:pStyle w:val="Tabletext"/>
              <w:rPr>
                <w:rFonts w:cstheme="minorHAnsi"/>
              </w:rPr>
            </w:pPr>
            <w:r w:rsidRPr="002137E6">
              <w:rPr>
                <w:rFonts w:cstheme="minorHAnsi"/>
              </w:rPr>
              <w:t>Do not use peak flow meters in place of spirometry for diagnosing asthma.</w:t>
            </w: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17E98CFF" w14:textId="77777777" w:rsidR="00D913B2" w:rsidRPr="002137E6" w:rsidRDefault="00D913B2" w:rsidP="009E0A63">
            <w:pPr>
              <w:pStyle w:val="Tabletext"/>
              <w:rPr>
                <w:rFonts w:cstheme="minorHAnsi"/>
              </w:rPr>
            </w:pPr>
            <w:r w:rsidRPr="002137E6">
              <w:rPr>
                <w:rFonts w:cstheme="minorHAnsi"/>
              </w:rPr>
              <w:t>Consensus recommendation</w:t>
            </w:r>
          </w:p>
        </w:tc>
      </w:tr>
      <w:tr w:rsidR="00D913B2" w:rsidRPr="002137E6" w14:paraId="09B8BB1F" w14:textId="77777777" w:rsidTr="001132C1">
        <w:tc>
          <w:tcPr>
            <w:tcW w:w="2093" w:type="dxa"/>
            <w:vMerge w:val="restart"/>
            <w:tcBorders>
              <w:top w:val="single" w:sz="4" w:space="0" w:color="auto"/>
              <w:left w:val="single" w:sz="4" w:space="0" w:color="auto"/>
              <w:right w:val="single" w:sz="4" w:space="0" w:color="auto"/>
            </w:tcBorders>
          </w:tcPr>
          <w:p w14:paraId="311B62D0" w14:textId="77777777" w:rsidR="00D913B2" w:rsidRPr="002137E6" w:rsidRDefault="00D913B2" w:rsidP="009E0A63">
            <w:pPr>
              <w:pStyle w:val="Tabletext"/>
              <w:rPr>
                <w:rFonts w:cstheme="minorHAnsi"/>
              </w:rPr>
            </w:pPr>
            <w:r w:rsidRPr="002137E6">
              <w:rPr>
                <w:rFonts w:cstheme="minorHAnsi"/>
              </w:rPr>
              <w:t>Considering alternative diagnoses in adults</w:t>
            </w:r>
          </w:p>
        </w:tc>
        <w:tc>
          <w:tcPr>
            <w:tcW w:w="5542" w:type="dxa"/>
            <w:tcBorders>
              <w:top w:val="single" w:sz="4" w:space="0" w:color="auto"/>
              <w:left w:val="single" w:sz="4" w:space="0" w:color="auto"/>
              <w:bottom w:val="single" w:sz="4" w:space="0" w:color="auto"/>
              <w:right w:val="single" w:sz="4" w:space="0" w:color="auto"/>
            </w:tcBorders>
          </w:tcPr>
          <w:p w14:paraId="02AA979D" w14:textId="77777777" w:rsidR="00D913B2" w:rsidRPr="002137E6" w:rsidRDefault="00D913B2" w:rsidP="009E0A63">
            <w:pPr>
              <w:pStyle w:val="Tabletext"/>
              <w:rPr>
                <w:rFonts w:cstheme="minorHAnsi"/>
              </w:rPr>
            </w:pPr>
            <w:r w:rsidRPr="002137E6">
              <w:rPr>
                <w:rFonts w:cstheme="minorHAnsi"/>
              </w:rPr>
              <w:t>Consider the possibility of upper airway dysfunction when FEV</w:t>
            </w:r>
            <w:r w:rsidRPr="002137E6">
              <w:rPr>
                <w:rFonts w:cstheme="minorHAnsi"/>
                <w:vertAlign w:val="subscript"/>
              </w:rPr>
              <w:t>1</w:t>
            </w:r>
            <w:r w:rsidRPr="002137E6">
              <w:rPr>
                <w:rFonts w:cstheme="minorHAnsi"/>
              </w:rPr>
              <w:t>/FVC ratio on spirometry is normal or when symptoms of breathlessness or wheeze do not improve after taking short acting beta</w:t>
            </w:r>
            <w:r w:rsidRPr="002137E6">
              <w:rPr>
                <w:rFonts w:cstheme="minorHAnsi"/>
                <w:vertAlign w:val="subscript"/>
              </w:rPr>
              <w:t>2</w:t>
            </w:r>
            <w:r w:rsidRPr="002137E6">
              <w:rPr>
                <w:rFonts w:cstheme="minorHAnsi"/>
              </w:rPr>
              <w:t xml:space="preserve"> agonist.</w:t>
            </w:r>
          </w:p>
        </w:tc>
        <w:tc>
          <w:tcPr>
            <w:tcW w:w="1652" w:type="dxa"/>
            <w:tcBorders>
              <w:top w:val="single" w:sz="4" w:space="0" w:color="auto"/>
              <w:left w:val="single" w:sz="4" w:space="0" w:color="auto"/>
              <w:bottom w:val="single" w:sz="4" w:space="0" w:color="auto"/>
              <w:right w:val="single" w:sz="4" w:space="0" w:color="auto"/>
            </w:tcBorders>
          </w:tcPr>
          <w:p w14:paraId="6587118A" w14:textId="77777777" w:rsidR="00D913B2" w:rsidRPr="002137E6" w:rsidRDefault="00D913B2" w:rsidP="009E0A63">
            <w:pPr>
              <w:pStyle w:val="Tabletext"/>
              <w:rPr>
                <w:rFonts w:cstheme="minorHAnsi"/>
                <w:vertAlign w:val="superscript"/>
              </w:rPr>
            </w:pPr>
            <w:r w:rsidRPr="002137E6">
              <w:rPr>
                <w:rFonts w:cstheme="minorHAnsi"/>
              </w:rPr>
              <w:t>Consensus recommendation with reference to named sources</w:t>
            </w:r>
            <w:r w:rsidRPr="002137E6">
              <w:rPr>
                <w:rFonts w:cstheme="minorHAnsi"/>
                <w:vertAlign w:val="superscript"/>
              </w:rPr>
              <w:t>b</w:t>
            </w:r>
          </w:p>
        </w:tc>
      </w:tr>
      <w:tr w:rsidR="00D913B2" w:rsidRPr="002137E6" w14:paraId="6899677D" w14:textId="77777777" w:rsidTr="001132C1">
        <w:tc>
          <w:tcPr>
            <w:tcW w:w="2093" w:type="dxa"/>
            <w:vMerge/>
            <w:tcBorders>
              <w:left w:val="single" w:sz="4" w:space="0" w:color="auto"/>
              <w:bottom w:val="single" w:sz="4" w:space="0" w:color="auto"/>
              <w:right w:val="single" w:sz="4" w:space="0" w:color="auto"/>
            </w:tcBorders>
          </w:tcPr>
          <w:p w14:paraId="0EEF5288" w14:textId="77777777" w:rsidR="00D913B2" w:rsidRPr="002137E6" w:rsidRDefault="00D913B2" w:rsidP="009E0A63">
            <w:pPr>
              <w:pStyle w:val="Tabletext"/>
              <w:rPr>
                <w:rFonts w:cstheme="minorHAnsi"/>
              </w:rPr>
            </w:pPr>
          </w:p>
        </w:tc>
        <w:tc>
          <w:tcPr>
            <w:tcW w:w="5542" w:type="dxa"/>
            <w:tcBorders>
              <w:top w:val="single" w:sz="4" w:space="0" w:color="auto"/>
              <w:left w:val="single" w:sz="4" w:space="0" w:color="auto"/>
              <w:bottom w:val="single" w:sz="4" w:space="0" w:color="auto"/>
              <w:right w:val="single" w:sz="4" w:space="0" w:color="auto"/>
            </w:tcBorders>
          </w:tcPr>
          <w:p w14:paraId="0E3DDCB6" w14:textId="77777777" w:rsidR="00D913B2" w:rsidRPr="002137E6" w:rsidRDefault="00D913B2" w:rsidP="009E0A63">
            <w:pPr>
              <w:pStyle w:val="Tabletext"/>
              <w:rPr>
                <w:rFonts w:cstheme="minorHAnsi"/>
              </w:rPr>
            </w:pPr>
            <w:r w:rsidRPr="002137E6">
              <w:rPr>
                <w:rFonts w:cstheme="minorHAnsi"/>
              </w:rPr>
              <w:t>If airflow limitation is not completely reversible, consider the possibility of COPD (as an alternative diagnosis or a coexisting diagnosis), especially in smokers and ex-smokers over 35 years old and in people over 65 years old.</w:t>
            </w:r>
          </w:p>
        </w:tc>
        <w:tc>
          <w:tcPr>
            <w:tcW w:w="1652" w:type="dxa"/>
            <w:tcBorders>
              <w:top w:val="single" w:sz="4" w:space="0" w:color="auto"/>
              <w:left w:val="single" w:sz="4" w:space="0" w:color="auto"/>
              <w:bottom w:val="single" w:sz="4" w:space="0" w:color="auto"/>
              <w:right w:val="single" w:sz="4" w:space="0" w:color="auto"/>
            </w:tcBorders>
          </w:tcPr>
          <w:p w14:paraId="7648F985" w14:textId="77777777" w:rsidR="00D913B2" w:rsidRPr="002137E6" w:rsidRDefault="00D913B2" w:rsidP="009E0A63">
            <w:pPr>
              <w:pStyle w:val="Tabletext"/>
              <w:rPr>
                <w:rFonts w:cstheme="minorHAnsi"/>
                <w:vertAlign w:val="superscript"/>
              </w:rPr>
            </w:pPr>
            <w:r w:rsidRPr="002137E6">
              <w:rPr>
                <w:rFonts w:cstheme="minorHAnsi"/>
              </w:rPr>
              <w:t>Consensus recommendation with reference to named sources</w:t>
            </w:r>
            <w:r w:rsidRPr="002137E6">
              <w:rPr>
                <w:rFonts w:cstheme="minorHAnsi"/>
                <w:vertAlign w:val="superscript"/>
              </w:rPr>
              <w:t>c</w:t>
            </w:r>
          </w:p>
        </w:tc>
      </w:tr>
      <w:tr w:rsidR="00D913B2" w:rsidRPr="002137E6" w14:paraId="33B72E57" w14:textId="77777777" w:rsidTr="001132C1">
        <w:tc>
          <w:tcPr>
            <w:tcW w:w="2093" w:type="dxa"/>
            <w:vMerge w:val="restart"/>
            <w:tcBorders>
              <w:top w:val="single" w:sz="4" w:space="0" w:color="auto"/>
              <w:left w:val="single" w:sz="4" w:space="0" w:color="auto"/>
              <w:right w:val="single" w:sz="4" w:space="0" w:color="auto"/>
            </w:tcBorders>
            <w:shd w:val="clear" w:color="auto" w:fill="FFFFFF" w:themeFill="background1"/>
          </w:tcPr>
          <w:p w14:paraId="60241022" w14:textId="77777777" w:rsidR="00D913B2" w:rsidRPr="002137E6" w:rsidRDefault="00D913B2" w:rsidP="009E0A63">
            <w:pPr>
              <w:pStyle w:val="Tabletext"/>
              <w:rPr>
                <w:rFonts w:cstheme="minorHAnsi"/>
              </w:rPr>
            </w:pPr>
            <w:r w:rsidRPr="002137E6">
              <w:rPr>
                <w:rFonts w:cstheme="minorHAnsi"/>
              </w:rPr>
              <w:t>Making a diagnosis of asthma in adults</w:t>
            </w:r>
          </w:p>
        </w:tc>
        <w:tc>
          <w:tcPr>
            <w:tcW w:w="5542" w:type="dxa"/>
            <w:tcBorders>
              <w:top w:val="single" w:sz="4" w:space="0" w:color="auto"/>
              <w:left w:val="single" w:sz="4" w:space="0" w:color="auto"/>
              <w:bottom w:val="single" w:sz="4" w:space="0" w:color="auto"/>
              <w:right w:val="single" w:sz="4" w:space="0" w:color="auto"/>
            </w:tcBorders>
            <w:shd w:val="clear" w:color="auto" w:fill="FFFFFF" w:themeFill="background1"/>
          </w:tcPr>
          <w:p w14:paraId="628BCD81" w14:textId="77777777" w:rsidR="00D913B2" w:rsidRPr="002137E6" w:rsidRDefault="00D913B2" w:rsidP="009E0A63">
            <w:pPr>
              <w:pStyle w:val="Tabletext"/>
              <w:rPr>
                <w:rFonts w:cstheme="minorHAnsi"/>
              </w:rPr>
            </w:pPr>
            <w:r w:rsidRPr="002137E6">
              <w:rPr>
                <w:rFonts w:cstheme="minorHAnsi"/>
              </w:rPr>
              <w:t>Make a diagnosis of asthma if all of the following apply:</w:t>
            </w:r>
          </w:p>
          <w:p w14:paraId="2857AFF2" w14:textId="77777777" w:rsidR="00D913B2" w:rsidRPr="002137E6" w:rsidRDefault="00D913B2" w:rsidP="009E0A63">
            <w:pPr>
              <w:pStyle w:val="06Tablebullet"/>
              <w:rPr>
                <w:rFonts w:asciiTheme="minorHAnsi" w:hAnsiTheme="minorHAnsi" w:cstheme="minorHAnsi"/>
              </w:rPr>
            </w:pPr>
            <w:r w:rsidRPr="002137E6">
              <w:rPr>
                <w:rFonts w:asciiTheme="minorHAnsi" w:hAnsiTheme="minorHAnsi" w:cstheme="minorHAnsi"/>
              </w:rPr>
              <w:t>The person has a history of variable symptoms (especially cough, chest tightness, wheeze and shortness of breath).</w:t>
            </w:r>
          </w:p>
          <w:p w14:paraId="4705A7D6" w14:textId="77777777" w:rsidR="00D913B2" w:rsidRPr="002137E6" w:rsidRDefault="00D913B2" w:rsidP="009E0A63">
            <w:pPr>
              <w:pStyle w:val="06Tablebullet"/>
              <w:rPr>
                <w:rFonts w:asciiTheme="minorHAnsi" w:hAnsiTheme="minorHAnsi" w:cstheme="minorHAnsi"/>
              </w:rPr>
            </w:pPr>
            <w:r w:rsidRPr="002137E6">
              <w:rPr>
                <w:rFonts w:asciiTheme="minorHAnsi" w:hAnsiTheme="minorHAnsi" w:cstheme="minorHAnsi"/>
              </w:rPr>
              <w:t>Expiratory airflow limitation has been demonstrated (FEV</w:t>
            </w:r>
            <w:r w:rsidRPr="002137E6">
              <w:rPr>
                <w:rFonts w:asciiTheme="minorHAnsi" w:hAnsiTheme="minorHAnsi" w:cstheme="minorHAnsi"/>
                <w:vertAlign w:val="subscript"/>
              </w:rPr>
              <w:t>1</w:t>
            </w:r>
            <w:r w:rsidRPr="002137E6">
              <w:rPr>
                <w:rFonts w:asciiTheme="minorHAnsi" w:hAnsiTheme="minorHAnsi" w:cstheme="minorHAnsi"/>
              </w:rPr>
              <w:t>/FVC less than LLN for age).</w:t>
            </w:r>
          </w:p>
          <w:p w14:paraId="3F049D2D" w14:textId="77777777" w:rsidR="00D913B2" w:rsidRPr="002137E6" w:rsidRDefault="00D913B2" w:rsidP="009E0A63">
            <w:pPr>
              <w:pStyle w:val="06Tablebullet"/>
              <w:rPr>
                <w:rFonts w:asciiTheme="minorHAnsi" w:hAnsiTheme="minorHAnsi" w:cstheme="minorHAnsi"/>
              </w:rPr>
            </w:pPr>
            <w:r w:rsidRPr="002137E6">
              <w:rPr>
                <w:rFonts w:asciiTheme="minorHAnsi" w:hAnsiTheme="minorHAnsi" w:cstheme="minorHAnsi"/>
              </w:rPr>
              <w:t>Expiratory airflow limitation has been shown to be variable.</w:t>
            </w:r>
          </w:p>
          <w:p w14:paraId="2F0E986C" w14:textId="77777777" w:rsidR="00D913B2" w:rsidRPr="002137E6" w:rsidRDefault="00D913B2" w:rsidP="009E0A63">
            <w:pPr>
              <w:pStyle w:val="06Tablebullet"/>
              <w:rPr>
                <w:rFonts w:asciiTheme="minorHAnsi" w:hAnsiTheme="minorHAnsi" w:cstheme="minorHAnsi"/>
              </w:rPr>
            </w:pPr>
            <w:r w:rsidRPr="002137E6">
              <w:rPr>
                <w:rFonts w:asciiTheme="minorHAnsi" w:hAnsiTheme="minorHAnsi" w:cstheme="minorHAnsi"/>
              </w:rPr>
              <w:t>There are no findings that suggest an alternative diagnosis.</w:t>
            </w:r>
          </w:p>
          <w:p w14:paraId="5DFA2F3D" w14:textId="77777777" w:rsidR="00D913B2" w:rsidRPr="002137E6" w:rsidRDefault="00D913B2" w:rsidP="009E0A63">
            <w:pPr>
              <w:pStyle w:val="04Tabletextspaceitalics"/>
              <w:rPr>
                <w:rFonts w:asciiTheme="minorHAnsi" w:hAnsiTheme="minorHAnsi" w:cstheme="minorHAnsi"/>
              </w:rPr>
            </w:pPr>
            <w:r w:rsidRPr="002137E6">
              <w:rPr>
                <w:rFonts w:asciiTheme="minorHAnsi" w:hAnsiTheme="minorHAnsi" w:cstheme="minorHAnsi"/>
              </w:rPr>
              <w:t>Note: If the spirometer does not provide LLN for age, use the following age-based cut-points to indicate expiratory airflow limitation in adults and older adolescents:</w:t>
            </w:r>
          </w:p>
          <w:p w14:paraId="61F3265A" w14:textId="77777777" w:rsidR="00D913B2" w:rsidRPr="002137E6" w:rsidRDefault="00D913B2" w:rsidP="009E0A63">
            <w:pPr>
              <w:pStyle w:val="06Tablebullet"/>
              <w:rPr>
                <w:rFonts w:asciiTheme="minorHAnsi" w:hAnsiTheme="minorHAnsi" w:cstheme="minorHAnsi"/>
                <w:i/>
              </w:rPr>
            </w:pPr>
            <w:r w:rsidRPr="002137E6">
              <w:rPr>
                <w:rFonts w:asciiTheme="minorHAnsi" w:hAnsiTheme="minorHAnsi" w:cstheme="minorHAnsi"/>
                <w:i/>
              </w:rPr>
              <w:t>less than 0.85 (up to 19 years)</w:t>
            </w:r>
          </w:p>
          <w:p w14:paraId="481339D0" w14:textId="77777777" w:rsidR="00D913B2" w:rsidRPr="002137E6" w:rsidRDefault="00D913B2" w:rsidP="009E0A63">
            <w:pPr>
              <w:pStyle w:val="06Tablebullet"/>
              <w:rPr>
                <w:rFonts w:asciiTheme="minorHAnsi" w:hAnsiTheme="minorHAnsi" w:cstheme="minorHAnsi"/>
                <w:i/>
              </w:rPr>
            </w:pPr>
            <w:r w:rsidRPr="002137E6">
              <w:rPr>
                <w:rFonts w:asciiTheme="minorHAnsi" w:hAnsiTheme="minorHAnsi" w:cstheme="minorHAnsi"/>
                <w:i/>
              </w:rPr>
              <w:t>less than 0.80 (20-39 years)</w:t>
            </w:r>
          </w:p>
          <w:p w14:paraId="249DC8B7" w14:textId="77777777" w:rsidR="00D913B2" w:rsidRPr="002137E6" w:rsidRDefault="00D913B2" w:rsidP="009E0A63">
            <w:pPr>
              <w:pStyle w:val="06Tablebullet"/>
              <w:rPr>
                <w:rFonts w:asciiTheme="minorHAnsi" w:hAnsiTheme="minorHAnsi" w:cstheme="minorHAnsi"/>
                <w:i/>
              </w:rPr>
            </w:pPr>
            <w:r w:rsidRPr="002137E6">
              <w:rPr>
                <w:rFonts w:asciiTheme="minorHAnsi" w:hAnsiTheme="minorHAnsi" w:cstheme="minorHAnsi"/>
                <w:i/>
              </w:rPr>
              <w:t>less than 0.75 (40-59 years)</w:t>
            </w:r>
          </w:p>
          <w:p w14:paraId="5429DA63" w14:textId="77777777" w:rsidR="00D913B2" w:rsidRPr="002137E6" w:rsidRDefault="00D913B2" w:rsidP="009E0A63">
            <w:pPr>
              <w:pStyle w:val="06Tablebullet"/>
              <w:rPr>
                <w:rFonts w:asciiTheme="minorHAnsi" w:hAnsiTheme="minorHAnsi" w:cstheme="minorHAnsi"/>
              </w:rPr>
            </w:pPr>
            <w:r w:rsidRPr="002137E6">
              <w:rPr>
                <w:rFonts w:asciiTheme="minorHAnsi" w:hAnsiTheme="minorHAnsi" w:cstheme="minorHAnsi"/>
                <w:i/>
              </w:rPr>
              <w:t>less than 0.70 (60 years and older)</w:t>
            </w: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tcPr>
          <w:p w14:paraId="64ABF3DC" w14:textId="77777777" w:rsidR="00D913B2" w:rsidRPr="002137E6" w:rsidRDefault="00D913B2" w:rsidP="009E0A63">
            <w:pPr>
              <w:pStyle w:val="Tabletext"/>
              <w:rPr>
                <w:rFonts w:cstheme="minorHAnsi"/>
              </w:rPr>
            </w:pPr>
            <w:r w:rsidRPr="002137E6">
              <w:rPr>
                <w:rFonts w:cstheme="minorHAnsi"/>
              </w:rPr>
              <w:t>Consensus recommendation</w:t>
            </w:r>
          </w:p>
        </w:tc>
      </w:tr>
      <w:tr w:rsidR="00D913B2" w:rsidRPr="002137E6" w14:paraId="3A98452B" w14:textId="77777777" w:rsidTr="005E328F">
        <w:tc>
          <w:tcPr>
            <w:tcW w:w="2093" w:type="dxa"/>
            <w:vMerge/>
            <w:tcBorders>
              <w:left w:val="single" w:sz="4" w:space="0" w:color="auto"/>
              <w:bottom w:val="single" w:sz="4" w:space="0" w:color="auto"/>
              <w:right w:val="single" w:sz="4" w:space="0" w:color="auto"/>
            </w:tcBorders>
            <w:shd w:val="clear" w:color="auto" w:fill="DBE5F1" w:themeFill="accent1" w:themeFillTint="33"/>
          </w:tcPr>
          <w:p w14:paraId="15799D45" w14:textId="77777777" w:rsidR="00D913B2" w:rsidRPr="002137E6" w:rsidRDefault="00D913B2" w:rsidP="009E0A63">
            <w:pPr>
              <w:pStyle w:val="Tabletext"/>
              <w:rPr>
                <w:rFonts w:cstheme="minorHAnsi"/>
              </w:rPr>
            </w:pPr>
          </w:p>
        </w:tc>
        <w:tc>
          <w:tcPr>
            <w:tcW w:w="5542" w:type="dxa"/>
            <w:tcBorders>
              <w:top w:val="single" w:sz="4" w:space="0" w:color="auto"/>
              <w:left w:val="single" w:sz="4" w:space="0" w:color="auto"/>
              <w:bottom w:val="single" w:sz="4" w:space="0" w:color="auto"/>
              <w:right w:val="single" w:sz="4" w:space="0" w:color="auto"/>
            </w:tcBorders>
            <w:shd w:val="clear" w:color="auto" w:fill="auto"/>
          </w:tcPr>
          <w:p w14:paraId="7593157D" w14:textId="77777777" w:rsidR="00D913B2" w:rsidRPr="002137E6" w:rsidRDefault="00D913B2" w:rsidP="009E0A63">
            <w:pPr>
              <w:pStyle w:val="Tabletext"/>
              <w:rPr>
                <w:rFonts w:cstheme="minorHAnsi"/>
              </w:rPr>
            </w:pPr>
            <w:r w:rsidRPr="002137E6">
              <w:rPr>
                <w:rFonts w:cstheme="minorHAnsi"/>
              </w:rPr>
              <w:t>If a patient’s asthma has been diagnosed elsewhere (e.g. in a new patient reporting the diagnosis of asthma), try to confirm the diagnosis – whether or not the person has current symptoms, and whether or not the person is taking asthma medicines.</w:t>
            </w: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26AC49CF" w14:textId="77777777" w:rsidR="00D913B2" w:rsidRPr="002137E6" w:rsidRDefault="00D913B2" w:rsidP="009E0A63">
            <w:pPr>
              <w:pStyle w:val="Tabletext"/>
              <w:rPr>
                <w:rFonts w:cstheme="minorHAnsi"/>
              </w:rPr>
            </w:pPr>
            <w:r w:rsidRPr="002137E6">
              <w:rPr>
                <w:rFonts w:cstheme="minorHAnsi"/>
              </w:rPr>
              <w:t>Consensus recommendation</w:t>
            </w:r>
          </w:p>
        </w:tc>
      </w:tr>
      <w:tr w:rsidR="009E0A63" w:rsidRPr="002137E6" w14:paraId="126644B6" w14:textId="77777777" w:rsidTr="0099709F">
        <w:tc>
          <w:tcPr>
            <w:tcW w:w="2093" w:type="dxa"/>
            <w:tcBorders>
              <w:top w:val="single" w:sz="4" w:space="0" w:color="auto"/>
              <w:left w:val="single" w:sz="4" w:space="0" w:color="auto"/>
              <w:bottom w:val="single" w:sz="4" w:space="0" w:color="auto"/>
              <w:right w:val="single" w:sz="4" w:space="0" w:color="auto"/>
            </w:tcBorders>
          </w:tcPr>
          <w:p w14:paraId="7EA25A95" w14:textId="77777777" w:rsidR="009E0A63" w:rsidRPr="002137E6" w:rsidRDefault="009E0A63" w:rsidP="009E0A63">
            <w:pPr>
              <w:pStyle w:val="Tabletext"/>
              <w:rPr>
                <w:rFonts w:cstheme="minorHAnsi"/>
              </w:rPr>
            </w:pPr>
            <w:r w:rsidRPr="002137E6">
              <w:rPr>
                <w:rFonts w:cstheme="minorHAnsi"/>
              </w:rPr>
              <w:t>Starting treatment and reviewing response in adults</w:t>
            </w:r>
          </w:p>
        </w:tc>
        <w:tc>
          <w:tcPr>
            <w:tcW w:w="5542" w:type="dxa"/>
            <w:tcBorders>
              <w:top w:val="single" w:sz="4" w:space="0" w:color="auto"/>
              <w:left w:val="single" w:sz="4" w:space="0" w:color="auto"/>
              <w:bottom w:val="single" w:sz="4" w:space="0" w:color="auto"/>
              <w:right w:val="single" w:sz="4" w:space="0" w:color="auto"/>
            </w:tcBorders>
          </w:tcPr>
          <w:p w14:paraId="357A0FC6" w14:textId="77777777" w:rsidR="009E0A63" w:rsidRPr="002137E6" w:rsidRDefault="009E0A63" w:rsidP="009E0A63">
            <w:pPr>
              <w:pStyle w:val="Tabletext"/>
              <w:rPr>
                <w:rFonts w:cstheme="minorHAnsi"/>
              </w:rPr>
            </w:pPr>
            <w:r w:rsidRPr="002137E6">
              <w:rPr>
                <w:rFonts w:cstheme="minorHAnsi"/>
              </w:rPr>
              <w:t xml:space="preserve">Consider a treatment trial if asthma is strongly suspected but spirometry before and after bronchodilator does not demonstrate clinically important reversible airflow limitation </w:t>
            </w:r>
            <w:r w:rsidRPr="002137E6">
              <w:rPr>
                <w:rFonts w:cstheme="minorHAnsi"/>
              </w:rPr>
              <w:lastRenderedPageBreak/>
              <w:t>(change in FEV</w:t>
            </w:r>
            <w:r w:rsidRPr="002137E6">
              <w:rPr>
                <w:rFonts w:cstheme="minorHAnsi"/>
                <w:vertAlign w:val="subscript"/>
              </w:rPr>
              <w:t>1</w:t>
            </w:r>
            <w:r w:rsidRPr="002137E6">
              <w:rPr>
                <w:rFonts w:cstheme="minorHAnsi"/>
              </w:rPr>
              <w:t xml:space="preserve"> of at least 200 mL and 12% from baseline) and other investigations have not confirmed variable airflow limitation.</w:t>
            </w:r>
          </w:p>
        </w:tc>
        <w:tc>
          <w:tcPr>
            <w:tcW w:w="1652" w:type="dxa"/>
            <w:tcBorders>
              <w:top w:val="single" w:sz="4" w:space="0" w:color="auto"/>
              <w:left w:val="single" w:sz="4" w:space="0" w:color="auto"/>
              <w:bottom w:val="single" w:sz="4" w:space="0" w:color="auto"/>
              <w:right w:val="single" w:sz="4" w:space="0" w:color="auto"/>
            </w:tcBorders>
          </w:tcPr>
          <w:p w14:paraId="26BBEC55" w14:textId="77777777" w:rsidR="009E0A63" w:rsidRPr="002137E6" w:rsidRDefault="009E0A63" w:rsidP="009E0A63">
            <w:pPr>
              <w:pStyle w:val="Tabletext"/>
              <w:rPr>
                <w:rFonts w:cstheme="minorHAnsi"/>
              </w:rPr>
            </w:pPr>
            <w:r w:rsidRPr="002137E6">
              <w:rPr>
                <w:rFonts w:cstheme="minorHAnsi"/>
              </w:rPr>
              <w:lastRenderedPageBreak/>
              <w:t>Consensus recommendation</w:t>
            </w:r>
          </w:p>
        </w:tc>
      </w:tr>
      <w:tr w:rsidR="009E0A63" w:rsidRPr="002137E6" w14:paraId="6CAE4CA7" w14:textId="77777777" w:rsidTr="001132C1">
        <w:tc>
          <w:tcPr>
            <w:tcW w:w="2093" w:type="dxa"/>
            <w:vMerge w:val="restart"/>
            <w:tcBorders>
              <w:top w:val="single" w:sz="4" w:space="0" w:color="auto"/>
              <w:left w:val="single" w:sz="4" w:space="0" w:color="auto"/>
              <w:right w:val="single" w:sz="4" w:space="0" w:color="auto"/>
            </w:tcBorders>
          </w:tcPr>
          <w:p w14:paraId="7866A6B2" w14:textId="77777777" w:rsidR="009E0A63" w:rsidRPr="002137E6" w:rsidRDefault="009E0A63" w:rsidP="009E0A63">
            <w:pPr>
              <w:pStyle w:val="Tabletext"/>
              <w:rPr>
                <w:rFonts w:cstheme="minorHAnsi"/>
              </w:rPr>
            </w:pPr>
            <w:r w:rsidRPr="002137E6">
              <w:rPr>
                <w:rFonts w:cstheme="minorHAnsi"/>
              </w:rPr>
              <w:t>Considering further investigations in adults</w:t>
            </w:r>
          </w:p>
        </w:tc>
        <w:tc>
          <w:tcPr>
            <w:tcW w:w="5542" w:type="dxa"/>
            <w:tcBorders>
              <w:top w:val="single" w:sz="4" w:space="0" w:color="auto"/>
              <w:left w:val="single" w:sz="4" w:space="0" w:color="auto"/>
              <w:bottom w:val="single" w:sz="4" w:space="0" w:color="auto"/>
              <w:right w:val="single" w:sz="4" w:space="0" w:color="auto"/>
            </w:tcBorders>
          </w:tcPr>
          <w:p w14:paraId="1515FDCB" w14:textId="77777777" w:rsidR="009E0A63" w:rsidRPr="002137E6" w:rsidRDefault="009E0A63" w:rsidP="009E0A63">
            <w:pPr>
              <w:pStyle w:val="Tabletext"/>
              <w:rPr>
                <w:rFonts w:cstheme="minorHAnsi"/>
              </w:rPr>
            </w:pPr>
            <w:r w:rsidRPr="002137E6">
              <w:rPr>
                <w:rFonts w:cstheme="minorHAnsi"/>
              </w:rPr>
              <w:t>Consider arranging further investigations and referral to appropriate specialists if the diagnosis cannot be made with confidence from clinical features, spirometry and response to treatment.</w:t>
            </w:r>
          </w:p>
        </w:tc>
        <w:tc>
          <w:tcPr>
            <w:tcW w:w="1652" w:type="dxa"/>
            <w:tcBorders>
              <w:top w:val="single" w:sz="4" w:space="0" w:color="auto"/>
              <w:left w:val="single" w:sz="4" w:space="0" w:color="auto"/>
              <w:bottom w:val="single" w:sz="4" w:space="0" w:color="auto"/>
              <w:right w:val="single" w:sz="4" w:space="0" w:color="auto"/>
            </w:tcBorders>
          </w:tcPr>
          <w:p w14:paraId="07B6036E" w14:textId="77777777" w:rsidR="009E0A63" w:rsidRPr="002137E6" w:rsidRDefault="009E0A63" w:rsidP="009E0A63">
            <w:pPr>
              <w:pStyle w:val="Tabletext"/>
              <w:rPr>
                <w:rFonts w:cstheme="minorHAnsi"/>
              </w:rPr>
            </w:pPr>
            <w:r w:rsidRPr="002137E6">
              <w:rPr>
                <w:rFonts w:cstheme="minorHAnsi"/>
              </w:rPr>
              <w:t>Consensus recommendation</w:t>
            </w:r>
          </w:p>
        </w:tc>
      </w:tr>
      <w:tr w:rsidR="009E0A63" w:rsidRPr="002137E6" w14:paraId="1361FD87" w14:textId="77777777" w:rsidTr="001132C1">
        <w:tc>
          <w:tcPr>
            <w:tcW w:w="2093" w:type="dxa"/>
            <w:vMerge/>
            <w:tcBorders>
              <w:left w:val="single" w:sz="4" w:space="0" w:color="auto"/>
              <w:right w:val="single" w:sz="4" w:space="0" w:color="auto"/>
            </w:tcBorders>
          </w:tcPr>
          <w:p w14:paraId="75BF9D9F" w14:textId="77777777" w:rsidR="009E0A63" w:rsidRPr="002137E6" w:rsidRDefault="009E0A63" w:rsidP="009E0A63">
            <w:pPr>
              <w:pStyle w:val="Tabletext"/>
              <w:rPr>
                <w:rFonts w:cstheme="minorHAnsi"/>
              </w:rPr>
            </w:pPr>
          </w:p>
        </w:tc>
        <w:tc>
          <w:tcPr>
            <w:tcW w:w="5542" w:type="dxa"/>
            <w:tcBorders>
              <w:top w:val="single" w:sz="4" w:space="0" w:color="auto"/>
              <w:left w:val="single" w:sz="4" w:space="0" w:color="auto"/>
              <w:bottom w:val="single" w:sz="4" w:space="0" w:color="auto"/>
              <w:right w:val="single" w:sz="4" w:space="0" w:color="auto"/>
            </w:tcBorders>
          </w:tcPr>
          <w:p w14:paraId="530EDFCF" w14:textId="77777777" w:rsidR="009E0A63" w:rsidRPr="002137E6" w:rsidRDefault="009E0A63" w:rsidP="009E0A63">
            <w:pPr>
              <w:pStyle w:val="Tabletext"/>
              <w:rPr>
                <w:rFonts w:cstheme="minorHAnsi"/>
              </w:rPr>
            </w:pPr>
            <w:r w:rsidRPr="002137E6">
              <w:rPr>
                <w:rFonts w:cstheme="minorHAnsi"/>
              </w:rPr>
              <w:t>Consider investigation for conditions that may affect or mimic asthma symptoms (e.g. coronary heart disease, obstructive sleep apnoea, gastro-oesophageal reflux disease or aspirin-exacerbated respiratory disease).</w:t>
            </w:r>
          </w:p>
        </w:tc>
        <w:tc>
          <w:tcPr>
            <w:tcW w:w="1652" w:type="dxa"/>
            <w:tcBorders>
              <w:top w:val="single" w:sz="4" w:space="0" w:color="auto"/>
              <w:left w:val="single" w:sz="4" w:space="0" w:color="auto"/>
              <w:bottom w:val="single" w:sz="4" w:space="0" w:color="auto"/>
              <w:right w:val="single" w:sz="4" w:space="0" w:color="auto"/>
            </w:tcBorders>
          </w:tcPr>
          <w:p w14:paraId="7CACFC8F" w14:textId="77777777" w:rsidR="009E0A63" w:rsidRPr="002137E6" w:rsidRDefault="009E0A63" w:rsidP="009E0A63">
            <w:pPr>
              <w:pStyle w:val="Tabletext"/>
              <w:rPr>
                <w:rFonts w:cstheme="minorHAnsi"/>
              </w:rPr>
            </w:pPr>
            <w:r w:rsidRPr="002137E6">
              <w:rPr>
                <w:rFonts w:cstheme="minorHAnsi"/>
              </w:rPr>
              <w:t>Consensus recommendation</w:t>
            </w:r>
          </w:p>
        </w:tc>
      </w:tr>
      <w:tr w:rsidR="009E0A63" w:rsidRPr="002137E6" w14:paraId="588CED01" w14:textId="77777777" w:rsidTr="001132C1">
        <w:tc>
          <w:tcPr>
            <w:tcW w:w="2093" w:type="dxa"/>
            <w:vMerge/>
            <w:tcBorders>
              <w:left w:val="single" w:sz="4" w:space="0" w:color="auto"/>
              <w:bottom w:val="single" w:sz="4" w:space="0" w:color="auto"/>
              <w:right w:val="single" w:sz="4" w:space="0" w:color="auto"/>
            </w:tcBorders>
          </w:tcPr>
          <w:p w14:paraId="3147D605" w14:textId="77777777" w:rsidR="009E0A63" w:rsidRPr="002137E6" w:rsidRDefault="009E0A63" w:rsidP="009E0A63">
            <w:pPr>
              <w:pStyle w:val="Tabletext"/>
              <w:rPr>
                <w:rFonts w:cstheme="minorHAnsi"/>
              </w:rPr>
            </w:pPr>
          </w:p>
        </w:tc>
        <w:tc>
          <w:tcPr>
            <w:tcW w:w="5542" w:type="dxa"/>
            <w:tcBorders>
              <w:top w:val="single" w:sz="4" w:space="0" w:color="auto"/>
              <w:left w:val="single" w:sz="4" w:space="0" w:color="auto"/>
              <w:bottom w:val="single" w:sz="4" w:space="0" w:color="auto"/>
              <w:right w:val="single" w:sz="4" w:space="0" w:color="auto"/>
            </w:tcBorders>
          </w:tcPr>
          <w:p w14:paraId="2BEA5D94" w14:textId="77777777" w:rsidR="009E0A63" w:rsidRPr="002137E6" w:rsidRDefault="009E0A63" w:rsidP="009E0A63">
            <w:pPr>
              <w:pStyle w:val="Tabletext"/>
              <w:rPr>
                <w:rFonts w:cstheme="minorHAnsi"/>
              </w:rPr>
            </w:pPr>
            <w:r w:rsidRPr="002137E6">
              <w:rPr>
                <w:rFonts w:cstheme="minorHAnsi"/>
              </w:rPr>
              <w:t>Consider arranging bronchial provocation (challenge) tests for airway hyperresponsiveness if asthma is suspected but initial spirometry does not demonstrate reversible airflow limitation.</w:t>
            </w:r>
          </w:p>
          <w:p w14:paraId="5914AF7C" w14:textId="77777777" w:rsidR="009E0A63" w:rsidRPr="002137E6" w:rsidRDefault="009E0A63" w:rsidP="009E0A63">
            <w:pPr>
              <w:pStyle w:val="04Tabletextspaceitalics"/>
              <w:rPr>
                <w:rFonts w:asciiTheme="minorHAnsi" w:hAnsiTheme="minorHAnsi" w:cstheme="minorHAnsi"/>
              </w:rPr>
            </w:pPr>
            <w:r w:rsidRPr="002137E6">
              <w:rPr>
                <w:rFonts w:asciiTheme="minorHAnsi" w:hAnsiTheme="minorHAnsi" w:cstheme="minorHAnsi"/>
              </w:rPr>
              <w:t>Notes: If challenge testing is needed, consider referring to a respiratory physician for investigation, or discussing with a respiratory physician before selecting which test to order.</w:t>
            </w:r>
          </w:p>
          <w:p w14:paraId="099D1525" w14:textId="77777777" w:rsidR="009E0A63" w:rsidRPr="002137E6" w:rsidRDefault="009E0A63" w:rsidP="009E0A63">
            <w:pPr>
              <w:pStyle w:val="04Tabletextspaceitalics"/>
              <w:rPr>
                <w:rFonts w:asciiTheme="minorHAnsi" w:hAnsiTheme="minorHAnsi" w:cstheme="minorHAnsi"/>
              </w:rPr>
            </w:pPr>
            <w:r w:rsidRPr="002137E6">
              <w:rPr>
                <w:rFonts w:asciiTheme="minorHAnsi" w:hAnsiTheme="minorHAnsi" w:cstheme="minorHAnsi"/>
              </w:rPr>
              <w:t>Don’t test during a respiratory infection, or initiate inhaled corticosteroid treatment in the few weeks before challenge testing, because these could invalidate the result.</w:t>
            </w:r>
          </w:p>
        </w:tc>
        <w:tc>
          <w:tcPr>
            <w:tcW w:w="1652" w:type="dxa"/>
            <w:tcBorders>
              <w:top w:val="single" w:sz="4" w:space="0" w:color="auto"/>
              <w:left w:val="single" w:sz="4" w:space="0" w:color="auto"/>
              <w:bottom w:val="single" w:sz="4" w:space="0" w:color="auto"/>
              <w:right w:val="single" w:sz="4" w:space="0" w:color="auto"/>
            </w:tcBorders>
          </w:tcPr>
          <w:p w14:paraId="6A40F1E6" w14:textId="77777777" w:rsidR="009E0A63" w:rsidRPr="002137E6" w:rsidRDefault="009E0A63" w:rsidP="009E0A63">
            <w:pPr>
              <w:pStyle w:val="Tabletext"/>
              <w:rPr>
                <w:rFonts w:cstheme="minorHAnsi"/>
              </w:rPr>
            </w:pPr>
            <w:r w:rsidRPr="002137E6">
              <w:rPr>
                <w:rFonts w:cstheme="minorHAnsi"/>
              </w:rPr>
              <w:t>Consensus recommendation</w:t>
            </w:r>
          </w:p>
        </w:tc>
      </w:tr>
    </w:tbl>
    <w:p w14:paraId="316D2125" w14:textId="77777777" w:rsidR="008B1C85" w:rsidRDefault="008B1C85" w:rsidP="008B1C85">
      <w:pPr>
        <w:pStyle w:val="08Tablefootnotes"/>
      </w:pPr>
      <w:r>
        <w:t>Note: Lower limit of normal (LLN) = less than the 5</w:t>
      </w:r>
      <w:r w:rsidRPr="005938D4">
        <w:rPr>
          <w:vertAlign w:val="superscript"/>
        </w:rPr>
        <w:t>th</w:t>
      </w:r>
      <w:r>
        <w:t xml:space="preserve"> percentile of normal population.</w:t>
      </w:r>
    </w:p>
    <w:p w14:paraId="429D63DB" w14:textId="77777777" w:rsidR="008B1C85" w:rsidRDefault="008B1C85" w:rsidP="008B1C85">
      <w:pPr>
        <w:pStyle w:val="08Tablefootnotes"/>
      </w:pPr>
      <w:r>
        <w:t>Abbreviations: COPD, chronic obstructive pulmonary disease; FEV</w:t>
      </w:r>
      <w:r>
        <w:rPr>
          <w:vertAlign w:val="subscript"/>
        </w:rPr>
        <w:t>1</w:t>
      </w:r>
      <w:r>
        <w:t>, forced expiratory volume in 1 second; FVC, forced vital capacity; LLN, lower limit of normal.</w:t>
      </w:r>
    </w:p>
    <w:p w14:paraId="2B0C931D" w14:textId="77777777" w:rsidR="008B1C85" w:rsidRDefault="008B1C85" w:rsidP="008B1C85">
      <w:pPr>
        <w:pStyle w:val="08Tablefootnotes"/>
      </w:pPr>
      <w:r>
        <w:rPr>
          <w:b/>
        </w:rPr>
        <w:t>a</w:t>
      </w:r>
      <w:r>
        <w:t xml:space="preserve"> Johns and Pierce (2011); NHLBI (2007); Quanjer et al (2012)</w:t>
      </w:r>
    </w:p>
    <w:p w14:paraId="1C748F1D" w14:textId="77777777" w:rsidR="008B1C85" w:rsidRDefault="008B1C85" w:rsidP="008B1C85">
      <w:pPr>
        <w:pStyle w:val="08Tablefootnotes"/>
      </w:pPr>
      <w:r>
        <w:rPr>
          <w:b/>
        </w:rPr>
        <w:t>b</w:t>
      </w:r>
      <w:r>
        <w:t xml:space="preserve"> Benninger et al (2011); Deckert and Deckert (2010); Kenn and Balkissoon (2011); Morris and Christopher (2010); Weinberger and Abu-Hasan (2007).</w:t>
      </w:r>
    </w:p>
    <w:p w14:paraId="3EA2FB44" w14:textId="77777777" w:rsidR="008B1C85" w:rsidRDefault="008B1C85" w:rsidP="008B1C85">
      <w:pPr>
        <w:pStyle w:val="09Tablefootnoteslast-nostick"/>
      </w:pPr>
      <w:r>
        <w:rPr>
          <w:b/>
        </w:rPr>
        <w:t>c</w:t>
      </w:r>
      <w:r>
        <w:t xml:space="preserve"> Abramson (2012).</w:t>
      </w:r>
    </w:p>
    <w:p w14:paraId="0D8E2E3B" w14:textId="77777777" w:rsidR="00E25C60" w:rsidRDefault="008B1C85" w:rsidP="00E25C60">
      <w:r>
        <w:t>The Handbook also included guidance for confirming asthma in patients already using preventer treatment. Similar advice is available in the GINA report (2015) and is summarised in</w:t>
      </w:r>
      <w:r w:rsidR="003771CF">
        <w:t xml:space="preserve"> Table </w:t>
      </w:r>
      <w:r w:rsidR="004E6E3C">
        <w:t>13</w:t>
      </w:r>
      <w:r>
        <w:t>.</w:t>
      </w:r>
      <w:r w:rsidR="00E25C60">
        <w:br w:type="page"/>
      </w:r>
    </w:p>
    <w:p w14:paraId="22904EB3" w14:textId="4C3084D2" w:rsidR="008B1C85" w:rsidRDefault="003771CF" w:rsidP="005C3A85">
      <w:pPr>
        <w:pStyle w:val="Appcaption"/>
      </w:pPr>
      <w:r w:rsidRPr="0099709F">
        <w:lastRenderedPageBreak/>
        <w:t xml:space="preserve">Table </w:t>
      </w:r>
      <w:fldSimple w:instr=" SEQ Title \* ARABIC ">
        <w:r w:rsidR="00F2203C">
          <w:rPr>
            <w:noProof/>
          </w:rPr>
          <w:t>6</w:t>
        </w:r>
      </w:fldSimple>
      <w:r w:rsidR="008B1C85" w:rsidRPr="0099709F">
        <w:rPr>
          <w:noProof/>
        </w:rPr>
        <w:tab/>
        <w:t>NAC (2015):</w:t>
      </w:r>
      <w:r w:rsidR="008B1C85" w:rsidRPr="0099709F">
        <w:t xml:space="preserve"> Confirming the diagnosis of asthma in a person using preventer treatment</w:t>
      </w:r>
    </w:p>
    <w:tbl>
      <w:tblPr>
        <w:tblStyle w:val="TableGrid"/>
        <w:tblW w:w="0" w:type="auto"/>
        <w:tblLook w:val="04A0" w:firstRow="1" w:lastRow="0" w:firstColumn="1" w:lastColumn="0" w:noHBand="0" w:noVBand="1"/>
        <w:tblDescription w:val="Appendix C table 6  list the National Asthma Council Australia (NAC) diagnosis of asthma in a person using preventer treatment. This table contains 3 heading columns: 1. Clinical profile, 2. Lung function and 3. Interpretation or actions during diagnosis."/>
      </w:tblPr>
      <w:tblGrid>
        <w:gridCol w:w="1696"/>
        <w:gridCol w:w="1701"/>
        <w:gridCol w:w="5664"/>
      </w:tblGrid>
      <w:tr w:rsidR="008B1C85" w:rsidRPr="002137E6" w14:paraId="0F71D7D2" w14:textId="77777777" w:rsidTr="00FF6AB5">
        <w:trPr>
          <w:tblHeader/>
        </w:trPr>
        <w:tc>
          <w:tcPr>
            <w:tcW w:w="1696" w:type="dxa"/>
            <w:tcBorders>
              <w:top w:val="single" w:sz="4" w:space="0" w:color="auto"/>
              <w:left w:val="single" w:sz="4" w:space="0" w:color="auto"/>
              <w:bottom w:val="single" w:sz="4" w:space="0" w:color="auto"/>
              <w:right w:val="single" w:sz="4" w:space="0" w:color="auto"/>
            </w:tcBorders>
          </w:tcPr>
          <w:p w14:paraId="1527E486" w14:textId="77777777" w:rsidR="008B1C85" w:rsidRPr="001E558F" w:rsidRDefault="008B1C85" w:rsidP="00A403FC">
            <w:pPr>
              <w:pStyle w:val="Style01TableheadingorsubheadingText1"/>
            </w:pPr>
            <w:r w:rsidRPr="001E558F">
              <w:t>Clinical profile</w:t>
            </w:r>
          </w:p>
        </w:tc>
        <w:tc>
          <w:tcPr>
            <w:tcW w:w="1701" w:type="dxa"/>
            <w:tcBorders>
              <w:top w:val="single" w:sz="4" w:space="0" w:color="auto"/>
              <w:left w:val="single" w:sz="4" w:space="0" w:color="auto"/>
              <w:bottom w:val="single" w:sz="4" w:space="0" w:color="auto"/>
              <w:right w:val="single" w:sz="4" w:space="0" w:color="auto"/>
            </w:tcBorders>
          </w:tcPr>
          <w:p w14:paraId="3676A4B3" w14:textId="77777777" w:rsidR="008B1C85" w:rsidRPr="001E558F" w:rsidRDefault="008B1C85" w:rsidP="00A403FC">
            <w:pPr>
              <w:pStyle w:val="Style01TableheadingorsubheadingText1"/>
            </w:pPr>
            <w:r w:rsidRPr="001E558F">
              <w:t>Lung function</w:t>
            </w:r>
          </w:p>
        </w:tc>
        <w:tc>
          <w:tcPr>
            <w:tcW w:w="5664" w:type="dxa"/>
            <w:tcBorders>
              <w:top w:val="single" w:sz="4" w:space="0" w:color="auto"/>
              <w:left w:val="single" w:sz="4" w:space="0" w:color="auto"/>
              <w:bottom w:val="single" w:sz="4" w:space="0" w:color="auto"/>
              <w:right w:val="single" w:sz="4" w:space="0" w:color="auto"/>
            </w:tcBorders>
          </w:tcPr>
          <w:p w14:paraId="00992D77" w14:textId="77777777" w:rsidR="008B1C85" w:rsidRPr="001E558F" w:rsidRDefault="008B1C85" w:rsidP="008B1C85">
            <w:pPr>
              <w:pStyle w:val="01Tableheadingorsubheading"/>
              <w:keepNext w:val="0"/>
              <w:jc w:val="center"/>
              <w:rPr>
                <w:rFonts w:cstheme="minorHAnsi"/>
                <w:color w:val="000000" w:themeColor="text1"/>
              </w:rPr>
            </w:pPr>
            <w:r w:rsidRPr="001E558F">
              <w:rPr>
                <w:rFonts w:cstheme="minorHAnsi"/>
                <w:color w:val="000000" w:themeColor="text1"/>
              </w:rPr>
              <w:t>Interpretation or action</w:t>
            </w:r>
          </w:p>
        </w:tc>
      </w:tr>
      <w:tr w:rsidR="002C4407" w:rsidRPr="002137E6" w14:paraId="0F186D29" w14:textId="77777777" w:rsidTr="00DC29AA">
        <w:tc>
          <w:tcPr>
            <w:tcW w:w="1696" w:type="dxa"/>
            <w:vMerge w:val="restart"/>
            <w:tcBorders>
              <w:top w:val="single" w:sz="4" w:space="0" w:color="auto"/>
              <w:left w:val="single" w:sz="4" w:space="0" w:color="auto"/>
              <w:right w:val="single" w:sz="4" w:space="0" w:color="auto"/>
            </w:tcBorders>
            <w:shd w:val="clear" w:color="auto" w:fill="auto"/>
          </w:tcPr>
          <w:p w14:paraId="1D713F80" w14:textId="77777777" w:rsidR="002C4407" w:rsidRPr="002137E6" w:rsidRDefault="002C4407" w:rsidP="00EB5AB0">
            <w:pPr>
              <w:pStyle w:val="Tabletext"/>
              <w:rPr>
                <w:rFonts w:cstheme="minorHAnsi"/>
              </w:rPr>
            </w:pPr>
            <w:r w:rsidRPr="002137E6">
              <w:rPr>
                <w:rFonts w:cstheme="minorHAnsi"/>
              </w:rPr>
              <w:t>Typical variable respiratory symptoms</w:t>
            </w:r>
            <w:r w:rsidRPr="00E90C0F">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9DD6EC" w14:textId="77777777" w:rsidR="002C4407" w:rsidRPr="002137E6" w:rsidRDefault="002C4407" w:rsidP="008B1C85">
            <w:pPr>
              <w:pStyle w:val="Tabletext"/>
              <w:rPr>
                <w:rFonts w:cstheme="minorHAnsi"/>
              </w:rPr>
            </w:pPr>
            <w:r w:rsidRPr="002137E6">
              <w:rPr>
                <w:rFonts w:cstheme="minorHAnsi"/>
              </w:rPr>
              <w:t>Variable airflow limitation demonstrated</w:t>
            </w: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E4AED84" w14:textId="77777777" w:rsidR="002C4407" w:rsidRPr="002137E6" w:rsidRDefault="002C4407" w:rsidP="008B1C85">
            <w:pPr>
              <w:pStyle w:val="Tabletext"/>
              <w:rPr>
                <w:rFonts w:cstheme="minorHAnsi"/>
              </w:rPr>
            </w:pPr>
            <w:r w:rsidRPr="002137E6">
              <w:rPr>
                <w:rFonts w:cstheme="minorHAnsi"/>
              </w:rPr>
              <w:t>Consistent with asthma diagnosis.</w:t>
            </w:r>
          </w:p>
          <w:p w14:paraId="4B86D7FA" w14:textId="77777777" w:rsidR="002C4407" w:rsidRPr="002137E6" w:rsidRDefault="002C4407" w:rsidP="008B1C85">
            <w:pPr>
              <w:pStyle w:val="03Tabletextspacebefore"/>
              <w:rPr>
                <w:rFonts w:asciiTheme="minorHAnsi" w:hAnsiTheme="minorHAnsi" w:cstheme="minorHAnsi"/>
              </w:rPr>
            </w:pPr>
            <w:r w:rsidRPr="002137E6">
              <w:rPr>
                <w:rFonts w:asciiTheme="minorHAnsi" w:hAnsiTheme="minorHAnsi" w:cstheme="minorHAnsi"/>
              </w:rPr>
              <w:t>Note: In a patient with a confirmed diagnosis of asthma, these features are consistent with sub-optimal (poor or partial) asthma control and suggest treatment should be reviewed.</w:t>
            </w:r>
          </w:p>
        </w:tc>
      </w:tr>
      <w:tr w:rsidR="002C4407" w:rsidRPr="002137E6" w14:paraId="60BED81B" w14:textId="77777777" w:rsidTr="00DC29AA">
        <w:tc>
          <w:tcPr>
            <w:tcW w:w="1696" w:type="dxa"/>
            <w:vMerge/>
            <w:tcBorders>
              <w:left w:val="single" w:sz="4" w:space="0" w:color="auto"/>
              <w:bottom w:val="single" w:sz="4" w:space="0" w:color="auto"/>
              <w:right w:val="single" w:sz="4" w:space="0" w:color="auto"/>
            </w:tcBorders>
            <w:shd w:val="clear" w:color="auto" w:fill="auto"/>
          </w:tcPr>
          <w:p w14:paraId="3720817B" w14:textId="77777777" w:rsidR="002C4407" w:rsidRPr="00E90C0F" w:rsidRDefault="002C4407" w:rsidP="008B1C85">
            <w:pPr>
              <w:pStyle w:val="Tabletext"/>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141F60" w14:textId="77777777" w:rsidR="002C4407" w:rsidRPr="002137E6" w:rsidRDefault="002C4407" w:rsidP="008B1C85">
            <w:pPr>
              <w:pStyle w:val="Tabletext"/>
              <w:rPr>
                <w:rFonts w:cstheme="minorHAnsi"/>
              </w:rPr>
            </w:pPr>
            <w:r w:rsidRPr="002137E6">
              <w:rPr>
                <w:rFonts w:cstheme="minorHAnsi"/>
              </w:rPr>
              <w:t>Variable airflow limitation not demonstrated</w:t>
            </w: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004A1F5" w14:textId="77777777" w:rsidR="002C4407" w:rsidRPr="002137E6" w:rsidRDefault="002C4407" w:rsidP="00EB5AB0">
            <w:pPr>
              <w:pStyle w:val="Tabletext"/>
            </w:pPr>
            <w:r w:rsidRPr="002137E6">
              <w:rPr>
                <w:rFonts w:cstheme="minorHAnsi"/>
              </w:rPr>
              <w:t>Obtain historical documentation of variable airflow limitation if possible.</w:t>
            </w:r>
            <w:r w:rsidR="00EB5AB0">
              <w:rPr>
                <w:rFonts w:cstheme="minorHAnsi"/>
              </w:rPr>
              <w:t xml:space="preserve"> </w:t>
            </w:r>
            <w:r w:rsidRPr="002137E6">
              <w:t>If not available, test again (either of):</w:t>
            </w:r>
          </w:p>
          <w:p w14:paraId="6CC6060C" w14:textId="77777777" w:rsidR="002C4407" w:rsidRPr="002137E6" w:rsidRDefault="002C4407" w:rsidP="00EB5AB0">
            <w:pPr>
              <w:pStyle w:val="Tablebullet"/>
            </w:pPr>
            <w:r w:rsidRPr="002137E6">
              <w:t>Repeat lung function test during and after symptoms</w:t>
            </w:r>
          </w:p>
          <w:p w14:paraId="03E2F698" w14:textId="77777777" w:rsidR="002C4407" w:rsidRPr="002137E6" w:rsidRDefault="002C4407" w:rsidP="00EB5AB0">
            <w:pPr>
              <w:pStyle w:val="Tablebullet"/>
            </w:pPr>
            <w:r w:rsidRPr="002137E6">
              <w:t>Withhold BD treatment (SABA 6 hours or LABA-containing preventer more than 12 hours) then repeat spirometry before and 10-15 minutes after salbutamol</w:t>
            </w:r>
          </w:p>
          <w:p w14:paraId="351ADEFD" w14:textId="77777777" w:rsidR="002C4407" w:rsidRPr="002137E6" w:rsidRDefault="002C4407" w:rsidP="00EB5AB0">
            <w:pPr>
              <w:pStyle w:val="Tabletext"/>
            </w:pPr>
            <w:r w:rsidRPr="002137E6">
              <w:t>If diagnosis still not confirmed, consider bronchial provocation (challenge) test.</w:t>
            </w:r>
          </w:p>
          <w:p w14:paraId="62E96B79" w14:textId="77777777" w:rsidR="002C4407" w:rsidRPr="002137E6" w:rsidRDefault="002C4407" w:rsidP="008B1C85">
            <w:pPr>
              <w:pStyle w:val="03Tabletextspacebefore"/>
              <w:rPr>
                <w:rFonts w:asciiTheme="minorHAnsi" w:hAnsiTheme="minorHAnsi" w:cstheme="minorHAnsi"/>
              </w:rPr>
            </w:pPr>
            <w:r w:rsidRPr="002137E6">
              <w:rPr>
                <w:rFonts w:asciiTheme="minorHAnsi" w:hAnsiTheme="minorHAnsi" w:cstheme="minorHAnsi"/>
              </w:rPr>
              <w:t>Note: a negative challenge test would not rule out asthma in a person taking inhaled corticosteroids.</w:t>
            </w:r>
          </w:p>
          <w:p w14:paraId="2FCCD973" w14:textId="77777777" w:rsidR="002C4407" w:rsidRPr="002137E6" w:rsidRDefault="002C4407" w:rsidP="008B1C85">
            <w:pPr>
              <w:pStyle w:val="03Tabletextspacebefore"/>
              <w:rPr>
                <w:rFonts w:asciiTheme="minorHAnsi" w:hAnsiTheme="minorHAnsi" w:cstheme="minorHAnsi"/>
              </w:rPr>
            </w:pPr>
            <w:r w:rsidRPr="002137E6">
              <w:rPr>
                <w:rFonts w:asciiTheme="minorHAnsi" w:hAnsiTheme="minorHAnsi" w:cstheme="minorHAnsi"/>
              </w:rPr>
              <w:t>Consider referral to a specialist respiratory physician to confirm the diagnosis.</w:t>
            </w:r>
          </w:p>
        </w:tc>
      </w:tr>
      <w:tr w:rsidR="008B1C85" w:rsidRPr="002137E6" w14:paraId="5675F053" w14:textId="77777777" w:rsidTr="005E328F">
        <w:tc>
          <w:tcPr>
            <w:tcW w:w="1696" w:type="dxa"/>
            <w:tcBorders>
              <w:top w:val="single" w:sz="4" w:space="0" w:color="auto"/>
              <w:left w:val="single" w:sz="4" w:space="0" w:color="auto"/>
              <w:bottom w:val="single" w:sz="4" w:space="0" w:color="auto"/>
              <w:right w:val="single" w:sz="4" w:space="0" w:color="auto"/>
            </w:tcBorders>
            <w:shd w:val="clear" w:color="auto" w:fill="auto"/>
          </w:tcPr>
          <w:p w14:paraId="14758104" w14:textId="77777777" w:rsidR="008B1C85" w:rsidRPr="002137E6" w:rsidRDefault="008B1C85" w:rsidP="008B1C85">
            <w:pPr>
              <w:pStyle w:val="Tabletext"/>
              <w:rPr>
                <w:rFonts w:cstheme="minorHAnsi"/>
              </w:rPr>
            </w:pPr>
            <w:r w:rsidRPr="002137E6">
              <w:rPr>
                <w:rFonts w:cstheme="minorHAnsi"/>
              </w:rPr>
              <w:t>Current respiratory symptoms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E33DEE" w14:textId="77777777" w:rsidR="008B1C85" w:rsidRPr="002137E6" w:rsidRDefault="008B1C85" w:rsidP="008B1C85">
            <w:pPr>
              <w:pStyle w:val="Tabletext"/>
              <w:rPr>
                <w:rFonts w:cstheme="minorHAnsi"/>
              </w:rPr>
            </w:pPr>
            <w:r w:rsidRPr="002137E6">
              <w:rPr>
                <w:rFonts w:cstheme="minorHAnsi"/>
              </w:rPr>
              <w:t>Fixed (irreversible or incompletely reversible) airflow limitation (post-bronchodilator FEV</w:t>
            </w:r>
            <w:r w:rsidRPr="002137E6">
              <w:rPr>
                <w:rFonts w:cstheme="minorHAnsi"/>
                <w:vertAlign w:val="subscript"/>
              </w:rPr>
              <w:t>1</w:t>
            </w:r>
            <w:r w:rsidRPr="002137E6">
              <w:rPr>
                <w:rFonts w:cstheme="minorHAnsi"/>
              </w:rPr>
              <w:t>/FVC &lt; LLN for age and FEV</w:t>
            </w:r>
            <w:r w:rsidRPr="002137E6">
              <w:rPr>
                <w:rFonts w:cstheme="minorHAnsi"/>
                <w:vertAlign w:val="subscript"/>
              </w:rPr>
              <w:t>1</w:t>
            </w:r>
            <w:r w:rsidRPr="002137E6">
              <w:rPr>
                <w:rFonts w:cstheme="minorHAnsi"/>
              </w:rPr>
              <w:t xml:space="preserve"> &lt;80% predicted)</w:t>
            </w: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ACBDE99" w14:textId="77777777" w:rsidR="008B1C85" w:rsidRPr="002137E6" w:rsidRDefault="008B1C85" w:rsidP="00EB5AB0">
            <w:pPr>
              <w:pStyle w:val="Tablebullet"/>
            </w:pPr>
            <w:r w:rsidRPr="002137E6">
              <w:t>Obtain historical documentation of variable airflow limitation if possible.</w:t>
            </w:r>
          </w:p>
          <w:p w14:paraId="7A279F9F" w14:textId="77777777" w:rsidR="008B1C85" w:rsidRPr="002137E6" w:rsidRDefault="008B1C85" w:rsidP="00EB5AB0">
            <w:pPr>
              <w:pStyle w:val="Tablebullet"/>
            </w:pPr>
            <w:r w:rsidRPr="002137E6">
              <w:t>Ask about age at onset of symptoms and whether there were typical asthma symptoms earlier in life.</w:t>
            </w:r>
          </w:p>
          <w:p w14:paraId="5D238355" w14:textId="77777777" w:rsidR="008B1C85" w:rsidRPr="002137E6" w:rsidRDefault="008B1C85" w:rsidP="00EB5AB0">
            <w:pPr>
              <w:pStyle w:val="Tablebullet"/>
            </w:pPr>
            <w:r w:rsidRPr="002137E6">
              <w:t>Consider alternative (or additional) diagnosis (e.g. COPD in adults).</w:t>
            </w:r>
          </w:p>
          <w:p w14:paraId="3672355D" w14:textId="77777777" w:rsidR="008B1C85" w:rsidRPr="002137E6" w:rsidRDefault="008B1C85" w:rsidP="00EB5AB0">
            <w:pPr>
              <w:pStyle w:val="Tablebullet"/>
            </w:pPr>
            <w:r w:rsidRPr="002137E6">
              <w:t>Consider referral to a specialist respiratory physician to confirm diagnosis, if lung function does not improve after 3-6 months of treatment with inhaled corticosteroids.</w:t>
            </w:r>
          </w:p>
        </w:tc>
      </w:tr>
      <w:tr w:rsidR="008B1C85" w:rsidRPr="002137E6" w14:paraId="5E9329EE" w14:textId="77777777" w:rsidTr="008B1C85">
        <w:tc>
          <w:tcPr>
            <w:tcW w:w="1696" w:type="dxa"/>
            <w:tcBorders>
              <w:top w:val="single" w:sz="4" w:space="0" w:color="auto"/>
              <w:left w:val="single" w:sz="4" w:space="0" w:color="auto"/>
              <w:bottom w:val="single" w:sz="4" w:space="0" w:color="auto"/>
              <w:right w:val="single" w:sz="4" w:space="0" w:color="auto"/>
            </w:tcBorders>
            <w:shd w:val="clear" w:color="auto" w:fill="auto"/>
          </w:tcPr>
          <w:p w14:paraId="05917B32" w14:textId="77777777" w:rsidR="008B1C85" w:rsidRPr="002137E6" w:rsidRDefault="008B1C85" w:rsidP="008B1C85">
            <w:pPr>
              <w:pStyle w:val="Tabletext"/>
              <w:rPr>
                <w:rFonts w:cstheme="minorHAnsi"/>
              </w:rPr>
            </w:pPr>
            <w:r w:rsidRPr="002137E6">
              <w:rPr>
                <w:rFonts w:cstheme="minorHAnsi"/>
              </w:rPr>
              <w:t>Few respiratory symptoms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2FD4E0" w14:textId="77777777" w:rsidR="008B1C85" w:rsidRPr="002137E6" w:rsidRDefault="008B1C85" w:rsidP="008B1C85">
            <w:pPr>
              <w:pStyle w:val="Tabletext"/>
              <w:rPr>
                <w:rFonts w:cstheme="minorHAnsi"/>
              </w:rPr>
            </w:pPr>
            <w:r w:rsidRPr="002137E6">
              <w:rPr>
                <w:rFonts w:cstheme="minorHAnsi"/>
              </w:rPr>
              <w:t>Variable airflow limitation not demonstrated</w:t>
            </w: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B06798D" w14:textId="77777777" w:rsidR="008B1C85" w:rsidRPr="002137E6" w:rsidRDefault="008B1C85" w:rsidP="008B1C85">
            <w:pPr>
              <w:pStyle w:val="Tabletext"/>
              <w:rPr>
                <w:rFonts w:cstheme="minorHAnsi"/>
              </w:rPr>
            </w:pPr>
            <w:r w:rsidRPr="002137E6">
              <w:rPr>
                <w:rFonts w:cstheme="minorHAnsi"/>
              </w:rPr>
              <w:t>Obtain historical documentation of variable airflow limitation if possible.</w:t>
            </w:r>
          </w:p>
          <w:p w14:paraId="427210CE" w14:textId="77777777" w:rsidR="008B1C85" w:rsidRPr="002137E6" w:rsidRDefault="008B1C85" w:rsidP="00EB5AB0">
            <w:pPr>
              <w:pStyle w:val="Tabletext"/>
            </w:pPr>
            <w:r w:rsidRPr="002137E6">
              <w:t>If not available, consider back-titrating preventer by one step:</w:t>
            </w:r>
          </w:p>
          <w:p w14:paraId="2CFB8EF8" w14:textId="77777777" w:rsidR="008B1C85" w:rsidRPr="002137E6" w:rsidRDefault="008B1C85" w:rsidP="00EB5AB0">
            <w:pPr>
              <w:pStyle w:val="Tablebullet"/>
            </w:pPr>
            <w:r w:rsidRPr="002137E6">
              <w:t>Reduced inhaled corticosteroid dose by 50%.</w:t>
            </w:r>
          </w:p>
          <w:p w14:paraId="49A89BA8" w14:textId="77777777" w:rsidR="008B1C85" w:rsidRPr="002137E6" w:rsidRDefault="008B1C85" w:rsidP="00EB5AB0">
            <w:pPr>
              <w:pStyle w:val="Tablebullet"/>
            </w:pPr>
            <w:r w:rsidRPr="002137E6">
              <w:t>2-3 weeks later reassess lung function by spirometry before and 10-15 minutes after salbutamol.</w:t>
            </w:r>
          </w:p>
          <w:p w14:paraId="64685485" w14:textId="77777777" w:rsidR="008B1C85" w:rsidRPr="002137E6" w:rsidRDefault="008B1C85" w:rsidP="00EB5AB0">
            <w:pPr>
              <w:pStyle w:val="Tablebullet"/>
            </w:pPr>
            <w:r w:rsidRPr="002137E6">
              <w:t>If still no evidence of variable airflow limitation, consider stopping preventer treatment (with close monitoring) and repeating spirometry another 2-3 weeks later.</w:t>
            </w:r>
          </w:p>
          <w:p w14:paraId="117F6004" w14:textId="77777777" w:rsidR="008B1C85" w:rsidRPr="002137E6" w:rsidRDefault="008B1C85" w:rsidP="00EB5AB0">
            <w:pPr>
              <w:pStyle w:val="Tabletext"/>
            </w:pPr>
            <w:r w:rsidRPr="002137E6">
              <w:t>If preventer is ceased and symptoms do not return at 2-3 weeks, review within 6 months.</w:t>
            </w:r>
          </w:p>
        </w:tc>
      </w:tr>
    </w:tbl>
    <w:p w14:paraId="4EBC7D4E" w14:textId="77777777" w:rsidR="008B1C85" w:rsidRDefault="008B1C85" w:rsidP="008B1C85">
      <w:pPr>
        <w:pStyle w:val="08Tablefootnotes"/>
      </w:pPr>
      <w:r>
        <w:t>Source: NAC Australian Asthma Handbook, Version 1.1; p. 17.</w:t>
      </w:r>
    </w:p>
    <w:p w14:paraId="301FFE1E" w14:textId="77777777" w:rsidR="008B1C85" w:rsidRDefault="008B1C85" w:rsidP="008B1C85">
      <w:pPr>
        <w:pStyle w:val="08Tablefootnotes"/>
      </w:pPr>
      <w:r>
        <w:t>Note: This information applies to patients taking maintenance inhaled corticosteroid or combination inhaled corticosteroid/long-acting beta</w:t>
      </w:r>
      <w:r>
        <w:rPr>
          <w:vertAlign w:val="subscript"/>
        </w:rPr>
        <w:t>2</w:t>
      </w:r>
      <w:r>
        <w:t xml:space="preserve"> agonist.</w:t>
      </w:r>
    </w:p>
    <w:p w14:paraId="56648423" w14:textId="77777777" w:rsidR="008B1C85" w:rsidRPr="00D23DD7" w:rsidRDefault="008B1C85" w:rsidP="008B1C85">
      <w:pPr>
        <w:pStyle w:val="09Tablefootnoteslast-nostick"/>
      </w:pPr>
      <w:r>
        <w:t>Abbreviations: BD, bronchodilator; COPD, chronic obstructive pulmonary disease; FEV</w:t>
      </w:r>
      <w:r w:rsidRPr="004A38E7">
        <w:rPr>
          <w:vertAlign w:val="subscript"/>
        </w:rPr>
        <w:t>1</w:t>
      </w:r>
      <w:r>
        <w:t xml:space="preserve">, forced expiratory volume in 1 second; FVC, forced vital capacity; </w:t>
      </w:r>
      <w:r w:rsidRPr="0009061F">
        <w:t>LABA, long-acting beta</w:t>
      </w:r>
      <w:r w:rsidRPr="005B6777">
        <w:rPr>
          <w:vertAlign w:val="subscript"/>
        </w:rPr>
        <w:t>2</w:t>
      </w:r>
      <w:r w:rsidRPr="0009061F">
        <w:t>-agonist</w:t>
      </w:r>
      <w:r>
        <w:t>; LLN, lower limit of normal; SABA, short</w:t>
      </w:r>
      <w:r w:rsidRPr="0009061F">
        <w:t>-acting beta</w:t>
      </w:r>
      <w:r w:rsidRPr="005B6777">
        <w:rPr>
          <w:vertAlign w:val="subscript"/>
        </w:rPr>
        <w:t>2</w:t>
      </w:r>
      <w:r w:rsidRPr="0009061F">
        <w:t>-agonist</w:t>
      </w:r>
      <w:r>
        <w:t>.</w:t>
      </w:r>
    </w:p>
    <w:p w14:paraId="692E183E" w14:textId="77777777" w:rsidR="008B1C85" w:rsidRDefault="008B1C85" w:rsidP="00CD2B20">
      <w:r>
        <w:t>The recommendations in</w:t>
      </w:r>
      <w:r w:rsidR="000F796E">
        <w:t xml:space="preserve"> Table 7</w:t>
      </w:r>
      <w:r>
        <w:t xml:space="preserve"> relate to the use of spirometry in children 6 years and over. NAC Handbook (Section 1.2) also provides general advice about the use of spirometry in children, citing the 2012 version of the BTS/SIGN guideline. Although lung function testing is the preferred method to assess whether airflow limitation is excessively variable, children aged 5 years or younger are generally unable to perform reliable spirometry. Therefore, the diagnosis of asthma in children aged 0-5 years is generally provisional, based on clinical symptoms (e.g. episodic wheezing or cough) and/or a trial of treatment, until performance of objective lung function testing is possible.</w:t>
      </w:r>
    </w:p>
    <w:p w14:paraId="2864E116" w14:textId="53244037" w:rsidR="008B1C85" w:rsidRDefault="000F796E" w:rsidP="00CD2B20">
      <w:pPr>
        <w:pStyle w:val="Appcaption"/>
      </w:pPr>
      <w:r w:rsidRPr="0099709F">
        <w:lastRenderedPageBreak/>
        <w:t xml:space="preserve">Table </w:t>
      </w:r>
      <w:fldSimple w:instr=" SEQ Title \* ARABIC ">
        <w:r w:rsidR="00F2203C">
          <w:rPr>
            <w:noProof/>
          </w:rPr>
          <w:t>7</w:t>
        </w:r>
      </w:fldSimple>
      <w:r w:rsidR="008B1C85" w:rsidRPr="0099709F">
        <w:tab/>
        <w:t>NAC (2015): Clinical guidance relating to spirometry and the diagnosis of asthma in children 6 years</w:t>
      </w:r>
      <w:r w:rsidR="008B1C85">
        <w:t xml:space="preserve"> and over</w:t>
      </w:r>
    </w:p>
    <w:tbl>
      <w:tblPr>
        <w:tblStyle w:val="TableGrid"/>
        <w:tblW w:w="0" w:type="auto"/>
        <w:tblLook w:val="04A0" w:firstRow="1" w:lastRow="0" w:firstColumn="1" w:lastColumn="0" w:noHBand="0" w:noVBand="1"/>
        <w:tblDescription w:val="Appendix C table 7  list the National Asthma Council Australia (NAC) guidance relating to spirometry and the diagnosis of asthma in adults.  This table contains 3 heading columns: 1. Action, 2. Recommendation and 3. Type of recommendation for actions during diagnosis."/>
      </w:tblPr>
      <w:tblGrid>
        <w:gridCol w:w="2724"/>
        <w:gridCol w:w="4713"/>
        <w:gridCol w:w="1624"/>
      </w:tblGrid>
      <w:tr w:rsidR="00D913B2" w:rsidRPr="002137E6" w14:paraId="430AA1DF" w14:textId="77777777" w:rsidTr="0099709F">
        <w:trPr>
          <w:tblHeader/>
        </w:trPr>
        <w:tc>
          <w:tcPr>
            <w:tcW w:w="2802" w:type="dxa"/>
            <w:tcBorders>
              <w:top w:val="single" w:sz="4" w:space="0" w:color="auto"/>
              <w:left w:val="single" w:sz="4" w:space="0" w:color="auto"/>
              <w:bottom w:val="single" w:sz="4" w:space="0" w:color="auto"/>
              <w:right w:val="single" w:sz="4" w:space="0" w:color="auto"/>
            </w:tcBorders>
          </w:tcPr>
          <w:p w14:paraId="411BC54F" w14:textId="77777777" w:rsidR="00D913B2" w:rsidRPr="001E558F" w:rsidRDefault="004E6E3C" w:rsidP="00A403FC">
            <w:pPr>
              <w:pStyle w:val="Style01TableheadingorsubheadingText1"/>
            </w:pPr>
            <w:r>
              <w:t>Clinical component</w:t>
            </w:r>
          </w:p>
        </w:tc>
        <w:tc>
          <w:tcPr>
            <w:tcW w:w="4861" w:type="dxa"/>
            <w:tcBorders>
              <w:top w:val="single" w:sz="4" w:space="0" w:color="auto"/>
              <w:left w:val="single" w:sz="4" w:space="0" w:color="auto"/>
              <w:bottom w:val="single" w:sz="4" w:space="0" w:color="auto"/>
              <w:right w:val="single" w:sz="4" w:space="0" w:color="auto"/>
            </w:tcBorders>
          </w:tcPr>
          <w:p w14:paraId="616D4A01" w14:textId="77777777" w:rsidR="00D913B2" w:rsidRPr="001E558F" w:rsidRDefault="00D913B2" w:rsidP="00A403FC">
            <w:pPr>
              <w:pStyle w:val="Style01TableheadingorsubheadingText1"/>
            </w:pPr>
            <w:r w:rsidRPr="001E558F">
              <w:t>Recommendations</w:t>
            </w:r>
          </w:p>
        </w:tc>
        <w:tc>
          <w:tcPr>
            <w:tcW w:w="1624" w:type="dxa"/>
            <w:tcBorders>
              <w:top w:val="single" w:sz="4" w:space="0" w:color="auto"/>
              <w:left w:val="single" w:sz="4" w:space="0" w:color="auto"/>
              <w:bottom w:val="single" w:sz="4" w:space="0" w:color="auto"/>
              <w:right w:val="single" w:sz="4" w:space="0" w:color="auto"/>
            </w:tcBorders>
          </w:tcPr>
          <w:p w14:paraId="38BCEE31" w14:textId="77777777" w:rsidR="00D913B2" w:rsidRPr="001E558F" w:rsidRDefault="00D913B2" w:rsidP="008B1C85">
            <w:pPr>
              <w:pStyle w:val="01Tableheadingorsubheading"/>
              <w:keepNext w:val="0"/>
              <w:jc w:val="center"/>
              <w:rPr>
                <w:rFonts w:cstheme="minorHAnsi"/>
                <w:color w:val="000000" w:themeColor="text1"/>
              </w:rPr>
            </w:pPr>
            <w:r w:rsidRPr="001E558F">
              <w:rPr>
                <w:rFonts w:cstheme="minorHAnsi"/>
                <w:color w:val="000000" w:themeColor="text1"/>
              </w:rPr>
              <w:t>Type of recommendation</w:t>
            </w:r>
          </w:p>
        </w:tc>
      </w:tr>
      <w:tr w:rsidR="00733F83" w:rsidRPr="002137E6" w14:paraId="2920D6FC" w14:textId="77777777" w:rsidTr="00E25C60">
        <w:tc>
          <w:tcPr>
            <w:tcW w:w="2802" w:type="dxa"/>
            <w:vMerge w:val="restart"/>
            <w:tcBorders>
              <w:top w:val="single" w:sz="4" w:space="0" w:color="auto"/>
              <w:left w:val="single" w:sz="4" w:space="0" w:color="auto"/>
              <w:right w:val="single" w:sz="4" w:space="0" w:color="auto"/>
            </w:tcBorders>
            <w:shd w:val="clear" w:color="auto" w:fill="FFFFFF" w:themeFill="background1"/>
          </w:tcPr>
          <w:p w14:paraId="09F0BA36" w14:textId="77777777" w:rsidR="00733F83" w:rsidRPr="002137E6" w:rsidRDefault="00733F83" w:rsidP="008B1C85">
            <w:pPr>
              <w:pStyle w:val="Tabletext"/>
              <w:rPr>
                <w:rFonts w:cstheme="minorHAnsi"/>
              </w:rPr>
            </w:pPr>
            <w:r w:rsidRPr="002137E6">
              <w:rPr>
                <w:rFonts w:cstheme="minorHAnsi"/>
              </w:rPr>
              <w:t>Assessing lung function</w:t>
            </w:r>
          </w:p>
        </w:tc>
        <w:tc>
          <w:tcPr>
            <w:tcW w:w="4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324670E" w14:textId="77777777" w:rsidR="00733F83" w:rsidRPr="002137E6" w:rsidRDefault="00733F83" w:rsidP="008B1C85">
            <w:pPr>
              <w:pStyle w:val="Tabletext"/>
              <w:rPr>
                <w:rFonts w:cstheme="minorHAnsi"/>
              </w:rPr>
            </w:pPr>
            <w:r w:rsidRPr="002137E6">
              <w:rPr>
                <w:rFonts w:cstheme="minorHAnsi"/>
              </w:rPr>
              <w:t>In children able to perform spirometry, measure bronchodilator reversibility by performing spirometry before and after giving inhaled rapid-onset beta</w:t>
            </w:r>
            <w:r w:rsidRPr="002137E6">
              <w:rPr>
                <w:rFonts w:cstheme="minorHAnsi"/>
                <w:vertAlign w:val="subscript"/>
              </w:rPr>
              <w:t>2</w:t>
            </w:r>
            <w:r w:rsidRPr="002137E6">
              <w:rPr>
                <w:rFonts w:cstheme="minorHAnsi"/>
              </w:rPr>
              <w:t xml:space="preserve"> agonist bronchodilator (e.g. 4 puffs of salbutamol 100 mcg/actuation) by metered-dose inhaler and spacer.</w:t>
            </w:r>
          </w:p>
          <w:p w14:paraId="56928230" w14:textId="77777777" w:rsidR="00733F83" w:rsidRPr="002137E6" w:rsidRDefault="00733F83" w:rsidP="008B1C85">
            <w:pPr>
              <w:pStyle w:val="04Tabletextspaceitalics"/>
              <w:rPr>
                <w:rFonts w:asciiTheme="minorHAnsi" w:hAnsiTheme="minorHAnsi" w:cstheme="minorHAnsi"/>
              </w:rPr>
            </w:pPr>
            <w:r w:rsidRPr="002137E6">
              <w:rPr>
                <w:rFonts w:asciiTheme="minorHAnsi" w:hAnsiTheme="minorHAnsi" w:cstheme="minorHAnsi"/>
              </w:rPr>
              <w:t>Notes: If reliable equipment and appropriately trained staff are available, spirometry can be performed in primary care. If not, refer to an appropriate provider such as an accredited respiratory function laboratory.</w:t>
            </w:r>
          </w:p>
          <w:p w14:paraId="4D996040" w14:textId="77777777" w:rsidR="00733F83" w:rsidRPr="002137E6" w:rsidRDefault="00733F83" w:rsidP="008B1C85">
            <w:pPr>
              <w:pStyle w:val="04Tabletextspaceitalics"/>
              <w:rPr>
                <w:rFonts w:asciiTheme="minorHAnsi" w:hAnsiTheme="minorHAnsi" w:cstheme="minorHAnsi"/>
              </w:rPr>
            </w:pPr>
            <w:r w:rsidRPr="002137E6">
              <w:rPr>
                <w:rFonts w:asciiTheme="minorHAnsi" w:hAnsiTheme="minorHAnsi" w:cstheme="minorHAnsi"/>
              </w:rPr>
              <w:t>Most children aged 6 and older can perform spirometry reliably.</w:t>
            </w:r>
          </w:p>
          <w:p w14:paraId="100E57E9" w14:textId="77777777" w:rsidR="00733F83" w:rsidRPr="002137E6" w:rsidRDefault="00733F83" w:rsidP="008B1C85">
            <w:pPr>
              <w:pStyle w:val="04Tabletextspaceitalics"/>
              <w:rPr>
                <w:rFonts w:asciiTheme="minorHAnsi" w:hAnsiTheme="minorHAnsi" w:cstheme="minorHAnsi"/>
              </w:rPr>
            </w:pPr>
            <w:r w:rsidRPr="002137E6">
              <w:rPr>
                <w:rFonts w:asciiTheme="minorHAnsi" w:hAnsiTheme="minorHAnsi" w:cstheme="minorHAnsi"/>
              </w:rPr>
              <w:t>Airflow limitation is defined as reversible (i.e. bronchodilator response is clinically important) if FEV</w:t>
            </w:r>
            <w:r w:rsidRPr="002137E6">
              <w:rPr>
                <w:rFonts w:asciiTheme="minorHAnsi" w:hAnsiTheme="minorHAnsi" w:cstheme="minorHAnsi"/>
                <w:vertAlign w:val="subscript"/>
              </w:rPr>
              <w:t>1</w:t>
            </w:r>
            <w:r w:rsidRPr="002137E6">
              <w:rPr>
                <w:rFonts w:asciiTheme="minorHAnsi" w:hAnsiTheme="minorHAnsi" w:cstheme="minorHAnsi"/>
              </w:rPr>
              <w:t xml:space="preserve"> increases by ≥12%.</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14:paraId="114F4543" w14:textId="77777777" w:rsidR="00733F83" w:rsidRPr="002137E6" w:rsidRDefault="00733F83" w:rsidP="008B1C85">
            <w:pPr>
              <w:pStyle w:val="Tabletext"/>
              <w:rPr>
                <w:rFonts w:cstheme="minorHAnsi"/>
              </w:rPr>
            </w:pPr>
            <w:r w:rsidRPr="002137E6">
              <w:rPr>
                <w:rFonts w:cstheme="minorHAnsi"/>
              </w:rPr>
              <w:t>Consensus recommendation</w:t>
            </w:r>
          </w:p>
        </w:tc>
      </w:tr>
      <w:tr w:rsidR="00733F83" w:rsidRPr="002137E6" w14:paraId="1474B14B" w14:textId="77777777" w:rsidTr="005E328F">
        <w:tc>
          <w:tcPr>
            <w:tcW w:w="2802" w:type="dxa"/>
            <w:vMerge/>
            <w:tcBorders>
              <w:left w:val="single" w:sz="4" w:space="0" w:color="auto"/>
              <w:bottom w:val="single" w:sz="4" w:space="0" w:color="auto"/>
              <w:right w:val="single" w:sz="4" w:space="0" w:color="auto"/>
            </w:tcBorders>
            <w:shd w:val="clear" w:color="auto" w:fill="DBE5F1" w:themeFill="accent1" w:themeFillTint="33"/>
          </w:tcPr>
          <w:p w14:paraId="6BE44B80" w14:textId="77777777" w:rsidR="00733F83" w:rsidRPr="002137E6" w:rsidRDefault="00733F83" w:rsidP="008B1C85">
            <w:pPr>
              <w:pStyle w:val="Tabletext"/>
              <w:rPr>
                <w:rFonts w:cstheme="minorHAnsi"/>
              </w:rPr>
            </w:pPr>
          </w:p>
        </w:tc>
        <w:tc>
          <w:tcPr>
            <w:tcW w:w="4861" w:type="dxa"/>
            <w:tcBorders>
              <w:top w:val="single" w:sz="4" w:space="0" w:color="auto"/>
              <w:left w:val="single" w:sz="4" w:space="0" w:color="auto"/>
              <w:bottom w:val="single" w:sz="4" w:space="0" w:color="auto"/>
              <w:right w:val="single" w:sz="4" w:space="0" w:color="auto"/>
            </w:tcBorders>
            <w:shd w:val="clear" w:color="auto" w:fill="auto"/>
          </w:tcPr>
          <w:p w14:paraId="3031520E" w14:textId="77777777" w:rsidR="00733F83" w:rsidRPr="002137E6" w:rsidRDefault="00733F83" w:rsidP="008B1C85">
            <w:pPr>
              <w:pStyle w:val="Tabletext"/>
              <w:rPr>
                <w:rFonts w:cstheme="minorHAnsi"/>
              </w:rPr>
            </w:pPr>
            <w:r w:rsidRPr="002137E6">
              <w:rPr>
                <w:rFonts w:cstheme="minorHAnsi"/>
              </w:rPr>
              <w:t>Operators who perform spirometry should receive comprehensive training to ensure good quality.</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6F25B3EE" w14:textId="77777777" w:rsidR="00733F83" w:rsidRPr="002137E6" w:rsidRDefault="00733F83" w:rsidP="008B1C85">
            <w:pPr>
              <w:pStyle w:val="Tabletext"/>
              <w:rPr>
                <w:rFonts w:cstheme="minorHAnsi"/>
              </w:rPr>
            </w:pPr>
            <w:r w:rsidRPr="002137E6">
              <w:rPr>
                <w:rFonts w:cstheme="minorHAnsi"/>
              </w:rPr>
              <w:t>Consensus recommendation</w:t>
            </w:r>
          </w:p>
        </w:tc>
      </w:tr>
      <w:tr w:rsidR="00D913B2" w:rsidRPr="002137E6" w14:paraId="65FADB0D" w14:textId="77777777" w:rsidTr="0099709F">
        <w:tc>
          <w:tcPr>
            <w:tcW w:w="2802" w:type="dxa"/>
            <w:tcBorders>
              <w:top w:val="single" w:sz="4" w:space="0" w:color="auto"/>
              <w:left w:val="single" w:sz="4" w:space="0" w:color="auto"/>
              <w:bottom w:val="single" w:sz="4" w:space="0" w:color="auto"/>
              <w:right w:val="single" w:sz="4" w:space="0" w:color="auto"/>
            </w:tcBorders>
          </w:tcPr>
          <w:p w14:paraId="5BC2393A" w14:textId="77777777" w:rsidR="00D913B2" w:rsidRPr="002137E6" w:rsidRDefault="00D913B2" w:rsidP="008B1C85">
            <w:pPr>
              <w:pStyle w:val="Tabletext"/>
              <w:rPr>
                <w:rFonts w:cstheme="minorHAnsi"/>
              </w:rPr>
            </w:pPr>
            <w:r w:rsidRPr="002137E6">
              <w:rPr>
                <w:rFonts w:cstheme="minorHAnsi"/>
              </w:rPr>
              <w:t>Making a provisional diagnosis</w:t>
            </w:r>
          </w:p>
        </w:tc>
        <w:tc>
          <w:tcPr>
            <w:tcW w:w="4861" w:type="dxa"/>
            <w:tcBorders>
              <w:top w:val="single" w:sz="4" w:space="0" w:color="auto"/>
              <w:left w:val="single" w:sz="4" w:space="0" w:color="auto"/>
              <w:bottom w:val="single" w:sz="4" w:space="0" w:color="auto"/>
              <w:right w:val="single" w:sz="4" w:space="0" w:color="auto"/>
            </w:tcBorders>
          </w:tcPr>
          <w:p w14:paraId="451A3BA3" w14:textId="77777777" w:rsidR="00D913B2" w:rsidRPr="002137E6" w:rsidRDefault="00D913B2" w:rsidP="008B1C85">
            <w:pPr>
              <w:pStyle w:val="Tabletext"/>
              <w:rPr>
                <w:rFonts w:cstheme="minorHAnsi"/>
              </w:rPr>
            </w:pPr>
            <w:r w:rsidRPr="002137E6">
              <w:rPr>
                <w:rFonts w:cstheme="minorHAnsi"/>
              </w:rPr>
              <w:t>A provisional diagnosis of asthma can be made if the child has (all of):</w:t>
            </w:r>
          </w:p>
          <w:p w14:paraId="1A6EC6B1" w14:textId="77777777" w:rsidR="00D913B2" w:rsidRPr="002137E6" w:rsidRDefault="00D913B2" w:rsidP="008B1C85">
            <w:pPr>
              <w:pStyle w:val="06Tablebullet"/>
              <w:rPr>
                <w:rFonts w:asciiTheme="minorHAnsi" w:hAnsiTheme="minorHAnsi" w:cstheme="minorHAnsi"/>
              </w:rPr>
            </w:pPr>
            <w:r w:rsidRPr="002137E6">
              <w:rPr>
                <w:rFonts w:asciiTheme="minorHAnsi" w:hAnsiTheme="minorHAnsi" w:cstheme="minorHAnsi"/>
              </w:rPr>
              <w:t>wheezing accompanied by breathing difficulty or cough</w:t>
            </w:r>
          </w:p>
          <w:p w14:paraId="26C92C0D" w14:textId="77777777" w:rsidR="00D913B2" w:rsidRPr="002137E6" w:rsidRDefault="00D913B2" w:rsidP="008B1C85">
            <w:pPr>
              <w:pStyle w:val="06Tablebullet"/>
              <w:rPr>
                <w:rFonts w:asciiTheme="minorHAnsi" w:hAnsiTheme="minorHAnsi" w:cstheme="minorHAnsi"/>
              </w:rPr>
            </w:pPr>
            <w:r w:rsidRPr="002137E6">
              <w:rPr>
                <w:rFonts w:asciiTheme="minorHAnsi" w:hAnsiTheme="minorHAnsi" w:cstheme="minorHAnsi"/>
              </w:rPr>
              <w:t>other features that increase the probability of asthma such as history of allergic rhinitis, atopic dermatitis or a strong family history of asthma and allergies</w:t>
            </w:r>
          </w:p>
          <w:p w14:paraId="0EABA799" w14:textId="77777777" w:rsidR="00D913B2" w:rsidRPr="002137E6" w:rsidRDefault="00D913B2" w:rsidP="008B1C85">
            <w:pPr>
              <w:pStyle w:val="06Tablebullet"/>
              <w:rPr>
                <w:rFonts w:asciiTheme="minorHAnsi" w:hAnsiTheme="minorHAnsi" w:cstheme="minorHAnsi"/>
              </w:rPr>
            </w:pPr>
            <w:r w:rsidRPr="002137E6">
              <w:rPr>
                <w:rFonts w:asciiTheme="minorHAnsi" w:hAnsiTheme="minorHAnsi" w:cstheme="minorHAnsi"/>
              </w:rPr>
              <w:t>no signs or symptoms that suggest a serious alternative diagnosis</w:t>
            </w:r>
          </w:p>
          <w:p w14:paraId="6A4946E3" w14:textId="77777777" w:rsidR="00D913B2" w:rsidRPr="002137E6" w:rsidRDefault="00D913B2" w:rsidP="008B1C85">
            <w:pPr>
              <w:pStyle w:val="06Tablebullet"/>
              <w:rPr>
                <w:rFonts w:asciiTheme="minorHAnsi" w:hAnsiTheme="minorHAnsi" w:cstheme="minorHAnsi"/>
              </w:rPr>
            </w:pPr>
            <w:r w:rsidRPr="002137E6">
              <w:rPr>
                <w:rFonts w:asciiTheme="minorHAnsi" w:hAnsiTheme="minorHAnsi" w:cstheme="minorHAnsi"/>
              </w:rPr>
              <w:t>clinically important response to bronchodilator demonstrated on spirometry performed before and after short-acting beta</w:t>
            </w:r>
            <w:r w:rsidRPr="002137E6">
              <w:rPr>
                <w:rFonts w:asciiTheme="minorHAnsi" w:hAnsiTheme="minorHAnsi" w:cstheme="minorHAnsi"/>
                <w:vertAlign w:val="subscript"/>
              </w:rPr>
              <w:t>2</w:t>
            </w:r>
            <w:r w:rsidRPr="002137E6">
              <w:rPr>
                <w:rFonts w:asciiTheme="minorHAnsi" w:hAnsiTheme="minorHAnsi" w:cstheme="minorHAnsi"/>
              </w:rPr>
              <w:t xml:space="preserve"> agonist (if child is able to perform spirometry).</w:t>
            </w:r>
          </w:p>
          <w:p w14:paraId="1831560C" w14:textId="77777777" w:rsidR="00D913B2" w:rsidRPr="002137E6" w:rsidRDefault="00D913B2" w:rsidP="008B1C85">
            <w:pPr>
              <w:pStyle w:val="04Tabletextspaceitalics"/>
              <w:rPr>
                <w:rFonts w:asciiTheme="minorHAnsi" w:hAnsiTheme="minorHAnsi" w:cstheme="minorHAnsi"/>
              </w:rPr>
            </w:pPr>
            <w:r w:rsidRPr="002137E6">
              <w:rPr>
                <w:rFonts w:asciiTheme="minorHAnsi" w:hAnsiTheme="minorHAnsi" w:cstheme="minorHAnsi"/>
              </w:rPr>
              <w:t>Notes: If reliable equipment and appropriately trained staff are available, spirometry can be performed in primary care. If not, refer to an appropriate provider such as an accredited respiratory function laboratory.</w:t>
            </w:r>
          </w:p>
          <w:p w14:paraId="37BECD32" w14:textId="77777777" w:rsidR="00D913B2" w:rsidRPr="002137E6" w:rsidRDefault="00D913B2" w:rsidP="008B1C85">
            <w:pPr>
              <w:pStyle w:val="04Tabletextspaceitalics"/>
              <w:rPr>
                <w:rFonts w:asciiTheme="minorHAnsi" w:hAnsiTheme="minorHAnsi" w:cstheme="minorHAnsi"/>
              </w:rPr>
            </w:pPr>
            <w:r w:rsidRPr="002137E6">
              <w:rPr>
                <w:rFonts w:asciiTheme="minorHAnsi" w:hAnsiTheme="minorHAnsi" w:cstheme="minorHAnsi"/>
              </w:rPr>
              <w:t>Most children aged 6 and older can perform spirometry reliably.</w:t>
            </w:r>
          </w:p>
          <w:p w14:paraId="2DD2D1E7" w14:textId="77777777" w:rsidR="00D913B2" w:rsidRPr="002137E6" w:rsidRDefault="00D913B2" w:rsidP="008B1C85">
            <w:pPr>
              <w:pStyle w:val="04Tabletextspaceitalics"/>
              <w:rPr>
                <w:rFonts w:asciiTheme="minorHAnsi" w:hAnsiTheme="minorHAnsi" w:cstheme="minorHAnsi"/>
              </w:rPr>
            </w:pPr>
            <w:r w:rsidRPr="002137E6">
              <w:rPr>
                <w:rFonts w:asciiTheme="minorHAnsi" w:hAnsiTheme="minorHAnsi" w:cstheme="minorHAnsi"/>
              </w:rPr>
              <w:t>Airflow limitation is defined as reversible (i.e. bronchodilator response is clinically important) if FEV</w:t>
            </w:r>
            <w:r w:rsidRPr="002137E6">
              <w:rPr>
                <w:rFonts w:asciiTheme="minorHAnsi" w:hAnsiTheme="minorHAnsi" w:cstheme="minorHAnsi"/>
                <w:vertAlign w:val="subscript"/>
              </w:rPr>
              <w:t>1</w:t>
            </w:r>
            <w:r w:rsidRPr="002137E6">
              <w:rPr>
                <w:rFonts w:asciiTheme="minorHAnsi" w:hAnsiTheme="minorHAnsi" w:cstheme="minorHAnsi"/>
              </w:rPr>
              <w:t xml:space="preserve"> increases by ≥12%.</w:t>
            </w:r>
          </w:p>
          <w:p w14:paraId="0BCB637D" w14:textId="77777777" w:rsidR="00D913B2" w:rsidRPr="002137E6" w:rsidRDefault="00D913B2" w:rsidP="008B1C85">
            <w:pPr>
              <w:pStyle w:val="04Tabletextspaceitalics"/>
              <w:rPr>
                <w:rFonts w:asciiTheme="minorHAnsi" w:hAnsiTheme="minorHAnsi" w:cstheme="minorHAnsi"/>
              </w:rPr>
            </w:pPr>
            <w:r w:rsidRPr="002137E6">
              <w:rPr>
                <w:rFonts w:asciiTheme="minorHAnsi" w:hAnsiTheme="minorHAnsi" w:cstheme="minorHAnsi"/>
              </w:rPr>
              <w:t>If spirometry does not demonstrate a clinically important response to bronchodilator, the test can be repeated when the child has symptoms.</w:t>
            </w:r>
          </w:p>
        </w:tc>
        <w:tc>
          <w:tcPr>
            <w:tcW w:w="1624" w:type="dxa"/>
            <w:tcBorders>
              <w:top w:val="single" w:sz="4" w:space="0" w:color="auto"/>
              <w:left w:val="single" w:sz="4" w:space="0" w:color="auto"/>
              <w:bottom w:val="single" w:sz="4" w:space="0" w:color="auto"/>
              <w:right w:val="single" w:sz="4" w:space="0" w:color="auto"/>
            </w:tcBorders>
          </w:tcPr>
          <w:p w14:paraId="14B45A5A" w14:textId="77777777" w:rsidR="00D913B2" w:rsidRPr="002137E6" w:rsidRDefault="00D913B2" w:rsidP="008B1C85">
            <w:pPr>
              <w:pStyle w:val="Tabletext"/>
              <w:rPr>
                <w:rFonts w:cstheme="minorHAnsi"/>
              </w:rPr>
            </w:pPr>
            <w:r w:rsidRPr="002137E6">
              <w:rPr>
                <w:rFonts w:cstheme="minorHAnsi"/>
              </w:rPr>
              <w:t>Consensus recommendation</w:t>
            </w:r>
          </w:p>
        </w:tc>
      </w:tr>
    </w:tbl>
    <w:p w14:paraId="63B26FF1" w14:textId="77777777" w:rsidR="008B1C85" w:rsidRDefault="008B1C85" w:rsidP="008B1C85">
      <w:pPr>
        <w:pStyle w:val="08Tablefootnotes"/>
      </w:pPr>
      <w:r>
        <w:t>Note: In children, the definition of</w:t>
      </w:r>
      <w:r w:rsidRPr="00C936E7">
        <w:t xml:space="preserve"> expiratory airflow limitation according to a specific cut-off for FEV</w:t>
      </w:r>
      <w:r w:rsidRPr="00B15148">
        <w:rPr>
          <w:vertAlign w:val="subscript"/>
        </w:rPr>
        <w:t>1</w:t>
      </w:r>
      <w:r w:rsidRPr="00C936E7">
        <w:t>/FVC ratio</w:t>
      </w:r>
      <w:r>
        <w:t xml:space="preserve"> is of limited value</w:t>
      </w:r>
      <w:r w:rsidRPr="00C936E7">
        <w:t>, because normal values in children change considerably with age.</w:t>
      </w:r>
    </w:p>
    <w:p w14:paraId="4F7D51CF" w14:textId="77777777" w:rsidR="008B1C85" w:rsidRPr="002E2480" w:rsidRDefault="008B1C85" w:rsidP="008B1C85">
      <w:pPr>
        <w:pStyle w:val="09Tablefootnoteslast-nostick"/>
      </w:pPr>
      <w:r>
        <w:t>Abbreviations: FEV</w:t>
      </w:r>
      <w:r>
        <w:rPr>
          <w:vertAlign w:val="subscript"/>
        </w:rPr>
        <w:t>1</w:t>
      </w:r>
      <w:r>
        <w:t>, forced expiratory volume in 1 second.</w:t>
      </w:r>
    </w:p>
    <w:p w14:paraId="15B84333" w14:textId="77777777" w:rsidR="008B1C85" w:rsidRDefault="008B1C85" w:rsidP="00B83773">
      <w:r w:rsidRPr="00B0748E">
        <w:t>The Handbook also provide</w:t>
      </w:r>
      <w:r>
        <w:t>s</w:t>
      </w:r>
      <w:r w:rsidRPr="00B0748E">
        <w:t xml:space="preserve"> a list of typical asthma patterns in children 6 years and over who do not take regular preventer medication. Children</w:t>
      </w:r>
      <w:r>
        <w:t xml:space="preserve"> with asthma symptoms</w:t>
      </w:r>
      <w:r w:rsidRPr="00B0748E">
        <w:t xml:space="preserve"> can generally be categorised into th</w:t>
      </w:r>
      <w:r>
        <w:t>ree groups:</w:t>
      </w:r>
      <w:r w:rsidRPr="00B0748E">
        <w:t xml:space="preserve"> infrequent intermittent asthma; frequent intermittent asthma; and persistent asthma (mild, moderate or severe). Determining the severity of persistent asthma relies, in part, on spirometry measurements (FEV</w:t>
      </w:r>
      <w:r w:rsidRPr="00B0748E">
        <w:rPr>
          <w:vertAlign w:val="subscript"/>
        </w:rPr>
        <w:t>1</w:t>
      </w:r>
      <w:r w:rsidRPr="00B0748E">
        <w:t xml:space="preserve"> % predicted). Further details are available in</w:t>
      </w:r>
      <w:r w:rsidR="00784A05">
        <w:t xml:space="preserve"> Appendix 8</w:t>
      </w:r>
      <w:r w:rsidRPr="00B0748E">
        <w:t>.</w:t>
      </w:r>
    </w:p>
    <w:p w14:paraId="58F6BC90" w14:textId="77777777" w:rsidR="008B1C85" w:rsidRPr="00CB24CB" w:rsidRDefault="008B1C85" w:rsidP="00CB5570">
      <w:pPr>
        <w:pStyle w:val="AttHeading5"/>
      </w:pPr>
      <w:r w:rsidRPr="00CB24CB">
        <w:lastRenderedPageBreak/>
        <w:t>National Asthma Council Australia (2013)</w:t>
      </w:r>
    </w:p>
    <w:p w14:paraId="0CACD3A1" w14:textId="77777777" w:rsidR="008B1C85" w:rsidRPr="00881BDB" w:rsidRDefault="008B1C85" w:rsidP="00B83773">
      <w:r w:rsidRPr="00881BDB">
        <w:t>The information paper about asthma in people over 65 years provides extensive information about the diagnosis of asthma in older patients. It notes that asthma is commonly under-diagnosed or misdiagnosed in older people. While the clinical features of asthma (e.g. wheezing) are the same in older patients, those who have had the condition for a long period of time may not meet the usual diagnostic criteria for reversibility of airflow obstruction. Similarly, asthma that begins later in life is often associated with irreversible airflow limitation (also called ‘fixed airway obstruction’). The information paper cited a publication by Reed (2010) that suggested that airway remodelling and stiffening of the chest wall occurs with age and may affect reversibility.</w:t>
      </w:r>
    </w:p>
    <w:p w14:paraId="5D3F8FDE" w14:textId="77777777" w:rsidR="008B1C85" w:rsidRPr="00881BDB" w:rsidRDefault="008B1C85" w:rsidP="00B83773">
      <w:r w:rsidRPr="00881BDB">
        <w:t>Several recommendations relating to the use of spirometry in patients over 65 are provided (see</w:t>
      </w:r>
      <w:r w:rsidR="000F796E">
        <w:t xml:space="preserve"> Table 8</w:t>
      </w:r>
      <w:r w:rsidRPr="00881BDB">
        <w:t>); however, the evidence base that underpins the recommendations was not clear.</w:t>
      </w:r>
    </w:p>
    <w:p w14:paraId="6A7F2351" w14:textId="6AB15BE1" w:rsidR="008B1C85" w:rsidRDefault="000F796E" w:rsidP="005C3A85">
      <w:pPr>
        <w:pStyle w:val="Appcaption"/>
      </w:pPr>
      <w:r>
        <w:t xml:space="preserve">Table </w:t>
      </w:r>
      <w:fldSimple w:instr=" SEQ Title \* ARABIC ">
        <w:r w:rsidR="00F2203C">
          <w:rPr>
            <w:noProof/>
          </w:rPr>
          <w:t>8</w:t>
        </w:r>
      </w:fldSimple>
      <w:r w:rsidR="008B1C85">
        <w:tab/>
        <w:t>NAC (2013): The use of spirometry for investigating new asthma-like symptoms in older adults</w:t>
      </w:r>
    </w:p>
    <w:tbl>
      <w:tblPr>
        <w:tblStyle w:val="TableGrid"/>
        <w:tblW w:w="0" w:type="auto"/>
        <w:tblLook w:val="04A0" w:firstRow="1" w:lastRow="0" w:firstColumn="1" w:lastColumn="0" w:noHBand="0" w:noVBand="1"/>
        <w:tblDescription w:val="Appendix C table 8  list the National Asthma Council Australia (NAC) use of spirometry and the diagnosis of asthma in adults. This table contains 3 heading columns: 1. Recommendation and Grade of recommendation during diagnosis."/>
      </w:tblPr>
      <w:tblGrid>
        <w:gridCol w:w="7409"/>
        <w:gridCol w:w="1652"/>
      </w:tblGrid>
      <w:tr w:rsidR="008B1C85" w14:paraId="074BCB4E" w14:textId="77777777" w:rsidTr="00FF6AB5">
        <w:trPr>
          <w:tblHeader/>
        </w:trPr>
        <w:tc>
          <w:tcPr>
            <w:tcW w:w="7508" w:type="dxa"/>
            <w:tcBorders>
              <w:top w:val="single" w:sz="4" w:space="0" w:color="auto"/>
              <w:left w:val="single" w:sz="4" w:space="0" w:color="auto"/>
              <w:bottom w:val="single" w:sz="4" w:space="0" w:color="auto"/>
              <w:right w:val="single" w:sz="4" w:space="0" w:color="auto"/>
            </w:tcBorders>
          </w:tcPr>
          <w:p w14:paraId="2A7ADB4E" w14:textId="77777777" w:rsidR="008B1C85" w:rsidRPr="001E558F" w:rsidRDefault="008B1C85" w:rsidP="00414165">
            <w:pPr>
              <w:pStyle w:val="Tableheading"/>
            </w:pPr>
            <w:r w:rsidRPr="001E558F">
              <w:t>Recommendations</w:t>
            </w:r>
          </w:p>
        </w:tc>
        <w:tc>
          <w:tcPr>
            <w:tcW w:w="1553" w:type="dxa"/>
            <w:tcBorders>
              <w:top w:val="single" w:sz="4" w:space="0" w:color="auto"/>
              <w:left w:val="single" w:sz="4" w:space="0" w:color="auto"/>
              <w:bottom w:val="single" w:sz="4" w:space="0" w:color="auto"/>
              <w:right w:val="single" w:sz="4" w:space="0" w:color="auto"/>
            </w:tcBorders>
          </w:tcPr>
          <w:p w14:paraId="463C02FF" w14:textId="77777777" w:rsidR="008B1C85" w:rsidRPr="001E558F" w:rsidRDefault="008B1C85" w:rsidP="00414165">
            <w:pPr>
              <w:pStyle w:val="Tableheading"/>
            </w:pPr>
            <w:r w:rsidRPr="001E558F">
              <w:t>Grade of recommendation</w:t>
            </w:r>
          </w:p>
        </w:tc>
      </w:tr>
      <w:tr w:rsidR="008B1C85" w14:paraId="6FACF237" w14:textId="77777777" w:rsidTr="008B1C85">
        <w:tc>
          <w:tcPr>
            <w:tcW w:w="7508" w:type="dxa"/>
            <w:tcBorders>
              <w:top w:val="single" w:sz="4" w:space="0" w:color="auto"/>
              <w:left w:val="single" w:sz="4" w:space="0" w:color="auto"/>
              <w:bottom w:val="single" w:sz="4" w:space="0" w:color="auto"/>
              <w:right w:val="single" w:sz="4" w:space="0" w:color="auto"/>
            </w:tcBorders>
          </w:tcPr>
          <w:p w14:paraId="01C31A93" w14:textId="77777777" w:rsidR="008B1C85" w:rsidRPr="005A24C1" w:rsidRDefault="008B1C85" w:rsidP="008B1C85">
            <w:pPr>
              <w:pStyle w:val="Tabletext"/>
            </w:pPr>
            <w:r>
              <w:t>Consider the possibility of adult-onset asthma in people aged 65 and over with dyspnoea, wheeze or cough, even if they have no previous diagnosis of asthma.</w:t>
            </w:r>
          </w:p>
        </w:tc>
        <w:tc>
          <w:tcPr>
            <w:tcW w:w="1553" w:type="dxa"/>
            <w:tcBorders>
              <w:top w:val="single" w:sz="4" w:space="0" w:color="auto"/>
              <w:left w:val="single" w:sz="4" w:space="0" w:color="auto"/>
              <w:bottom w:val="single" w:sz="4" w:space="0" w:color="auto"/>
              <w:right w:val="single" w:sz="4" w:space="0" w:color="auto"/>
            </w:tcBorders>
          </w:tcPr>
          <w:p w14:paraId="34DF2576" w14:textId="77777777" w:rsidR="008B1C85" w:rsidRPr="00B37174" w:rsidRDefault="00713535" w:rsidP="008B1C85">
            <w:pPr>
              <w:pStyle w:val="Tabletext"/>
              <w:jc w:val="center"/>
            </w:pPr>
            <w:r>
              <w:t>N</w:t>
            </w:r>
            <w:r w:rsidRPr="00713535">
              <w:t>ot reported</w:t>
            </w:r>
          </w:p>
        </w:tc>
      </w:tr>
      <w:tr w:rsidR="008B1C85" w14:paraId="68770C29" w14:textId="77777777" w:rsidTr="008B1C85">
        <w:tc>
          <w:tcPr>
            <w:tcW w:w="7508" w:type="dxa"/>
            <w:tcBorders>
              <w:top w:val="single" w:sz="4" w:space="0" w:color="auto"/>
              <w:left w:val="single" w:sz="4" w:space="0" w:color="auto"/>
              <w:bottom w:val="single" w:sz="4" w:space="0" w:color="auto"/>
              <w:right w:val="single" w:sz="4" w:space="0" w:color="auto"/>
            </w:tcBorders>
          </w:tcPr>
          <w:p w14:paraId="58D50A5C" w14:textId="77777777" w:rsidR="008B1C85" w:rsidRDefault="008B1C85" w:rsidP="008B1C85">
            <w:pPr>
              <w:pStyle w:val="Tabletext"/>
            </w:pPr>
            <w:r>
              <w:t>New-onset respiratory symptoms that suggest asthma should be investigated fully, including use of pre- and post-bronchodilator spirometry</w:t>
            </w:r>
          </w:p>
        </w:tc>
        <w:tc>
          <w:tcPr>
            <w:tcW w:w="1553" w:type="dxa"/>
            <w:tcBorders>
              <w:top w:val="single" w:sz="4" w:space="0" w:color="auto"/>
              <w:left w:val="single" w:sz="4" w:space="0" w:color="auto"/>
              <w:bottom w:val="single" w:sz="4" w:space="0" w:color="auto"/>
              <w:right w:val="single" w:sz="4" w:space="0" w:color="auto"/>
            </w:tcBorders>
          </w:tcPr>
          <w:p w14:paraId="7FFB584A" w14:textId="77777777" w:rsidR="008B1C85" w:rsidRDefault="00713535" w:rsidP="008B1C85">
            <w:pPr>
              <w:pStyle w:val="Tabletext"/>
              <w:jc w:val="center"/>
            </w:pPr>
            <w:r>
              <w:t>N</w:t>
            </w:r>
            <w:r w:rsidRPr="00713535">
              <w:t>ot reported</w:t>
            </w:r>
          </w:p>
        </w:tc>
      </w:tr>
      <w:tr w:rsidR="008B1C85" w14:paraId="5ACB7F1F" w14:textId="77777777" w:rsidTr="008B1C85">
        <w:tc>
          <w:tcPr>
            <w:tcW w:w="7508" w:type="dxa"/>
            <w:tcBorders>
              <w:top w:val="single" w:sz="4" w:space="0" w:color="auto"/>
              <w:left w:val="single" w:sz="4" w:space="0" w:color="auto"/>
              <w:bottom w:val="single" w:sz="4" w:space="0" w:color="auto"/>
              <w:right w:val="single" w:sz="4" w:space="0" w:color="auto"/>
            </w:tcBorders>
          </w:tcPr>
          <w:p w14:paraId="3A1A75B5" w14:textId="77777777" w:rsidR="008B1C85" w:rsidRDefault="008B1C85" w:rsidP="008B1C85">
            <w:pPr>
              <w:pStyle w:val="Tabletext"/>
            </w:pPr>
            <w:r>
              <w:t>If spirometry before and after bronchodilator demonstrates airflow obstruction that is not completely reversible, consider the possibility of COPD, even if the person has never smoked. Start a treatment trial with an inhaled corticosteroid and repeat spirometry 6–8 weeks later.</w:t>
            </w:r>
          </w:p>
        </w:tc>
        <w:tc>
          <w:tcPr>
            <w:tcW w:w="1553" w:type="dxa"/>
            <w:tcBorders>
              <w:top w:val="single" w:sz="4" w:space="0" w:color="auto"/>
              <w:left w:val="single" w:sz="4" w:space="0" w:color="auto"/>
              <w:bottom w:val="single" w:sz="4" w:space="0" w:color="auto"/>
              <w:right w:val="single" w:sz="4" w:space="0" w:color="auto"/>
            </w:tcBorders>
          </w:tcPr>
          <w:p w14:paraId="2422816A" w14:textId="77777777" w:rsidR="008B1C85" w:rsidRDefault="00713535" w:rsidP="008B1C85">
            <w:pPr>
              <w:pStyle w:val="Tabletext"/>
              <w:jc w:val="center"/>
            </w:pPr>
            <w:r>
              <w:t>N</w:t>
            </w:r>
            <w:r w:rsidRPr="00713535">
              <w:t>ot reported</w:t>
            </w:r>
          </w:p>
        </w:tc>
      </w:tr>
    </w:tbl>
    <w:p w14:paraId="4BD8AA44" w14:textId="77777777" w:rsidR="008B1C85" w:rsidRDefault="008B1C85" w:rsidP="008B1C85">
      <w:pPr>
        <w:pStyle w:val="08Tablefootnotes"/>
      </w:pPr>
      <w:r>
        <w:t xml:space="preserve">Note: </w:t>
      </w:r>
      <w:r w:rsidRPr="00D8250B">
        <w:t>More than 90% of patients with obstructive airway disease aged 65 years and over can perform an acceptable spirometry test (when staff are appropriately trained and rigorous quality control protocols are followed).</w:t>
      </w:r>
    </w:p>
    <w:p w14:paraId="5208E305" w14:textId="77777777" w:rsidR="008B1C85" w:rsidRPr="00261717" w:rsidRDefault="008B1C85" w:rsidP="008B1C85">
      <w:pPr>
        <w:pStyle w:val="09Tablefootnoteslast-nostick"/>
      </w:pPr>
      <w:r>
        <w:t>Abbreviations: COPD, chronic obstructive pulmonary disease.</w:t>
      </w:r>
    </w:p>
    <w:p w14:paraId="39FA1B5F" w14:textId="77777777" w:rsidR="008B1C85" w:rsidRPr="00881BDB" w:rsidRDefault="008B1C85" w:rsidP="008B1C85">
      <w:r w:rsidRPr="00881BDB">
        <w:t>According to the information paper, acute response to bronchodilator is defined as positive (i.e. airflow obstruction is reversible) if both of the following apply:</w:t>
      </w:r>
    </w:p>
    <w:p w14:paraId="4AF8DC36" w14:textId="77777777" w:rsidR="008B1C85" w:rsidRPr="00881BDB" w:rsidRDefault="008B1C85" w:rsidP="00EE3CFE">
      <w:pPr>
        <w:pStyle w:val="NormalBulleted"/>
        <w:numPr>
          <w:ilvl w:val="0"/>
          <w:numId w:val="38"/>
        </w:numPr>
      </w:pPr>
      <w:r w:rsidRPr="00881BDB">
        <w:t>Post-bronchodilator FEV</w:t>
      </w:r>
      <w:r w:rsidRPr="002137E6">
        <w:rPr>
          <w:vertAlign w:val="subscript"/>
        </w:rPr>
        <w:t>1</w:t>
      </w:r>
      <w:r w:rsidRPr="00881BDB">
        <w:t xml:space="preserve"> is at least 200 mL higher than pre-bronchodilator FEV</w:t>
      </w:r>
      <w:r w:rsidRPr="002137E6">
        <w:rPr>
          <w:vertAlign w:val="subscript"/>
        </w:rPr>
        <w:t>1</w:t>
      </w:r>
      <w:r w:rsidRPr="00881BDB">
        <w:t>; and</w:t>
      </w:r>
    </w:p>
    <w:p w14:paraId="4824CF25" w14:textId="77777777" w:rsidR="008B1C85" w:rsidRPr="00881BDB" w:rsidRDefault="008B1C85" w:rsidP="00EE3CFE">
      <w:pPr>
        <w:pStyle w:val="NormalBulleted"/>
        <w:numPr>
          <w:ilvl w:val="0"/>
          <w:numId w:val="38"/>
        </w:numPr>
      </w:pPr>
      <w:r w:rsidRPr="00881BDB">
        <w:t>Increase in FEV</w:t>
      </w:r>
      <w:r w:rsidRPr="002137E6">
        <w:rPr>
          <w:vertAlign w:val="subscript"/>
        </w:rPr>
        <w:t>1</w:t>
      </w:r>
      <w:r w:rsidRPr="00881BDB">
        <w:t xml:space="preserve"> is at least 12%.</w:t>
      </w:r>
    </w:p>
    <w:p w14:paraId="472B9BE0" w14:textId="77777777" w:rsidR="00CB5570" w:rsidRPr="00881BDB" w:rsidRDefault="008B1C85" w:rsidP="00CB5570">
      <w:r w:rsidRPr="00881BDB">
        <w:t>Airflow limitation was deemed as ‘not fully reversible’ if both the following apply:</w:t>
      </w:r>
      <w:r w:rsidR="00CB5570" w:rsidRPr="00CB5570">
        <w:t xml:space="preserve"> </w:t>
      </w:r>
    </w:p>
    <w:p w14:paraId="6F07CD9E" w14:textId="77777777" w:rsidR="008B1C85" w:rsidRPr="00881BDB" w:rsidRDefault="008B1C85" w:rsidP="00EE3CFE">
      <w:pPr>
        <w:pStyle w:val="NormalBulleted"/>
        <w:numPr>
          <w:ilvl w:val="0"/>
          <w:numId w:val="37"/>
        </w:numPr>
      </w:pPr>
      <w:r w:rsidRPr="00881BDB">
        <w:t>Post-bronchodilator FEV</w:t>
      </w:r>
      <w:r w:rsidRPr="002137E6">
        <w:rPr>
          <w:vertAlign w:val="subscript"/>
        </w:rPr>
        <w:t>1</w:t>
      </w:r>
      <w:r w:rsidRPr="00881BDB">
        <w:t>/FVC is less than 70% or less than LLN;</w:t>
      </w:r>
      <w:r w:rsidRPr="00881BDB">
        <w:rPr>
          <w:rStyle w:val="FootnoteReference"/>
        </w:rPr>
        <w:footnoteReference w:id="7"/>
      </w:r>
      <w:r w:rsidRPr="00881BDB">
        <w:t xml:space="preserve"> and</w:t>
      </w:r>
    </w:p>
    <w:p w14:paraId="19682029" w14:textId="77777777" w:rsidR="008B1C85" w:rsidRPr="00881BDB" w:rsidRDefault="008B1C85" w:rsidP="00EE3CFE">
      <w:pPr>
        <w:pStyle w:val="NormalBulleted"/>
        <w:numPr>
          <w:ilvl w:val="0"/>
          <w:numId w:val="37"/>
        </w:numPr>
      </w:pPr>
      <w:r w:rsidRPr="00881BDB">
        <w:t>Post-bronchodilator FEV</w:t>
      </w:r>
      <w:r w:rsidRPr="002137E6">
        <w:rPr>
          <w:vertAlign w:val="subscript"/>
        </w:rPr>
        <w:t>1</w:t>
      </w:r>
      <w:r w:rsidRPr="00881BDB">
        <w:t xml:space="preserve"> is less than 80% of the predicted value.</w:t>
      </w:r>
    </w:p>
    <w:p w14:paraId="4AA67ED0" w14:textId="77777777" w:rsidR="008B1C85" w:rsidRPr="00881BDB" w:rsidRDefault="008B1C85" w:rsidP="008B1C85">
      <w:r w:rsidRPr="00881BDB">
        <w:t>The information paper also addressed the issue of coexisting asthma and COPD, stating that the co-existence of incompletely reversible airflow limitation (characteristic of COPD) and increased airflow variability (characteristic of asthma) is relatively common among older people with respiratory symptoms.</w:t>
      </w:r>
    </w:p>
    <w:p w14:paraId="705BDB0F" w14:textId="77777777" w:rsidR="008B1C85" w:rsidRPr="00A045F7" w:rsidRDefault="008B1C85" w:rsidP="00CB5570">
      <w:pPr>
        <w:pStyle w:val="AttHeading5"/>
        <w:rPr>
          <w:b/>
        </w:rPr>
      </w:pPr>
      <w:r w:rsidRPr="00A045F7">
        <w:rPr>
          <w:b/>
        </w:rPr>
        <w:lastRenderedPageBreak/>
        <w:t>National Clinical Guideline Centre (2016)</w:t>
      </w:r>
    </w:p>
    <w:p w14:paraId="0EEFC510" w14:textId="77777777" w:rsidR="008B1C85" w:rsidRPr="00881BDB" w:rsidRDefault="008B1C85" w:rsidP="008B1C85">
      <w:r w:rsidRPr="00881BDB">
        <w:t>The NCGC guideline (2016) was based on a systematic literature search underpinned by a number of key questions. One of the diagnostic key questions was:</w:t>
      </w:r>
    </w:p>
    <w:p w14:paraId="1F67BEF9" w14:textId="77777777" w:rsidR="008B1C85" w:rsidRPr="00881BDB" w:rsidRDefault="008B1C85" w:rsidP="008B1C85">
      <w:pPr>
        <w:pStyle w:val="BodyText"/>
        <w:spacing w:after="240"/>
        <w:ind w:left="720"/>
        <w:rPr>
          <w:i/>
        </w:rPr>
      </w:pPr>
      <w:r w:rsidRPr="00881BDB">
        <w:rPr>
          <w:i/>
        </w:rPr>
        <w:t>In people under investigation for asthma, what is the diagnostic test accuracy and cost-effectiveness of spirometry/flow volume loop measures?</w:t>
      </w:r>
    </w:p>
    <w:p w14:paraId="6A1606DC" w14:textId="77777777" w:rsidR="008B1C85" w:rsidRPr="00881BDB" w:rsidRDefault="008B1C85" w:rsidP="008B1C85">
      <w:r w:rsidRPr="00881BDB">
        <w:t>The CPG identified six cross-sectional studies that assessed the diagnostic accuracy of spirometry in patients with signs and symptoms of asthma (Fortuna et al, 2007; Pino et al, 1996; Popovic-Grle et al, 2002; Schneider et al, 2009; Sivan et al, 2009; Smith et al, 2004). Only one study used the ‘ideal’ index test measure of FEV</w:t>
      </w:r>
      <w:r w:rsidRPr="00881BDB">
        <w:rPr>
          <w:vertAlign w:val="subscript"/>
        </w:rPr>
        <w:t>1</w:t>
      </w:r>
      <w:r w:rsidRPr="00881BDB">
        <w:t>/FVC ratio &lt;70%. In all cases, the reference standard was physician’s diagnosis of asthma with an objective test.</w:t>
      </w:r>
      <w:r w:rsidRPr="00881BDB">
        <w:rPr>
          <w:rStyle w:val="FootnoteReference"/>
        </w:rPr>
        <w:footnoteReference w:id="8"/>
      </w:r>
    </w:p>
    <w:p w14:paraId="6A120CCC" w14:textId="77777777" w:rsidR="008B1C85" w:rsidRPr="00881BDB" w:rsidRDefault="008B1C85" w:rsidP="008B1C85">
      <w:r w:rsidRPr="00881BDB">
        <w:t>Only one study (Sivan et al, 2009; N=133) provided evidence about the use of spirometry in children and young people. The index test in that study was FEV</w:t>
      </w:r>
      <w:r w:rsidRPr="00881BDB">
        <w:rPr>
          <w:vertAlign w:val="subscript"/>
        </w:rPr>
        <w:t>1</w:t>
      </w:r>
      <w:r w:rsidRPr="00881BDB">
        <w:t xml:space="preserve"> &lt;80%. Based on evidence from the six included studies, the following evidence statements were developed.</w:t>
      </w:r>
    </w:p>
    <w:p w14:paraId="5181D702" w14:textId="6F15ABF3" w:rsidR="008B1C85" w:rsidRDefault="00167E8D" w:rsidP="005C3A85">
      <w:pPr>
        <w:pStyle w:val="Appcaption"/>
      </w:pPr>
      <w:r w:rsidRPr="00CD700F">
        <w:t xml:space="preserve">Table </w:t>
      </w:r>
      <w:fldSimple w:instr=" SEQ Title \* ARABIC ">
        <w:r w:rsidR="00F2203C">
          <w:rPr>
            <w:noProof/>
          </w:rPr>
          <w:t>9</w:t>
        </w:r>
      </w:fldSimple>
      <w:r w:rsidRPr="00CD700F">
        <w:rPr>
          <w:noProof/>
        </w:rPr>
        <w:t xml:space="preserve"> </w:t>
      </w:r>
      <w:r w:rsidR="008B1C85" w:rsidRPr="00CD700F">
        <w:rPr>
          <w:noProof/>
        </w:rPr>
        <w:t>NCGC (2016):</w:t>
      </w:r>
      <w:r w:rsidR="008B1C85">
        <w:t xml:space="preserve"> Evidence statements relating to the use of spirometry for the diagnosis of asthma</w:t>
      </w:r>
    </w:p>
    <w:tbl>
      <w:tblPr>
        <w:tblStyle w:val="TableGrid"/>
        <w:tblW w:w="0" w:type="auto"/>
        <w:tblLook w:val="04A0" w:firstRow="1" w:lastRow="0" w:firstColumn="1" w:lastColumn="0" w:noHBand="0" w:noVBand="1"/>
        <w:tblDescription w:val="Appendix C table 9  list the National Clinical Guideline Centre (NCGC) statements relating to spirometry and the diagnosis of asthma in adults. This table contains 3 heading columns: 1. Population, 2. Evidence statement and Quality of evidence during diagnosis of asthma."/>
      </w:tblPr>
      <w:tblGrid>
        <w:gridCol w:w="1126"/>
        <w:gridCol w:w="6589"/>
        <w:gridCol w:w="1346"/>
      </w:tblGrid>
      <w:tr w:rsidR="00414165" w14:paraId="56EA29FE" w14:textId="77777777" w:rsidTr="0099709F">
        <w:trPr>
          <w:tblHeader/>
        </w:trPr>
        <w:tc>
          <w:tcPr>
            <w:tcW w:w="1126" w:type="dxa"/>
            <w:tcBorders>
              <w:top w:val="single" w:sz="4" w:space="0" w:color="auto"/>
              <w:left w:val="single" w:sz="4" w:space="0" w:color="auto"/>
              <w:bottom w:val="single" w:sz="4" w:space="0" w:color="auto"/>
              <w:right w:val="single" w:sz="4" w:space="0" w:color="auto"/>
            </w:tcBorders>
          </w:tcPr>
          <w:p w14:paraId="7D224CF4" w14:textId="77777777" w:rsidR="00414165" w:rsidRPr="00784A05" w:rsidRDefault="00CD700F" w:rsidP="00733F83">
            <w:pPr>
              <w:pStyle w:val="Tableheading"/>
            </w:pPr>
            <w:r>
              <w:t>P</w:t>
            </w:r>
            <w:r w:rsidR="00733F83">
              <w:t>opulation</w:t>
            </w:r>
          </w:p>
        </w:tc>
        <w:tc>
          <w:tcPr>
            <w:tcW w:w="6803" w:type="dxa"/>
            <w:tcBorders>
              <w:top w:val="single" w:sz="4" w:space="0" w:color="auto"/>
              <w:left w:val="single" w:sz="4" w:space="0" w:color="auto"/>
              <w:bottom w:val="single" w:sz="4" w:space="0" w:color="auto"/>
              <w:right w:val="single" w:sz="4" w:space="0" w:color="auto"/>
            </w:tcBorders>
          </w:tcPr>
          <w:p w14:paraId="27EF15B1" w14:textId="77777777" w:rsidR="00414165" w:rsidRDefault="00414165" w:rsidP="00414165">
            <w:pPr>
              <w:pStyle w:val="Tableheading"/>
            </w:pPr>
            <w:r w:rsidRPr="00784A05">
              <w:t>Evidence statements</w:t>
            </w:r>
          </w:p>
        </w:tc>
        <w:tc>
          <w:tcPr>
            <w:tcW w:w="1358" w:type="dxa"/>
            <w:tcBorders>
              <w:top w:val="single" w:sz="4" w:space="0" w:color="auto"/>
              <w:left w:val="single" w:sz="4" w:space="0" w:color="auto"/>
              <w:bottom w:val="single" w:sz="4" w:space="0" w:color="auto"/>
              <w:right w:val="single" w:sz="4" w:space="0" w:color="auto"/>
            </w:tcBorders>
          </w:tcPr>
          <w:p w14:paraId="1A1FF441" w14:textId="77777777" w:rsidR="00414165" w:rsidRDefault="00414165" w:rsidP="00414165">
            <w:pPr>
              <w:pStyle w:val="Tableheading"/>
            </w:pPr>
            <w:r w:rsidRPr="004C005F">
              <w:t>Quality of evidence</w:t>
            </w:r>
          </w:p>
        </w:tc>
      </w:tr>
      <w:tr w:rsidR="00CD700F" w14:paraId="53967F6D" w14:textId="77777777" w:rsidTr="00A47A75">
        <w:tc>
          <w:tcPr>
            <w:tcW w:w="1126" w:type="dxa"/>
            <w:vMerge w:val="restart"/>
            <w:tcBorders>
              <w:top w:val="single" w:sz="4" w:space="0" w:color="auto"/>
              <w:left w:val="single" w:sz="4" w:space="0" w:color="auto"/>
              <w:right w:val="single" w:sz="4" w:space="0" w:color="auto"/>
            </w:tcBorders>
            <w:shd w:val="clear" w:color="auto" w:fill="FFFFFF" w:themeFill="background1"/>
          </w:tcPr>
          <w:p w14:paraId="7059E0F1" w14:textId="77777777" w:rsidR="00CD700F" w:rsidRPr="00C238E2" w:rsidRDefault="00CD700F" w:rsidP="008B1C85">
            <w:pPr>
              <w:pStyle w:val="Tabletext"/>
            </w:pPr>
            <w:r>
              <w:t>Adults</w:t>
            </w:r>
          </w:p>
        </w:tc>
        <w:tc>
          <w:tcPr>
            <w:tcW w:w="6803" w:type="dxa"/>
            <w:tcBorders>
              <w:top w:val="single" w:sz="4" w:space="0" w:color="auto"/>
              <w:left w:val="single" w:sz="4" w:space="0" w:color="auto"/>
              <w:bottom w:val="single" w:sz="4" w:space="0" w:color="auto"/>
              <w:right w:val="single" w:sz="4" w:space="0" w:color="auto"/>
            </w:tcBorders>
            <w:shd w:val="clear" w:color="auto" w:fill="FFFFFF" w:themeFill="background1"/>
          </w:tcPr>
          <w:p w14:paraId="43177E6D" w14:textId="77777777" w:rsidR="00CD700F" w:rsidRDefault="00CD700F" w:rsidP="008B1C85">
            <w:pPr>
              <w:pStyle w:val="Tabletext"/>
            </w:pPr>
            <w:r w:rsidRPr="00C238E2">
              <w:t>One study with 47 adults showed that spirometry (FEV</w:t>
            </w:r>
            <w:r w:rsidRPr="00740628">
              <w:rPr>
                <w:vertAlign w:val="subscript"/>
              </w:rPr>
              <w:t>1</w:t>
            </w:r>
            <w:r w:rsidRPr="00C238E2">
              <w:t>/FVC &lt;70%) has a sensitivity of 35.3% and a corresponding specificity of 100% for diagnosing asthma in people presenting with respiratory signs and symptoms.</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775A059E" w14:textId="77777777" w:rsidR="00CD700F" w:rsidRPr="00C238E2" w:rsidRDefault="00CD700F" w:rsidP="008B1C85">
            <w:pPr>
              <w:pStyle w:val="Tabletext"/>
            </w:pPr>
            <w:r w:rsidRPr="00C238E2">
              <w:t>Moderate quality</w:t>
            </w:r>
          </w:p>
        </w:tc>
      </w:tr>
      <w:tr w:rsidR="00CD700F" w14:paraId="4AE381E3" w14:textId="77777777" w:rsidTr="005E328F">
        <w:tc>
          <w:tcPr>
            <w:tcW w:w="1126" w:type="dxa"/>
            <w:vMerge/>
            <w:tcBorders>
              <w:left w:val="single" w:sz="4" w:space="0" w:color="auto"/>
              <w:right w:val="single" w:sz="4" w:space="0" w:color="auto"/>
            </w:tcBorders>
            <w:shd w:val="clear" w:color="auto" w:fill="DBE5F1" w:themeFill="accent1" w:themeFillTint="33"/>
          </w:tcPr>
          <w:p w14:paraId="4FA34A58" w14:textId="77777777" w:rsidR="00CD700F" w:rsidRPr="00C238E2" w:rsidRDefault="00CD700F" w:rsidP="008B1C85">
            <w:pPr>
              <w:pStyle w:val="Tabletext"/>
            </w:pPr>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4667F254" w14:textId="77777777" w:rsidR="00CD700F" w:rsidRDefault="00CD700F" w:rsidP="008B1C85">
            <w:pPr>
              <w:pStyle w:val="Tabletext"/>
            </w:pPr>
            <w:r w:rsidRPr="00C238E2">
              <w:t>Two studies with 303 adults showed that spirometry (FEV</w:t>
            </w:r>
            <w:r w:rsidRPr="00C238E2">
              <w:rPr>
                <w:vertAlign w:val="subscript"/>
              </w:rPr>
              <w:t>1</w:t>
            </w:r>
            <w:r w:rsidRPr="00C238E2">
              <w:t>/FVC &lt;70% and/or FEV</w:t>
            </w:r>
            <w:r w:rsidRPr="00740628">
              <w:rPr>
                <w:vertAlign w:val="subscript"/>
              </w:rPr>
              <w:t>1</w:t>
            </w:r>
            <w:r>
              <w:t xml:space="preserve"> </w:t>
            </w:r>
            <w:r w:rsidRPr="00C238E2">
              <w:t>&lt;80%) has a sensitivity range of 29-47% and a corresponding specificity range of 41-59% for diagnosing asthma in people presenting with respiratory signs and symptoms.</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1CC84A9F" w14:textId="77777777" w:rsidR="00CD700F" w:rsidRPr="00C238E2" w:rsidRDefault="00CD700F" w:rsidP="008B1C85">
            <w:pPr>
              <w:pStyle w:val="Tabletext"/>
            </w:pPr>
            <w:r w:rsidRPr="00C238E2">
              <w:t>Very low quality</w:t>
            </w:r>
          </w:p>
        </w:tc>
      </w:tr>
      <w:tr w:rsidR="00CD700F" w14:paraId="46298CF9" w14:textId="77777777" w:rsidTr="00A47A75">
        <w:tc>
          <w:tcPr>
            <w:tcW w:w="1126" w:type="dxa"/>
            <w:vMerge/>
            <w:tcBorders>
              <w:left w:val="single" w:sz="4" w:space="0" w:color="auto"/>
              <w:right w:val="single" w:sz="4" w:space="0" w:color="auto"/>
            </w:tcBorders>
            <w:shd w:val="clear" w:color="auto" w:fill="FFFFFF" w:themeFill="background1"/>
          </w:tcPr>
          <w:p w14:paraId="14FAD049" w14:textId="77777777" w:rsidR="00CD700F" w:rsidRPr="00C238E2" w:rsidRDefault="00CD700F" w:rsidP="008B1C85">
            <w:pPr>
              <w:pStyle w:val="Tabletext"/>
            </w:pPr>
          </w:p>
        </w:tc>
        <w:tc>
          <w:tcPr>
            <w:tcW w:w="6803" w:type="dxa"/>
            <w:tcBorders>
              <w:top w:val="single" w:sz="4" w:space="0" w:color="auto"/>
              <w:left w:val="single" w:sz="4" w:space="0" w:color="auto"/>
              <w:bottom w:val="single" w:sz="4" w:space="0" w:color="auto"/>
              <w:right w:val="single" w:sz="4" w:space="0" w:color="auto"/>
            </w:tcBorders>
            <w:shd w:val="clear" w:color="auto" w:fill="FFFFFF" w:themeFill="background1"/>
          </w:tcPr>
          <w:p w14:paraId="75154CCB" w14:textId="77777777" w:rsidR="00CD700F" w:rsidRDefault="00CD700F" w:rsidP="008B1C85">
            <w:pPr>
              <w:pStyle w:val="Tabletext"/>
            </w:pPr>
            <w:r w:rsidRPr="00C238E2">
              <w:t>Three studies with 292 adults showed that spirometry (FEV</w:t>
            </w:r>
            <w:r w:rsidRPr="005108A4">
              <w:rPr>
                <w:vertAlign w:val="subscript"/>
              </w:rPr>
              <w:t>1</w:t>
            </w:r>
            <w:r>
              <w:t xml:space="preserve"> </w:t>
            </w:r>
            <w:r w:rsidRPr="00C238E2">
              <w:t>&lt;80%) has a median sensitivity of 29.4% and a corresponding specificity of 100% for diagnosing asthma in people presenting with respiratory signs and symptoms.</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14:paraId="4D300480" w14:textId="77777777" w:rsidR="00CD700F" w:rsidRPr="00C238E2" w:rsidRDefault="00CD700F" w:rsidP="008B1C85">
            <w:pPr>
              <w:pStyle w:val="Tabletext"/>
            </w:pPr>
            <w:r>
              <w:t>Very low quality</w:t>
            </w:r>
          </w:p>
        </w:tc>
      </w:tr>
      <w:tr w:rsidR="00CD700F" w14:paraId="371496A5" w14:textId="77777777" w:rsidTr="005E328F">
        <w:tc>
          <w:tcPr>
            <w:tcW w:w="1126" w:type="dxa"/>
            <w:vMerge/>
            <w:tcBorders>
              <w:left w:val="single" w:sz="4" w:space="0" w:color="auto"/>
              <w:bottom w:val="single" w:sz="4" w:space="0" w:color="auto"/>
              <w:right w:val="single" w:sz="4" w:space="0" w:color="auto"/>
            </w:tcBorders>
            <w:shd w:val="clear" w:color="auto" w:fill="DBE5F1" w:themeFill="accent1" w:themeFillTint="33"/>
          </w:tcPr>
          <w:p w14:paraId="43120A91" w14:textId="77777777" w:rsidR="00CD700F" w:rsidRPr="00C238E2" w:rsidRDefault="00CD700F" w:rsidP="008B1C85">
            <w:pPr>
              <w:pStyle w:val="Tabletext"/>
            </w:pPr>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262C3BE9" w14:textId="77777777" w:rsidR="00CD700F" w:rsidRDefault="00CD700F" w:rsidP="008B1C85">
            <w:pPr>
              <w:pStyle w:val="Tabletext"/>
            </w:pPr>
            <w:r w:rsidRPr="00C238E2">
              <w:t>No evidence was available for flow volume loop</w:t>
            </w:r>
            <w:r>
              <w:t>.</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0A032E51" w14:textId="77777777" w:rsidR="00CD700F" w:rsidRPr="00C238E2" w:rsidRDefault="00CD700F" w:rsidP="008B1C85">
            <w:pPr>
              <w:pStyle w:val="Tabletext"/>
            </w:pPr>
            <w:r w:rsidRPr="00C238E2">
              <w:t>Not appli</w:t>
            </w:r>
            <w:r>
              <w:t>c</w:t>
            </w:r>
            <w:r w:rsidRPr="00C238E2">
              <w:t>able</w:t>
            </w:r>
          </w:p>
        </w:tc>
      </w:tr>
      <w:tr w:rsidR="002C4407" w14:paraId="72D9A641" w14:textId="77777777" w:rsidTr="00A47A75">
        <w:tc>
          <w:tcPr>
            <w:tcW w:w="1126" w:type="dxa"/>
            <w:vMerge w:val="restart"/>
            <w:tcBorders>
              <w:top w:val="single" w:sz="4" w:space="0" w:color="auto"/>
              <w:left w:val="single" w:sz="4" w:space="0" w:color="auto"/>
              <w:right w:val="single" w:sz="4" w:space="0" w:color="auto"/>
            </w:tcBorders>
          </w:tcPr>
          <w:p w14:paraId="2BE3FAC7" w14:textId="77777777" w:rsidR="002C4407" w:rsidRPr="00C238E2" w:rsidRDefault="002C4407" w:rsidP="008B1C85">
            <w:pPr>
              <w:pStyle w:val="Tabletext"/>
            </w:pPr>
            <w:r>
              <w:t>Children</w:t>
            </w:r>
          </w:p>
        </w:tc>
        <w:tc>
          <w:tcPr>
            <w:tcW w:w="6803" w:type="dxa"/>
            <w:tcBorders>
              <w:top w:val="single" w:sz="4" w:space="0" w:color="auto"/>
              <w:left w:val="single" w:sz="4" w:space="0" w:color="auto"/>
              <w:bottom w:val="single" w:sz="4" w:space="0" w:color="auto"/>
              <w:right w:val="single" w:sz="4" w:space="0" w:color="auto"/>
            </w:tcBorders>
          </w:tcPr>
          <w:p w14:paraId="64187F07" w14:textId="77777777" w:rsidR="002C4407" w:rsidRDefault="002C4407" w:rsidP="008B1C85">
            <w:pPr>
              <w:pStyle w:val="Tabletext"/>
            </w:pPr>
            <w:r w:rsidRPr="00C238E2">
              <w:t>No evidence was available for FEV</w:t>
            </w:r>
            <w:r w:rsidRPr="005108A4">
              <w:rPr>
                <w:vertAlign w:val="subscript"/>
              </w:rPr>
              <w:t>1</w:t>
            </w:r>
            <w:r w:rsidRPr="00C238E2">
              <w:t>/FVC &lt;70% in children</w:t>
            </w:r>
            <w:r>
              <w:t>.</w:t>
            </w:r>
          </w:p>
        </w:tc>
        <w:tc>
          <w:tcPr>
            <w:tcW w:w="1358" w:type="dxa"/>
            <w:tcBorders>
              <w:top w:val="single" w:sz="4" w:space="0" w:color="auto"/>
              <w:left w:val="single" w:sz="4" w:space="0" w:color="auto"/>
              <w:bottom w:val="single" w:sz="4" w:space="0" w:color="auto"/>
              <w:right w:val="single" w:sz="4" w:space="0" w:color="auto"/>
            </w:tcBorders>
          </w:tcPr>
          <w:p w14:paraId="1ACE2E79" w14:textId="77777777" w:rsidR="002C4407" w:rsidRPr="00C238E2" w:rsidRDefault="002C4407" w:rsidP="008B1C85">
            <w:pPr>
              <w:pStyle w:val="Tabletext"/>
            </w:pPr>
            <w:r>
              <w:t>Not applicable</w:t>
            </w:r>
          </w:p>
        </w:tc>
      </w:tr>
      <w:tr w:rsidR="002C4407" w14:paraId="3D55FB6B" w14:textId="77777777" w:rsidTr="00A47A75">
        <w:tc>
          <w:tcPr>
            <w:tcW w:w="1126" w:type="dxa"/>
            <w:vMerge/>
            <w:tcBorders>
              <w:left w:val="single" w:sz="4" w:space="0" w:color="auto"/>
              <w:right w:val="single" w:sz="4" w:space="0" w:color="auto"/>
            </w:tcBorders>
          </w:tcPr>
          <w:p w14:paraId="22CC04B3" w14:textId="77777777" w:rsidR="002C4407" w:rsidRPr="00C238E2" w:rsidRDefault="002C4407" w:rsidP="008B1C85">
            <w:pPr>
              <w:pStyle w:val="Tabletext"/>
            </w:pPr>
          </w:p>
        </w:tc>
        <w:tc>
          <w:tcPr>
            <w:tcW w:w="6803" w:type="dxa"/>
            <w:tcBorders>
              <w:top w:val="single" w:sz="4" w:space="0" w:color="auto"/>
              <w:left w:val="single" w:sz="4" w:space="0" w:color="auto"/>
              <w:bottom w:val="single" w:sz="4" w:space="0" w:color="auto"/>
              <w:right w:val="single" w:sz="4" w:space="0" w:color="auto"/>
            </w:tcBorders>
          </w:tcPr>
          <w:p w14:paraId="07DD0EE3" w14:textId="77777777" w:rsidR="002C4407" w:rsidRPr="00E94B7C" w:rsidRDefault="002C4407" w:rsidP="008B1C85">
            <w:pPr>
              <w:pStyle w:val="Tabletext"/>
            </w:pPr>
            <w:r w:rsidRPr="00C238E2">
              <w:t>No evidence was available for flow volume loop</w:t>
            </w:r>
            <w:r>
              <w:t>.</w:t>
            </w:r>
          </w:p>
        </w:tc>
        <w:tc>
          <w:tcPr>
            <w:tcW w:w="1358" w:type="dxa"/>
            <w:tcBorders>
              <w:top w:val="single" w:sz="4" w:space="0" w:color="auto"/>
              <w:left w:val="single" w:sz="4" w:space="0" w:color="auto"/>
              <w:bottom w:val="single" w:sz="4" w:space="0" w:color="auto"/>
              <w:right w:val="single" w:sz="4" w:space="0" w:color="auto"/>
            </w:tcBorders>
          </w:tcPr>
          <w:p w14:paraId="4690D55C" w14:textId="77777777" w:rsidR="002C4407" w:rsidRPr="00C238E2" w:rsidRDefault="002C4407" w:rsidP="008B1C85">
            <w:pPr>
              <w:pStyle w:val="Tabletext"/>
            </w:pPr>
            <w:r>
              <w:t>Not applicable</w:t>
            </w:r>
          </w:p>
        </w:tc>
      </w:tr>
      <w:tr w:rsidR="002C4407" w14:paraId="330178DB" w14:textId="77777777" w:rsidTr="00A47A75">
        <w:tc>
          <w:tcPr>
            <w:tcW w:w="1126" w:type="dxa"/>
            <w:vMerge/>
            <w:tcBorders>
              <w:left w:val="single" w:sz="4" w:space="0" w:color="auto"/>
              <w:bottom w:val="single" w:sz="4" w:space="0" w:color="auto"/>
              <w:right w:val="single" w:sz="4" w:space="0" w:color="auto"/>
            </w:tcBorders>
          </w:tcPr>
          <w:p w14:paraId="269B1F46" w14:textId="77777777" w:rsidR="002C4407" w:rsidRPr="00C238E2" w:rsidRDefault="002C4407" w:rsidP="008B1C85">
            <w:pPr>
              <w:pStyle w:val="Tabletext"/>
            </w:pPr>
          </w:p>
        </w:tc>
        <w:tc>
          <w:tcPr>
            <w:tcW w:w="6803" w:type="dxa"/>
            <w:tcBorders>
              <w:top w:val="single" w:sz="4" w:space="0" w:color="auto"/>
              <w:left w:val="single" w:sz="4" w:space="0" w:color="auto"/>
              <w:bottom w:val="single" w:sz="4" w:space="0" w:color="auto"/>
              <w:right w:val="single" w:sz="4" w:space="0" w:color="auto"/>
            </w:tcBorders>
          </w:tcPr>
          <w:p w14:paraId="280B8D62" w14:textId="77777777" w:rsidR="002C4407" w:rsidRPr="00103C98" w:rsidRDefault="002C4407" w:rsidP="008B1C85">
            <w:pPr>
              <w:pStyle w:val="Tabletext"/>
            </w:pPr>
            <w:r w:rsidRPr="00C238E2">
              <w:t>One study with 133 children showed that spirometry (FEV</w:t>
            </w:r>
            <w:r w:rsidRPr="005108A4">
              <w:rPr>
                <w:vertAlign w:val="subscript"/>
              </w:rPr>
              <w:t>1</w:t>
            </w:r>
            <w:r w:rsidRPr="00C238E2">
              <w:t xml:space="preserve"> &lt;80%) has a sensitivity of 52% and a corresponding specificity of 72% for diagnosing asthma in people presenting with respiratory signs and symptoms.</w:t>
            </w:r>
          </w:p>
        </w:tc>
        <w:tc>
          <w:tcPr>
            <w:tcW w:w="1358" w:type="dxa"/>
            <w:tcBorders>
              <w:top w:val="single" w:sz="4" w:space="0" w:color="auto"/>
              <w:left w:val="single" w:sz="4" w:space="0" w:color="auto"/>
              <w:bottom w:val="single" w:sz="4" w:space="0" w:color="auto"/>
              <w:right w:val="single" w:sz="4" w:space="0" w:color="auto"/>
            </w:tcBorders>
          </w:tcPr>
          <w:p w14:paraId="5E3BB0FB" w14:textId="77777777" w:rsidR="002C4407" w:rsidRPr="00C238E2" w:rsidRDefault="002C4407" w:rsidP="008B1C85">
            <w:pPr>
              <w:pStyle w:val="Tabletext"/>
            </w:pPr>
            <w:r>
              <w:t>Low quality</w:t>
            </w:r>
          </w:p>
        </w:tc>
      </w:tr>
    </w:tbl>
    <w:p w14:paraId="5A864412" w14:textId="77777777" w:rsidR="008B1C85" w:rsidRPr="00D2012C" w:rsidRDefault="008B1C85" w:rsidP="008B1C85">
      <w:pPr>
        <w:pStyle w:val="09Tablefootnoteslast-nostick"/>
      </w:pPr>
      <w:r>
        <w:t>Abbreviations: FEV</w:t>
      </w:r>
      <w:r>
        <w:rPr>
          <w:vertAlign w:val="subscript"/>
        </w:rPr>
        <w:t>1</w:t>
      </w:r>
      <w:r>
        <w:t>, forced expiratory volume in 1 second; FVC, forced vital capacity.</w:t>
      </w:r>
    </w:p>
    <w:p w14:paraId="6BEE508F" w14:textId="77777777" w:rsidR="008B1C85" w:rsidRPr="00881BDB" w:rsidRDefault="008B1C85" w:rsidP="008B1C85">
      <w:r w:rsidRPr="00881BDB">
        <w:lastRenderedPageBreak/>
        <w:t>In children younger than 5 years, the guideline recommends treating symptoms based on observation and clinical judgment. If the child still has symptoms when they reach age 5, objective tests should be performed while on current treatment. In children without symptoms at 5 years of age, treatment should be stepped down (or stopped) before performing objective tests.</w:t>
      </w:r>
    </w:p>
    <w:p w14:paraId="30957EFA" w14:textId="77777777" w:rsidR="008B1C85" w:rsidRPr="00881BDB" w:rsidRDefault="008B1C85" w:rsidP="008B1C85">
      <w:r w:rsidRPr="00881BDB">
        <w:t>Another key question of relevance to this review that was addressed in the NGCG guideline was:</w:t>
      </w:r>
    </w:p>
    <w:p w14:paraId="72350E90" w14:textId="77777777" w:rsidR="008B1C85" w:rsidRPr="00881BDB" w:rsidRDefault="008B1C85" w:rsidP="008B1C85">
      <w:pPr>
        <w:pStyle w:val="BodyText"/>
        <w:spacing w:after="240"/>
        <w:ind w:left="720"/>
        <w:rPr>
          <w:i/>
        </w:rPr>
      </w:pPr>
      <w:r w:rsidRPr="00881BDB">
        <w:rPr>
          <w:i/>
        </w:rPr>
        <w:t>In people under investigation for asthma, what is the diagnostic test accuracy and cost-effectiveness of bronchodilator response (using PEF or FEV</w:t>
      </w:r>
      <w:r w:rsidRPr="00881BDB">
        <w:rPr>
          <w:i/>
          <w:vertAlign w:val="subscript"/>
        </w:rPr>
        <w:t>1</w:t>
      </w:r>
      <w:r w:rsidRPr="00881BDB">
        <w:rPr>
          <w:i/>
        </w:rPr>
        <w:t>)?</w:t>
      </w:r>
    </w:p>
    <w:p w14:paraId="787CB108" w14:textId="77777777" w:rsidR="008B1C85" w:rsidRPr="00881BDB" w:rsidRDefault="008B1C85" w:rsidP="008B1C85">
      <w:r w:rsidRPr="00881BDB">
        <w:t xml:space="preserve">A determination of airflow-limitation reversibility with drug administration is commonly undertaken as part of lung function testing in patients in whom obstruction is observed. There is no clear consensus about what constitutes reversibility in subjects with airflow obstruction, although, according to NCGC (2016), the </w:t>
      </w:r>
      <w:r w:rsidRPr="00881BDB">
        <w:rPr>
          <w:i/>
        </w:rPr>
        <w:t xml:space="preserve">ATS/ERS Task Force Standardisation of Lung Function Testing: Standardisation of spirometry </w:t>
      </w:r>
      <w:r w:rsidRPr="00881BDB">
        <w:t>(2005) provides the clearest guidance and is most widely used.</w:t>
      </w:r>
    </w:p>
    <w:p w14:paraId="62A07086" w14:textId="77777777" w:rsidR="008B1C85" w:rsidRPr="00881BDB" w:rsidRDefault="008B1C85" w:rsidP="008B1C85">
      <w:r w:rsidRPr="00881BDB">
        <w:t>The NCGC guideline recommended the following procedure for assessing bronchodilator response, citing the ATS/ERS Task Force (Miller et al, 2005).</w:t>
      </w:r>
    </w:p>
    <w:p w14:paraId="40099ED2" w14:textId="77777777" w:rsidR="008B1C85" w:rsidRPr="00881BDB" w:rsidRDefault="008B1C85" w:rsidP="00EE3CFE">
      <w:pPr>
        <w:pStyle w:val="NormalBulleted"/>
        <w:numPr>
          <w:ilvl w:val="0"/>
          <w:numId w:val="47"/>
        </w:numPr>
      </w:pPr>
      <w:r w:rsidRPr="00881BDB">
        <w:t>Assess lung function at baseline. If obstruction is present (FEV</w:t>
      </w:r>
      <w:r w:rsidRPr="002137E6">
        <w:rPr>
          <w:vertAlign w:val="subscript"/>
        </w:rPr>
        <w:t>1</w:t>
      </w:r>
      <w:r w:rsidRPr="00881BDB">
        <w:t>/FVC ratio &lt;70%) administer four separate doses of 100 mcg salbutamol through a spacer and reassess lung function after 15 minutes.</w:t>
      </w:r>
    </w:p>
    <w:p w14:paraId="4C1EA578" w14:textId="77777777" w:rsidR="008B1C85" w:rsidRPr="00881BDB" w:rsidRDefault="008B1C85" w:rsidP="00EE3CFE">
      <w:pPr>
        <w:pStyle w:val="NormalBulleted"/>
        <w:numPr>
          <w:ilvl w:val="0"/>
          <w:numId w:val="47"/>
        </w:numPr>
      </w:pPr>
      <w:r w:rsidRPr="00881BDB">
        <w:t>An increase in FEV</w:t>
      </w:r>
      <w:r w:rsidRPr="002137E6">
        <w:rPr>
          <w:vertAlign w:val="subscript"/>
        </w:rPr>
        <w:t>1</w:t>
      </w:r>
      <w:r w:rsidRPr="00881BDB">
        <w:t xml:space="preserve"> ≥ 12% and ≥ 200 mL above baseline FEV</w:t>
      </w:r>
      <w:r w:rsidRPr="002137E6">
        <w:rPr>
          <w:vertAlign w:val="subscript"/>
        </w:rPr>
        <w:t>1</w:t>
      </w:r>
      <w:r w:rsidRPr="00881BDB">
        <w:t xml:space="preserve"> after short-acting β2 agonist constitutes a positive bronchodilator response.</w:t>
      </w:r>
    </w:p>
    <w:p w14:paraId="4EBEDBDD" w14:textId="77777777" w:rsidR="008B1C85" w:rsidRPr="00881BDB" w:rsidRDefault="008B1C85" w:rsidP="00EE3CFE">
      <w:pPr>
        <w:pStyle w:val="NormalBulleted"/>
        <w:numPr>
          <w:ilvl w:val="0"/>
          <w:numId w:val="47"/>
        </w:numPr>
      </w:pPr>
      <w:r w:rsidRPr="00881BDB">
        <w:t>The lack of a spirometric bronchodilator response in the laboratory does not preclude a clinical response to bronchodilator therapy.</w:t>
      </w:r>
    </w:p>
    <w:p w14:paraId="0B057D03" w14:textId="77777777" w:rsidR="008B1C85" w:rsidRPr="00881BDB" w:rsidRDefault="008B1C85" w:rsidP="00B83773">
      <w:r w:rsidRPr="00881BDB">
        <w:t>The guideline identified four studies that aimed to assess the diagnostic accuracy of bronchodilator reversibility in distinguishing between asthma and COPD (Brand et al, 1992; Chhabra, 2005; Kim et al, 2012; Quadrelli et al, 1999). All of the studies included adults with asthma or COPD, rather than suspected asthma.</w:t>
      </w:r>
    </w:p>
    <w:p w14:paraId="6C9999C1" w14:textId="77777777" w:rsidR="00A47A75" w:rsidRDefault="008B1C85" w:rsidP="00B83773">
      <w:r w:rsidRPr="00881BDB">
        <w:t>Only two of the studies used a reference standard that included an objective test for asthma and in one of those studies (Quadrelli et al, 1999) it was unclear whether all patients received the objective test.</w:t>
      </w:r>
      <w:r w:rsidR="00A47A75">
        <w:br w:type="page"/>
      </w:r>
    </w:p>
    <w:p w14:paraId="5BAC6DC2" w14:textId="48E93C6C" w:rsidR="008B1C85" w:rsidRDefault="00167E8D" w:rsidP="005C3A85">
      <w:pPr>
        <w:pStyle w:val="Appcaption"/>
      </w:pPr>
      <w:r w:rsidRPr="00CD700F">
        <w:lastRenderedPageBreak/>
        <w:t xml:space="preserve">Table </w:t>
      </w:r>
      <w:fldSimple w:instr=" SEQ Title \* ARABIC ">
        <w:r w:rsidR="00F2203C">
          <w:rPr>
            <w:noProof/>
          </w:rPr>
          <w:t>10</w:t>
        </w:r>
      </w:fldSimple>
      <w:r w:rsidRPr="00CD700F">
        <w:rPr>
          <w:noProof/>
        </w:rPr>
        <w:t xml:space="preserve"> </w:t>
      </w:r>
      <w:r w:rsidR="008B1C85" w:rsidRPr="00CD700F">
        <w:t>NCGC (2016): Evidence statements relating to the use of bronchodilator reversibility for the diagnosis</w:t>
      </w:r>
      <w:r w:rsidR="008B1C85">
        <w:t xml:space="preserve"> of asthma</w:t>
      </w:r>
    </w:p>
    <w:tbl>
      <w:tblPr>
        <w:tblStyle w:val="TableGrid"/>
        <w:tblW w:w="0" w:type="auto"/>
        <w:tblLook w:val="04A0" w:firstRow="1" w:lastRow="0" w:firstColumn="1" w:lastColumn="0" w:noHBand="0" w:noVBand="1"/>
        <w:tblDescription w:val="Appendix C table 10 list the National Clinical Guideline Centre (NCGC) use of spirometry and the diagnosis of asthma in adults. This table contains 2 heading columns: 1. Recommendation and Grade of recommendation during diagnosis."/>
      </w:tblPr>
      <w:tblGrid>
        <w:gridCol w:w="1237"/>
        <w:gridCol w:w="6479"/>
        <w:gridCol w:w="1345"/>
      </w:tblGrid>
      <w:tr w:rsidR="00CD700F" w14:paraId="0F6E9164" w14:textId="77777777" w:rsidTr="0099709F">
        <w:trPr>
          <w:tblHeader/>
        </w:trPr>
        <w:tc>
          <w:tcPr>
            <w:tcW w:w="1242" w:type="dxa"/>
            <w:tcBorders>
              <w:top w:val="single" w:sz="4" w:space="0" w:color="auto"/>
              <w:left w:val="single" w:sz="4" w:space="0" w:color="auto"/>
              <w:bottom w:val="single" w:sz="4" w:space="0" w:color="auto"/>
              <w:right w:val="single" w:sz="4" w:space="0" w:color="auto"/>
            </w:tcBorders>
          </w:tcPr>
          <w:p w14:paraId="00FB9401" w14:textId="77777777" w:rsidR="00CD700F" w:rsidRPr="00784A05" w:rsidRDefault="00733F83" w:rsidP="00A47A75">
            <w:pPr>
              <w:pStyle w:val="Tableheading"/>
            </w:pPr>
            <w:r>
              <w:t>Population</w:t>
            </w:r>
          </w:p>
        </w:tc>
        <w:tc>
          <w:tcPr>
            <w:tcW w:w="6688" w:type="dxa"/>
            <w:tcBorders>
              <w:top w:val="single" w:sz="4" w:space="0" w:color="auto"/>
              <w:left w:val="single" w:sz="4" w:space="0" w:color="auto"/>
              <w:bottom w:val="single" w:sz="4" w:space="0" w:color="auto"/>
              <w:right w:val="single" w:sz="4" w:space="0" w:color="auto"/>
            </w:tcBorders>
          </w:tcPr>
          <w:p w14:paraId="4E69ACC0" w14:textId="77777777" w:rsidR="00CD700F" w:rsidRDefault="00CD700F" w:rsidP="00A47A75">
            <w:pPr>
              <w:pStyle w:val="Tableheading"/>
            </w:pPr>
            <w:r w:rsidRPr="00784A05">
              <w:t>Evidence statements</w:t>
            </w:r>
          </w:p>
        </w:tc>
        <w:tc>
          <w:tcPr>
            <w:tcW w:w="1357" w:type="dxa"/>
            <w:tcBorders>
              <w:top w:val="single" w:sz="4" w:space="0" w:color="auto"/>
              <w:left w:val="single" w:sz="4" w:space="0" w:color="auto"/>
              <w:bottom w:val="single" w:sz="4" w:space="0" w:color="auto"/>
              <w:right w:val="single" w:sz="4" w:space="0" w:color="auto"/>
            </w:tcBorders>
          </w:tcPr>
          <w:p w14:paraId="4715190B" w14:textId="77777777" w:rsidR="00CD700F" w:rsidRPr="00784A05" w:rsidRDefault="00CD700F" w:rsidP="00A47A75">
            <w:pPr>
              <w:pStyle w:val="Tableheading"/>
            </w:pPr>
            <w:r w:rsidRPr="00784A05">
              <w:t>Quality of evidence</w:t>
            </w:r>
          </w:p>
        </w:tc>
      </w:tr>
      <w:tr w:rsidR="00CD700F" w14:paraId="1C573870" w14:textId="77777777" w:rsidTr="00A47A75">
        <w:tc>
          <w:tcPr>
            <w:tcW w:w="1242" w:type="dxa"/>
            <w:vMerge w:val="restart"/>
            <w:tcBorders>
              <w:top w:val="single" w:sz="4" w:space="0" w:color="auto"/>
              <w:left w:val="single" w:sz="4" w:space="0" w:color="auto"/>
              <w:right w:val="single" w:sz="4" w:space="0" w:color="auto"/>
            </w:tcBorders>
            <w:shd w:val="clear" w:color="auto" w:fill="FFFFFF" w:themeFill="background1"/>
          </w:tcPr>
          <w:p w14:paraId="1FCC6D5E" w14:textId="77777777" w:rsidR="00CD700F" w:rsidRPr="00C1045D" w:rsidRDefault="00CD700F" w:rsidP="008B1C85">
            <w:pPr>
              <w:pStyle w:val="Tabletext"/>
            </w:pPr>
            <w:r>
              <w:t>Adults</w:t>
            </w:r>
          </w:p>
        </w:tc>
        <w:tc>
          <w:tcPr>
            <w:tcW w:w="6688" w:type="dxa"/>
            <w:tcBorders>
              <w:top w:val="single" w:sz="4" w:space="0" w:color="auto"/>
              <w:left w:val="single" w:sz="4" w:space="0" w:color="auto"/>
              <w:bottom w:val="single" w:sz="4" w:space="0" w:color="auto"/>
              <w:right w:val="single" w:sz="4" w:space="0" w:color="auto"/>
            </w:tcBorders>
            <w:shd w:val="clear" w:color="auto" w:fill="FFFFFF" w:themeFill="background1"/>
          </w:tcPr>
          <w:p w14:paraId="008C5FEE" w14:textId="77777777" w:rsidR="00CD700F" w:rsidRDefault="00CD700F" w:rsidP="008B1C85">
            <w:pPr>
              <w:pStyle w:val="Tabletext"/>
            </w:pPr>
            <w:r w:rsidRPr="00C1045D">
              <w:t>Two studies with 868 adults showed that bronchodilator reversibility (ΔFEV</w:t>
            </w:r>
            <w:r w:rsidRPr="0019100C">
              <w:rPr>
                <w:vertAlign w:val="subscript"/>
              </w:rPr>
              <w:t>1</w:t>
            </w:r>
            <w:r w:rsidRPr="00C1045D">
              <w:t>%init ≥12% and ΔFEV</w:t>
            </w:r>
            <w:r w:rsidRPr="0019100C">
              <w:rPr>
                <w:vertAlign w:val="subscript"/>
              </w:rPr>
              <w:t>1</w:t>
            </w:r>
            <w:r w:rsidRPr="00C1045D">
              <w:t>[L] ≥0.2</w:t>
            </w:r>
            <w:r>
              <w:t xml:space="preserve"> </w:t>
            </w:r>
            <w:r w:rsidRPr="00C1045D">
              <w:t>L) has a sensitivity range of 0.17 to 0.65 and a corresponding specificity range of 0.61 to 0.81 for diagnosing asthma in people presenting with respiratory signs and symptoms and obstructive airways disease.</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tcPr>
          <w:p w14:paraId="2448EA74" w14:textId="77777777" w:rsidR="00CD700F" w:rsidRPr="00C238E2" w:rsidRDefault="00CD700F" w:rsidP="008B1C85">
            <w:pPr>
              <w:pStyle w:val="Tabletext"/>
            </w:pPr>
            <w:r>
              <w:t>Very low quality</w:t>
            </w:r>
          </w:p>
        </w:tc>
      </w:tr>
      <w:tr w:rsidR="00CD700F" w14:paraId="72232B5E" w14:textId="77777777" w:rsidTr="005E328F">
        <w:tc>
          <w:tcPr>
            <w:tcW w:w="1242" w:type="dxa"/>
            <w:vMerge/>
            <w:tcBorders>
              <w:left w:val="single" w:sz="4" w:space="0" w:color="auto"/>
              <w:bottom w:val="single" w:sz="4" w:space="0" w:color="auto"/>
              <w:right w:val="single" w:sz="4" w:space="0" w:color="auto"/>
            </w:tcBorders>
            <w:shd w:val="clear" w:color="auto" w:fill="DBE5F1" w:themeFill="accent1" w:themeFillTint="33"/>
          </w:tcPr>
          <w:p w14:paraId="591CECED" w14:textId="77777777" w:rsidR="00CD700F" w:rsidRPr="00C1045D" w:rsidRDefault="00CD700F" w:rsidP="008B1C85">
            <w:pPr>
              <w:pStyle w:val="Tabletext"/>
            </w:pPr>
          </w:p>
        </w:tc>
        <w:tc>
          <w:tcPr>
            <w:tcW w:w="6688" w:type="dxa"/>
            <w:tcBorders>
              <w:top w:val="single" w:sz="4" w:space="0" w:color="auto"/>
              <w:left w:val="single" w:sz="4" w:space="0" w:color="auto"/>
              <w:bottom w:val="single" w:sz="4" w:space="0" w:color="auto"/>
              <w:right w:val="single" w:sz="4" w:space="0" w:color="auto"/>
            </w:tcBorders>
            <w:shd w:val="clear" w:color="auto" w:fill="auto"/>
          </w:tcPr>
          <w:p w14:paraId="45BA2630" w14:textId="77777777" w:rsidR="00CD700F" w:rsidRDefault="00CD700F" w:rsidP="008B1C85">
            <w:pPr>
              <w:pStyle w:val="Tabletext"/>
            </w:pPr>
            <w:r w:rsidRPr="00C1045D">
              <w:t>Two studies with 269 adults showed that bronchodilator reversibility (ΔFEV</w:t>
            </w:r>
            <w:r w:rsidRPr="0019100C">
              <w:rPr>
                <w:vertAlign w:val="subscript"/>
              </w:rPr>
              <w:t>1</w:t>
            </w:r>
            <w:r w:rsidRPr="00C1045D">
              <w:t>%init &gt;15% and ΔFEV</w:t>
            </w:r>
            <w:r w:rsidRPr="0019100C">
              <w:rPr>
                <w:vertAlign w:val="subscript"/>
              </w:rPr>
              <w:t>1</w:t>
            </w:r>
            <w:r w:rsidRPr="00C1045D">
              <w:t>[L] &gt;0.2</w:t>
            </w:r>
            <w:r>
              <w:t xml:space="preserve"> </w:t>
            </w:r>
            <w:r w:rsidRPr="00C1045D">
              <w:t>L) has a sensitivity range of 0.69 to 0.69 and a corresponding specificity range of 0.55 to 0.71 for diagnosing asthma in people presenting with respiratory signs and symptoms and obstructive airways disease.</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1157D8C1" w14:textId="77777777" w:rsidR="00CD700F" w:rsidRPr="00C238E2" w:rsidRDefault="00CD700F" w:rsidP="008B1C85">
            <w:pPr>
              <w:pStyle w:val="Tabletext"/>
            </w:pPr>
            <w:r>
              <w:t>Low quality</w:t>
            </w:r>
          </w:p>
        </w:tc>
      </w:tr>
      <w:tr w:rsidR="00CD700F" w14:paraId="06433F2D" w14:textId="77777777" w:rsidTr="0099709F">
        <w:tc>
          <w:tcPr>
            <w:tcW w:w="1242" w:type="dxa"/>
            <w:tcBorders>
              <w:top w:val="single" w:sz="4" w:space="0" w:color="auto"/>
              <w:left w:val="single" w:sz="4" w:space="0" w:color="auto"/>
              <w:bottom w:val="single" w:sz="4" w:space="0" w:color="auto"/>
              <w:right w:val="single" w:sz="4" w:space="0" w:color="auto"/>
            </w:tcBorders>
          </w:tcPr>
          <w:p w14:paraId="4A43AB63" w14:textId="77777777" w:rsidR="00CD700F" w:rsidRPr="00C1045D" w:rsidRDefault="00CD700F" w:rsidP="008B1C85">
            <w:pPr>
              <w:pStyle w:val="Tabletext"/>
            </w:pPr>
            <w:r>
              <w:t>Children</w:t>
            </w:r>
          </w:p>
        </w:tc>
        <w:tc>
          <w:tcPr>
            <w:tcW w:w="6688" w:type="dxa"/>
            <w:tcBorders>
              <w:top w:val="single" w:sz="4" w:space="0" w:color="auto"/>
              <w:left w:val="single" w:sz="4" w:space="0" w:color="auto"/>
              <w:bottom w:val="single" w:sz="4" w:space="0" w:color="auto"/>
              <w:right w:val="single" w:sz="4" w:space="0" w:color="auto"/>
            </w:tcBorders>
          </w:tcPr>
          <w:p w14:paraId="2112C0B8" w14:textId="77777777" w:rsidR="00CD700F" w:rsidRDefault="00CD700F" w:rsidP="008B1C85">
            <w:pPr>
              <w:pStyle w:val="Tabletext"/>
            </w:pPr>
            <w:r w:rsidRPr="00C1045D">
              <w:t>No evidence was identified in children aged 5-16 years</w:t>
            </w:r>
            <w:r>
              <w:t>.</w:t>
            </w:r>
          </w:p>
        </w:tc>
        <w:tc>
          <w:tcPr>
            <w:tcW w:w="1357" w:type="dxa"/>
            <w:tcBorders>
              <w:top w:val="single" w:sz="4" w:space="0" w:color="auto"/>
              <w:left w:val="single" w:sz="4" w:space="0" w:color="auto"/>
              <w:bottom w:val="single" w:sz="4" w:space="0" w:color="auto"/>
              <w:right w:val="single" w:sz="4" w:space="0" w:color="auto"/>
            </w:tcBorders>
          </w:tcPr>
          <w:p w14:paraId="67781ED2" w14:textId="77777777" w:rsidR="00CD700F" w:rsidRPr="00C238E2" w:rsidRDefault="00CD700F" w:rsidP="008B1C85">
            <w:pPr>
              <w:pStyle w:val="Tabletext"/>
            </w:pPr>
            <w:r>
              <w:t>Not applicable</w:t>
            </w:r>
          </w:p>
        </w:tc>
      </w:tr>
    </w:tbl>
    <w:p w14:paraId="5CDB4F81" w14:textId="77777777" w:rsidR="008B1C85" w:rsidRPr="00EC7B44" w:rsidRDefault="008B1C85" w:rsidP="008B1C85">
      <w:pPr>
        <w:pStyle w:val="09Tablefootnoteslast-nostick"/>
      </w:pPr>
      <w:r>
        <w:t>Abbreviations: FEV</w:t>
      </w:r>
      <w:r>
        <w:rPr>
          <w:vertAlign w:val="subscript"/>
        </w:rPr>
        <w:t>1</w:t>
      </w:r>
      <w:r>
        <w:t>, forced expiratory volumes in 1 second.</w:t>
      </w:r>
    </w:p>
    <w:p w14:paraId="6485DD81" w14:textId="77777777" w:rsidR="008B1C85" w:rsidRPr="00881BDB" w:rsidRDefault="008B1C85" w:rsidP="00B50F00">
      <w:r w:rsidRPr="00881BDB">
        <w:t>Based on the available evidence, the Guideline Development Group (GDG) agreed spirometry should not be used in isolation for the diagnosis of asthma due to the low sensitivity of the test, and due to the fact that obstruction also occurs in other conditions that have symptoms in common with asthma (such as COPD). When considering the placement of spirometry in a diagnostic pathway, the GDG noted the importance of spirometry as a first line investigation in all patients, to detect the presence or absence of obstruction, which then determines whether other tests are appropriate. The GDG agreed that a bronchodilator reversibility test should be used on all patients with an obstructive spirometry because it can be performed at a low cost immediately after initial spirometry, and a positive result is recognised as strong indication that the individual has asthma. However the GDG noted that the clinical evidence showed it did not have a high specificity and that there were other obstructive airway diseases, such as COPD, that could produce a positive result.</w:t>
      </w:r>
    </w:p>
    <w:p w14:paraId="7E8F8F4D" w14:textId="77777777" w:rsidR="008B1C85" w:rsidRPr="00881BDB" w:rsidRDefault="008B1C85" w:rsidP="00B50F00">
      <w:r w:rsidRPr="00881BDB">
        <w:t>Although there was no diagnostic accuracy evidence in children, the general consensus of the GDG suggests that a positive bronchodilator reversibility test is enough to confirm the diagnosis of asthma in children. Therefore, in children a bronchodilator reversibility test has high value relative to its low cost. The GDG noted that a negative bronchodilator reversibility test would not rule out the diagnosis of asthma and there was value in further testing to prevent false-negative diagnoses.</w:t>
      </w:r>
    </w:p>
    <w:p w14:paraId="64797D53" w14:textId="77777777" w:rsidR="002C4407" w:rsidRDefault="008B1C85" w:rsidP="00A47A75">
      <w:r w:rsidRPr="00881BDB">
        <w:t>NCGC (2016) developed four recommendations of relevance to this review (see</w:t>
      </w:r>
      <w:r w:rsidR="008315B2">
        <w:t xml:space="preserve"> Table 11</w:t>
      </w:r>
      <w:r w:rsidRPr="00881BDB">
        <w:t>).</w:t>
      </w:r>
      <w:r w:rsidR="002C4407">
        <w:br w:type="page"/>
      </w:r>
    </w:p>
    <w:p w14:paraId="23C9B8D6" w14:textId="2A1CFB7B" w:rsidR="008B1C85" w:rsidRDefault="008315B2" w:rsidP="005C3A85">
      <w:pPr>
        <w:pStyle w:val="Appcaption"/>
      </w:pPr>
      <w:r>
        <w:lastRenderedPageBreak/>
        <w:t xml:space="preserve">Table </w:t>
      </w:r>
      <w:fldSimple w:instr=" SEQ Title \* ARABIC ">
        <w:r w:rsidR="00F2203C">
          <w:rPr>
            <w:noProof/>
          </w:rPr>
          <w:t>11</w:t>
        </w:r>
      </w:fldSimple>
      <w:r>
        <w:rPr>
          <w:noProof/>
        </w:rPr>
        <w:t xml:space="preserve"> </w:t>
      </w:r>
      <w:r w:rsidR="008B1C85">
        <w:rPr>
          <w:noProof/>
        </w:rPr>
        <w:t>NCGC (2016):</w:t>
      </w:r>
      <w:r w:rsidR="008B1C85">
        <w:t xml:space="preserve"> Recommendations on the use of spirometry for the diagnosis of asthma</w:t>
      </w:r>
    </w:p>
    <w:tbl>
      <w:tblPr>
        <w:tblStyle w:val="TableGrid"/>
        <w:tblW w:w="0" w:type="auto"/>
        <w:tblLook w:val="04A0" w:firstRow="1" w:lastRow="0" w:firstColumn="1" w:lastColumn="0" w:noHBand="0" w:noVBand="1"/>
        <w:tblDescription w:val="Appendix C table 11 list the 2016 National Clinical Guideline Centre (NCGC) use of spirometry for the diagnosis of asthma. This table contains 2 heading columns: 1. Recommendation and Grade of recommendation during diagnosis."/>
      </w:tblPr>
      <w:tblGrid>
        <w:gridCol w:w="7329"/>
        <w:gridCol w:w="1732"/>
      </w:tblGrid>
      <w:tr w:rsidR="008B1C85" w:rsidRPr="00784A05" w14:paraId="0D8E9A61" w14:textId="77777777" w:rsidTr="00FF6AB5">
        <w:trPr>
          <w:tblHeader/>
        </w:trPr>
        <w:tc>
          <w:tcPr>
            <w:tcW w:w="7366" w:type="dxa"/>
            <w:tcBorders>
              <w:top w:val="single" w:sz="4" w:space="0" w:color="auto"/>
              <w:left w:val="single" w:sz="4" w:space="0" w:color="auto"/>
              <w:bottom w:val="single" w:sz="4" w:space="0" w:color="auto"/>
              <w:right w:val="single" w:sz="4" w:space="0" w:color="auto"/>
            </w:tcBorders>
          </w:tcPr>
          <w:p w14:paraId="0CC4C1DC" w14:textId="77777777" w:rsidR="008B1C85" w:rsidRPr="00784A05" w:rsidRDefault="008B1C85" w:rsidP="00A47A75">
            <w:pPr>
              <w:pStyle w:val="Tableheading"/>
            </w:pPr>
            <w:r w:rsidRPr="00784A05">
              <w:t>Recommendations</w:t>
            </w:r>
          </w:p>
        </w:tc>
        <w:tc>
          <w:tcPr>
            <w:tcW w:w="1695" w:type="dxa"/>
            <w:tcBorders>
              <w:top w:val="single" w:sz="4" w:space="0" w:color="auto"/>
              <w:left w:val="single" w:sz="4" w:space="0" w:color="auto"/>
              <w:bottom w:val="single" w:sz="4" w:space="0" w:color="auto"/>
              <w:right w:val="single" w:sz="4" w:space="0" w:color="auto"/>
            </w:tcBorders>
            <w:hideMark/>
          </w:tcPr>
          <w:p w14:paraId="734DDFC6" w14:textId="77777777" w:rsidR="008B1C85" w:rsidRPr="00784A05" w:rsidRDefault="008B1C85" w:rsidP="00A47A75">
            <w:pPr>
              <w:pStyle w:val="Tableheading"/>
            </w:pPr>
            <w:r w:rsidRPr="00784A05">
              <w:t>Grading of recommendations</w:t>
            </w:r>
          </w:p>
        </w:tc>
      </w:tr>
      <w:tr w:rsidR="008B1C85" w14:paraId="4EC942E1" w14:textId="77777777" w:rsidTr="008B1C85">
        <w:trPr>
          <w:trHeight w:val="443"/>
        </w:trPr>
        <w:tc>
          <w:tcPr>
            <w:tcW w:w="7366" w:type="dxa"/>
            <w:tcBorders>
              <w:top w:val="single" w:sz="4" w:space="0" w:color="auto"/>
              <w:left w:val="single" w:sz="4" w:space="0" w:color="auto"/>
              <w:bottom w:val="single" w:sz="4" w:space="0" w:color="auto"/>
              <w:right w:val="single" w:sz="4" w:space="0" w:color="auto"/>
            </w:tcBorders>
          </w:tcPr>
          <w:p w14:paraId="32C540FF" w14:textId="77777777" w:rsidR="008B1C85" w:rsidRDefault="008B1C85" w:rsidP="008B1C85">
            <w:pPr>
              <w:pStyle w:val="Tabletext"/>
            </w:pPr>
            <w:r>
              <w:t xml:space="preserve">R12: </w:t>
            </w:r>
            <w:r w:rsidRPr="00895A14">
              <w:t>Use spirometry as the first investigation for asthma in adults and young people older than 16 and children aged 5-16 years. Regard a forced expiratory volume in 1 second/forced vital capacity (F</w:t>
            </w:r>
            <w:r>
              <w:t>EV</w:t>
            </w:r>
            <w:r w:rsidRPr="0019100C">
              <w:rPr>
                <w:vertAlign w:val="subscript"/>
              </w:rPr>
              <w:t>1</w:t>
            </w:r>
            <w:r>
              <w:t>/FVC) ratio of less than 70%</w:t>
            </w:r>
            <w:r>
              <w:rPr>
                <w:vertAlign w:val="superscript"/>
              </w:rPr>
              <w:t>a</w:t>
            </w:r>
            <w:r w:rsidRPr="00895A14">
              <w:t xml:space="preserve"> as a positive test for obstructive airway disease (obstructive spirometry). See also </w:t>
            </w:r>
            <w:r>
              <w:t>R</w:t>
            </w:r>
            <w:r w:rsidRPr="00895A14">
              <w:t>28.</w:t>
            </w:r>
          </w:p>
        </w:tc>
        <w:tc>
          <w:tcPr>
            <w:tcW w:w="1695" w:type="dxa"/>
            <w:tcBorders>
              <w:top w:val="single" w:sz="4" w:space="0" w:color="auto"/>
              <w:left w:val="single" w:sz="4" w:space="0" w:color="auto"/>
              <w:bottom w:val="single" w:sz="4" w:space="0" w:color="auto"/>
              <w:right w:val="single" w:sz="4" w:space="0" w:color="auto"/>
            </w:tcBorders>
          </w:tcPr>
          <w:p w14:paraId="545B5499" w14:textId="77777777" w:rsidR="008B1C85" w:rsidRDefault="00A47A75" w:rsidP="008B1C85">
            <w:pPr>
              <w:pStyle w:val="Tabletext"/>
              <w:jc w:val="center"/>
            </w:pPr>
            <w:r>
              <w:t>N</w:t>
            </w:r>
            <w:r w:rsidRPr="00A47A75">
              <w:t>ot reported</w:t>
            </w:r>
          </w:p>
        </w:tc>
      </w:tr>
      <w:tr w:rsidR="008B1C85" w14:paraId="65105D98" w14:textId="77777777" w:rsidTr="008B1C85">
        <w:trPr>
          <w:trHeight w:val="443"/>
        </w:trPr>
        <w:tc>
          <w:tcPr>
            <w:tcW w:w="7366" w:type="dxa"/>
            <w:tcBorders>
              <w:top w:val="single" w:sz="4" w:space="0" w:color="auto"/>
              <w:left w:val="single" w:sz="4" w:space="0" w:color="auto"/>
              <w:bottom w:val="single" w:sz="4" w:space="0" w:color="auto"/>
              <w:right w:val="single" w:sz="4" w:space="0" w:color="auto"/>
            </w:tcBorders>
          </w:tcPr>
          <w:p w14:paraId="1A178EA7" w14:textId="77777777" w:rsidR="008B1C85" w:rsidRDefault="008B1C85" w:rsidP="008B1C85">
            <w:pPr>
              <w:pStyle w:val="Tabletext"/>
            </w:pPr>
            <w:r>
              <w:t xml:space="preserve">R13: </w:t>
            </w:r>
            <w:r w:rsidRPr="005D3CCF">
              <w:t>Offer a bronchodilator reversibility test to adults and young people older than 16 with obstructive spirometry (FEV</w:t>
            </w:r>
            <w:r w:rsidRPr="00F46080">
              <w:rPr>
                <w:vertAlign w:val="subscript"/>
              </w:rPr>
              <w:t>1</w:t>
            </w:r>
            <w:r w:rsidRPr="005D3CCF">
              <w:t>/FVC ratio less than 70%). Regard an improvement in FEV</w:t>
            </w:r>
            <w:r w:rsidRPr="00F46080">
              <w:rPr>
                <w:vertAlign w:val="subscript"/>
              </w:rPr>
              <w:t>1</w:t>
            </w:r>
            <w:r w:rsidRPr="005D3CCF">
              <w:t xml:space="preserve"> of 12% or more, together with an increase in volume of 200 m</w:t>
            </w:r>
            <w:r>
              <w:t>L</w:t>
            </w:r>
            <w:r w:rsidRPr="005D3CCF">
              <w:t xml:space="preserve"> or more, as a positive test.</w:t>
            </w:r>
          </w:p>
        </w:tc>
        <w:tc>
          <w:tcPr>
            <w:tcW w:w="1695" w:type="dxa"/>
            <w:tcBorders>
              <w:top w:val="single" w:sz="4" w:space="0" w:color="auto"/>
              <w:left w:val="single" w:sz="4" w:space="0" w:color="auto"/>
              <w:bottom w:val="single" w:sz="4" w:space="0" w:color="auto"/>
              <w:right w:val="single" w:sz="4" w:space="0" w:color="auto"/>
            </w:tcBorders>
          </w:tcPr>
          <w:p w14:paraId="14C85923" w14:textId="77777777" w:rsidR="008B1C85" w:rsidRDefault="00A47A75" w:rsidP="008B1C85">
            <w:pPr>
              <w:pStyle w:val="Tabletext"/>
              <w:jc w:val="center"/>
            </w:pPr>
            <w:r>
              <w:t>N</w:t>
            </w:r>
            <w:r w:rsidRPr="00A47A75">
              <w:t>ot reported</w:t>
            </w:r>
          </w:p>
        </w:tc>
      </w:tr>
      <w:tr w:rsidR="008B1C85" w14:paraId="5AA1942F" w14:textId="77777777" w:rsidTr="008B1C85">
        <w:trPr>
          <w:trHeight w:val="443"/>
        </w:trPr>
        <w:tc>
          <w:tcPr>
            <w:tcW w:w="7366" w:type="dxa"/>
            <w:tcBorders>
              <w:top w:val="single" w:sz="4" w:space="0" w:color="auto"/>
              <w:left w:val="single" w:sz="4" w:space="0" w:color="auto"/>
              <w:bottom w:val="single" w:sz="4" w:space="0" w:color="auto"/>
              <w:right w:val="single" w:sz="4" w:space="0" w:color="auto"/>
            </w:tcBorders>
          </w:tcPr>
          <w:p w14:paraId="3FE36DCE" w14:textId="77777777" w:rsidR="008B1C85" w:rsidRDefault="008B1C85" w:rsidP="008B1C85">
            <w:pPr>
              <w:pStyle w:val="Tabletext"/>
            </w:pPr>
            <w:r>
              <w:t>R14: Consider a bronchodilator reversibility</w:t>
            </w:r>
            <w:r w:rsidRPr="005D3CCF">
              <w:t xml:space="preserve"> test in children aged 5-16 years with obstructive spirometry (FEV</w:t>
            </w:r>
            <w:r w:rsidRPr="00F46080">
              <w:rPr>
                <w:vertAlign w:val="subscript"/>
              </w:rPr>
              <w:t>1</w:t>
            </w:r>
            <w:r w:rsidRPr="005D3CCF">
              <w:t>/FVC ratio less than 70%). Regar</w:t>
            </w:r>
            <w:r>
              <w:t>d an improvement in FEV</w:t>
            </w:r>
            <w:r w:rsidRPr="00F46080">
              <w:rPr>
                <w:vertAlign w:val="subscript"/>
              </w:rPr>
              <w:t>1</w:t>
            </w:r>
            <w:r>
              <w:t xml:space="preserve"> of 12%</w:t>
            </w:r>
            <w:r w:rsidRPr="005D3CCF">
              <w:t xml:space="preserve"> or more as a positive test.</w:t>
            </w:r>
          </w:p>
        </w:tc>
        <w:tc>
          <w:tcPr>
            <w:tcW w:w="1695" w:type="dxa"/>
            <w:tcBorders>
              <w:top w:val="single" w:sz="4" w:space="0" w:color="auto"/>
              <w:left w:val="single" w:sz="4" w:space="0" w:color="auto"/>
              <w:bottom w:val="single" w:sz="4" w:space="0" w:color="auto"/>
              <w:right w:val="single" w:sz="4" w:space="0" w:color="auto"/>
            </w:tcBorders>
          </w:tcPr>
          <w:p w14:paraId="12F84CA8" w14:textId="77777777" w:rsidR="008B1C85" w:rsidRDefault="00A47A75" w:rsidP="008B1C85">
            <w:pPr>
              <w:pStyle w:val="Tabletext"/>
              <w:jc w:val="center"/>
            </w:pPr>
            <w:r>
              <w:t>N</w:t>
            </w:r>
            <w:r w:rsidRPr="00A47A75">
              <w:t>ot reported</w:t>
            </w:r>
          </w:p>
        </w:tc>
      </w:tr>
      <w:tr w:rsidR="008B1C85" w14:paraId="0DF33A37" w14:textId="77777777" w:rsidTr="008B1C85">
        <w:trPr>
          <w:trHeight w:val="443"/>
        </w:trPr>
        <w:tc>
          <w:tcPr>
            <w:tcW w:w="7366" w:type="dxa"/>
            <w:tcBorders>
              <w:top w:val="single" w:sz="4" w:space="0" w:color="auto"/>
              <w:left w:val="single" w:sz="4" w:space="0" w:color="auto"/>
              <w:bottom w:val="single" w:sz="4" w:space="0" w:color="auto"/>
              <w:right w:val="single" w:sz="4" w:space="0" w:color="auto"/>
            </w:tcBorders>
          </w:tcPr>
          <w:p w14:paraId="03BEB009" w14:textId="77777777" w:rsidR="008B1C85" w:rsidRPr="005061A3" w:rsidRDefault="008B1C85" w:rsidP="008B1C85">
            <w:pPr>
              <w:pStyle w:val="Tabletext"/>
            </w:pPr>
            <w:r w:rsidRPr="00960102">
              <w:t>R28: Do not diagnose asthma based on any single test alone in adults and children aged 5 years and over</w:t>
            </w:r>
            <w:r>
              <w:t>.</w:t>
            </w:r>
          </w:p>
        </w:tc>
        <w:tc>
          <w:tcPr>
            <w:tcW w:w="1695" w:type="dxa"/>
            <w:tcBorders>
              <w:top w:val="single" w:sz="4" w:space="0" w:color="auto"/>
              <w:left w:val="single" w:sz="4" w:space="0" w:color="auto"/>
              <w:bottom w:val="single" w:sz="4" w:space="0" w:color="auto"/>
              <w:right w:val="single" w:sz="4" w:space="0" w:color="auto"/>
            </w:tcBorders>
          </w:tcPr>
          <w:p w14:paraId="4573FE65" w14:textId="77777777" w:rsidR="008B1C85" w:rsidRDefault="00A47A75" w:rsidP="008B1C85">
            <w:pPr>
              <w:pStyle w:val="Tabletext"/>
              <w:jc w:val="center"/>
            </w:pPr>
            <w:r>
              <w:t>N</w:t>
            </w:r>
            <w:r w:rsidRPr="00A47A75">
              <w:t>ot reported</w:t>
            </w:r>
          </w:p>
        </w:tc>
      </w:tr>
    </w:tbl>
    <w:p w14:paraId="470D1B6F" w14:textId="77777777" w:rsidR="008B1C85" w:rsidRPr="00EC7B44" w:rsidRDefault="008B1C85" w:rsidP="008B1C85">
      <w:pPr>
        <w:pStyle w:val="08Tablefootnotes"/>
      </w:pPr>
      <w:r w:rsidRPr="00EC7B44">
        <w:t>Abbreviations:</w:t>
      </w:r>
      <w:r>
        <w:t xml:space="preserve"> FEV</w:t>
      </w:r>
      <w:r>
        <w:rPr>
          <w:vertAlign w:val="subscript"/>
        </w:rPr>
        <w:t>1</w:t>
      </w:r>
      <w:r>
        <w:t>, forced expiratory volume in 1 second; FVC, forced vital capacity; LLN, lower limit of normal.</w:t>
      </w:r>
    </w:p>
    <w:p w14:paraId="5CE247CA" w14:textId="77777777" w:rsidR="008B1C85" w:rsidRDefault="008B1C85" w:rsidP="008B1C85">
      <w:pPr>
        <w:pStyle w:val="09Tablefootnoteslast-nostick"/>
        <w:keepNext/>
      </w:pPr>
      <w:r>
        <w:rPr>
          <w:b/>
        </w:rPr>
        <w:t>a</w:t>
      </w:r>
      <w:r>
        <w:t xml:space="preserve"> Or the LLN if the calculation is available for children aged 5-16 years.</w:t>
      </w:r>
    </w:p>
    <w:p w14:paraId="6FE901BF" w14:textId="77777777" w:rsidR="008B1C85" w:rsidRPr="00CB24CB" w:rsidRDefault="008B1C85" w:rsidP="00CB5570">
      <w:pPr>
        <w:pStyle w:val="AttHeading5"/>
      </w:pPr>
      <w:r w:rsidRPr="00CB24CB">
        <w:t>Global Initiative for Asthma (2015)</w:t>
      </w:r>
    </w:p>
    <w:p w14:paraId="58F4F5C5" w14:textId="77777777" w:rsidR="008B1C85" w:rsidRPr="00881BDB" w:rsidRDefault="008B1C85" w:rsidP="00B50F00">
      <w:r w:rsidRPr="00881BDB">
        <w:t>While the GINA report adopted a method of rating the level of evidence from A to D, guidance relating to diagnosis and assessment of asthma was not rated in this way. It was often unclear what the evidence base was that underpinned guidance relating to lung function testing, including spirometry. Nonetheless, the diagnostic guidance provided by GINA is summarised below.</w:t>
      </w:r>
    </w:p>
    <w:p w14:paraId="48856A4C" w14:textId="77777777" w:rsidR="008B1C85" w:rsidRPr="00881BDB" w:rsidRDefault="008B1C85" w:rsidP="00B50F00">
      <w:r w:rsidRPr="00881BDB">
        <w:t>GINA (2015) states that the diagnosis of asthma relies on two essential components: (i) identification of clinical symptoms such as wheezing, dyspnoea, chest tightness or cough; and (ii) the demonstration of excessive variability in expiratory airflow limitation. While many respiratory conditions may cause a reduction in FEV</w:t>
      </w:r>
      <w:r w:rsidRPr="00881BDB">
        <w:rPr>
          <w:vertAlign w:val="subscript"/>
        </w:rPr>
        <w:t xml:space="preserve">1, </w:t>
      </w:r>
      <w:r w:rsidRPr="00881BDB">
        <w:t>a reduced FEV</w:t>
      </w:r>
      <w:r w:rsidRPr="00881BDB">
        <w:rPr>
          <w:vertAlign w:val="subscript"/>
        </w:rPr>
        <w:t>1</w:t>
      </w:r>
      <w:r w:rsidRPr="00881BDB">
        <w:t>/FVC ratio indicates airflow limitation.</w:t>
      </w:r>
      <w:r w:rsidRPr="00881BDB">
        <w:rPr>
          <w:rStyle w:val="FootnoteReference"/>
        </w:rPr>
        <w:footnoteReference w:id="9"/>
      </w:r>
      <w:r w:rsidRPr="00881BDB">
        <w:t xml:space="preserve"> The concept of ‘variability’ in lung function refers to improvement and/or deterioration in lung function that may be observed over the course of one day or over a longer period of time (e.g. seasonally).</w:t>
      </w:r>
    </w:p>
    <w:p w14:paraId="414BB662" w14:textId="77777777" w:rsidR="008B1C85" w:rsidRPr="00881BDB" w:rsidRDefault="008B1C85" w:rsidP="00B50F00">
      <w:r w:rsidRPr="00881BDB">
        <w:t>Asthma is most likely to be present in patients who experience large variations in lung function. According to GINA (2015), an increase or decrease in FEV</w:t>
      </w:r>
      <w:r w:rsidRPr="00881BDB">
        <w:rPr>
          <w:vertAlign w:val="subscript"/>
        </w:rPr>
        <w:t>1</w:t>
      </w:r>
      <w:r w:rsidRPr="00881BDB">
        <w:t xml:space="preserve"> of &gt;12% and &gt;200 mL from baseline, or (if spirometry is not available) a change in PEF of at least 20%, is accepted as being consistent with asthma.</w:t>
      </w:r>
      <w:r w:rsidRPr="00881BDB">
        <w:rPr>
          <w:rStyle w:val="FootnoteReference"/>
        </w:rPr>
        <w:footnoteReference w:id="10"/>
      </w:r>
      <w:r w:rsidRPr="00881BDB">
        <w:t xml:space="preserve"> Some specific examples of variability in airflow limitation and the corresponding criteria required for making a diagnosis of asthma are shown in</w:t>
      </w:r>
      <w:r w:rsidR="008315B2">
        <w:t xml:space="preserve"> Table 12</w:t>
      </w:r>
      <w:r w:rsidRPr="00881BDB">
        <w:t>.</w:t>
      </w:r>
    </w:p>
    <w:p w14:paraId="10A0A01A" w14:textId="29DB6F65" w:rsidR="008B1C85" w:rsidRDefault="008315B2" w:rsidP="005C3A85">
      <w:pPr>
        <w:pStyle w:val="Appcaption"/>
      </w:pPr>
      <w:r>
        <w:lastRenderedPageBreak/>
        <w:t xml:space="preserve">Table </w:t>
      </w:r>
      <w:fldSimple w:instr=" SEQ Title \* ARABIC ">
        <w:r w:rsidR="00F2203C">
          <w:rPr>
            <w:noProof/>
          </w:rPr>
          <w:t>12</w:t>
        </w:r>
      </w:fldSimple>
      <w:r w:rsidR="008B1C85">
        <w:rPr>
          <w:noProof/>
        </w:rPr>
        <w:tab/>
        <w:t>GINA (2015):</w:t>
      </w:r>
      <w:r w:rsidR="008B1C85">
        <w:t xml:space="preserve"> Diagnostic criteria for demonstrating variable expiratory airflow limitation</w:t>
      </w:r>
    </w:p>
    <w:tbl>
      <w:tblPr>
        <w:tblStyle w:val="TableGrid"/>
        <w:tblW w:w="0" w:type="auto"/>
        <w:tblLook w:val="04A0" w:firstRow="1" w:lastRow="0" w:firstColumn="1" w:lastColumn="0" w:noHBand="0" w:noVBand="1"/>
        <w:tblDescription w:val="Appendix C table 12 list the 2015 Global Initiative for Asthma (GINA) indicators. This table contains 2 heading columns: 1. Indicators of variable expiratory airflow limitation and criteria for making the diagnosis of asthma  in adults and children. "/>
      </w:tblPr>
      <w:tblGrid>
        <w:gridCol w:w="2830"/>
        <w:gridCol w:w="6231"/>
      </w:tblGrid>
      <w:tr w:rsidR="008B1C85" w:rsidRPr="00784A05" w14:paraId="370D1503" w14:textId="77777777" w:rsidTr="00FF6AB5">
        <w:trPr>
          <w:tblHeader/>
        </w:trPr>
        <w:tc>
          <w:tcPr>
            <w:tcW w:w="2830" w:type="dxa"/>
            <w:tcBorders>
              <w:top w:val="single" w:sz="4" w:space="0" w:color="auto"/>
              <w:left w:val="single" w:sz="4" w:space="0" w:color="auto"/>
              <w:bottom w:val="single" w:sz="4" w:space="0" w:color="auto"/>
              <w:right w:val="single" w:sz="4" w:space="0" w:color="auto"/>
            </w:tcBorders>
          </w:tcPr>
          <w:p w14:paraId="7D2AB865" w14:textId="77777777" w:rsidR="008B1C85" w:rsidRDefault="008B1C85" w:rsidP="0099709F">
            <w:pPr>
              <w:pStyle w:val="Tableheading"/>
            </w:pPr>
            <w:r w:rsidRPr="00784A05">
              <w:t xml:space="preserve">Indicator of variable expiratory airflow limitation </w:t>
            </w:r>
          </w:p>
        </w:tc>
        <w:tc>
          <w:tcPr>
            <w:tcW w:w="6231" w:type="dxa"/>
            <w:tcBorders>
              <w:top w:val="single" w:sz="4" w:space="0" w:color="auto"/>
              <w:left w:val="single" w:sz="4" w:space="0" w:color="auto"/>
              <w:bottom w:val="single" w:sz="4" w:space="0" w:color="auto"/>
              <w:right w:val="single" w:sz="4" w:space="0" w:color="auto"/>
            </w:tcBorders>
            <w:hideMark/>
          </w:tcPr>
          <w:p w14:paraId="6AF0E84F" w14:textId="77777777" w:rsidR="008B1C85" w:rsidRPr="00784A05" w:rsidRDefault="008B1C85" w:rsidP="0099709F">
            <w:pPr>
              <w:pStyle w:val="Tableheading"/>
            </w:pPr>
            <w:r w:rsidRPr="00784A05">
              <w:t>Criteria for making the diagnosis of asthma</w:t>
            </w:r>
          </w:p>
        </w:tc>
      </w:tr>
      <w:tr w:rsidR="008B1C85" w14:paraId="6A36BDDB" w14:textId="77777777" w:rsidTr="008B1C85">
        <w:tc>
          <w:tcPr>
            <w:tcW w:w="2830" w:type="dxa"/>
            <w:tcBorders>
              <w:top w:val="single" w:sz="4" w:space="0" w:color="auto"/>
              <w:left w:val="single" w:sz="4" w:space="0" w:color="auto"/>
              <w:bottom w:val="single" w:sz="4" w:space="0" w:color="auto"/>
              <w:right w:val="single" w:sz="4" w:space="0" w:color="auto"/>
            </w:tcBorders>
          </w:tcPr>
          <w:p w14:paraId="0BEBE6BD" w14:textId="77777777" w:rsidR="008B1C85" w:rsidRDefault="008B1C85" w:rsidP="008B1C85">
            <w:pPr>
              <w:pStyle w:val="Tabletext"/>
            </w:pPr>
            <w:r>
              <w:t>Positive BD</w:t>
            </w:r>
            <w:r w:rsidRPr="00494D1C">
              <w:t xml:space="preserve"> reversibility test</w:t>
            </w:r>
            <w:r w:rsidRPr="00494D1C">
              <w:rPr>
                <w:vertAlign w:val="superscript"/>
              </w:rPr>
              <w:t>a</w:t>
            </w:r>
          </w:p>
        </w:tc>
        <w:tc>
          <w:tcPr>
            <w:tcW w:w="6231" w:type="dxa"/>
            <w:tcBorders>
              <w:top w:val="single" w:sz="4" w:space="0" w:color="auto"/>
              <w:left w:val="single" w:sz="4" w:space="0" w:color="auto"/>
              <w:bottom w:val="single" w:sz="4" w:space="0" w:color="auto"/>
              <w:right w:val="single" w:sz="4" w:space="0" w:color="auto"/>
            </w:tcBorders>
          </w:tcPr>
          <w:p w14:paraId="73FFA18C" w14:textId="77777777" w:rsidR="008B1C85" w:rsidRDefault="008B1C85" w:rsidP="008B1C85">
            <w:pPr>
              <w:pStyle w:val="Tabletext"/>
            </w:pPr>
            <w:r w:rsidRPr="00494D1C">
              <w:rPr>
                <w:u w:val="single"/>
              </w:rPr>
              <w:t>Adults</w:t>
            </w:r>
            <w:r w:rsidRPr="00584F44">
              <w:t>:</w:t>
            </w:r>
            <w:r>
              <w:t xml:space="preserve"> increase in FEV</w:t>
            </w:r>
            <w:r w:rsidRPr="00584F44">
              <w:rPr>
                <w:vertAlign w:val="subscript"/>
              </w:rPr>
              <w:t>1</w:t>
            </w:r>
            <w:r>
              <w:t xml:space="preserve"> of &gt;12% and &gt;200 mL from baseline, 10–15 minutes after 200–400 mcg albuterol or equivalent</w:t>
            </w:r>
            <w:r>
              <w:rPr>
                <w:vertAlign w:val="superscript"/>
              </w:rPr>
              <w:t>c</w:t>
            </w:r>
          </w:p>
          <w:p w14:paraId="30E55D3D" w14:textId="77777777" w:rsidR="008B1C85" w:rsidRDefault="008B1C85" w:rsidP="008B1C85">
            <w:pPr>
              <w:pStyle w:val="Tabletext"/>
            </w:pPr>
            <w:r w:rsidRPr="00494D1C">
              <w:rPr>
                <w:u w:val="single"/>
              </w:rPr>
              <w:t>Children</w:t>
            </w:r>
            <w:r w:rsidRPr="00584F44">
              <w:t>:</w:t>
            </w:r>
            <w:r>
              <w:t xml:space="preserve"> increase in FEV</w:t>
            </w:r>
            <w:r w:rsidRPr="00584F44">
              <w:rPr>
                <w:vertAlign w:val="subscript"/>
              </w:rPr>
              <w:t>1</w:t>
            </w:r>
            <w:r>
              <w:t xml:space="preserve"> of &gt;12% predicted</w:t>
            </w:r>
          </w:p>
        </w:tc>
      </w:tr>
      <w:tr w:rsidR="008B1C85" w14:paraId="2D7A4D6C" w14:textId="77777777" w:rsidTr="008B1C85">
        <w:tc>
          <w:tcPr>
            <w:tcW w:w="2830" w:type="dxa"/>
            <w:tcBorders>
              <w:top w:val="single" w:sz="4" w:space="0" w:color="auto"/>
              <w:left w:val="single" w:sz="4" w:space="0" w:color="auto"/>
              <w:bottom w:val="single" w:sz="4" w:space="0" w:color="auto"/>
              <w:right w:val="single" w:sz="4" w:space="0" w:color="auto"/>
            </w:tcBorders>
          </w:tcPr>
          <w:p w14:paraId="511E6C73" w14:textId="77777777" w:rsidR="008B1C85" w:rsidRDefault="008B1C85" w:rsidP="008B1C85">
            <w:pPr>
              <w:pStyle w:val="Tabletext"/>
            </w:pPr>
            <w:r>
              <w:t>Excessive variability in twice-daily PEF over 2 weeks</w:t>
            </w:r>
          </w:p>
        </w:tc>
        <w:tc>
          <w:tcPr>
            <w:tcW w:w="6231" w:type="dxa"/>
            <w:tcBorders>
              <w:top w:val="single" w:sz="4" w:space="0" w:color="auto"/>
              <w:left w:val="single" w:sz="4" w:space="0" w:color="auto"/>
              <w:bottom w:val="single" w:sz="4" w:space="0" w:color="auto"/>
              <w:right w:val="single" w:sz="4" w:space="0" w:color="auto"/>
            </w:tcBorders>
          </w:tcPr>
          <w:p w14:paraId="17335537" w14:textId="77777777" w:rsidR="008B1C85" w:rsidRPr="00584F44" w:rsidRDefault="008B1C85" w:rsidP="008B1C85">
            <w:pPr>
              <w:pStyle w:val="Tabletext"/>
              <w:rPr>
                <w:vertAlign w:val="superscript"/>
              </w:rPr>
            </w:pPr>
            <w:r w:rsidRPr="00584F44">
              <w:rPr>
                <w:u w:val="single"/>
              </w:rPr>
              <w:t>Adults</w:t>
            </w:r>
            <w:r>
              <w:t>: average daily diurnal PEF variability &gt;10%</w:t>
            </w:r>
          </w:p>
          <w:p w14:paraId="2758E5DD" w14:textId="77777777" w:rsidR="008B1C85" w:rsidRDefault="008B1C85" w:rsidP="008B1C85">
            <w:pPr>
              <w:pStyle w:val="Tabletext"/>
            </w:pPr>
            <w:r w:rsidRPr="00584F44">
              <w:rPr>
                <w:u w:val="single"/>
              </w:rPr>
              <w:t>Children</w:t>
            </w:r>
            <w:r>
              <w:t>: average daily diurnal PEF variability &gt;13%</w:t>
            </w:r>
          </w:p>
          <w:p w14:paraId="187722AF" w14:textId="77777777" w:rsidR="008B1C85" w:rsidRPr="00A0517F" w:rsidRDefault="008B1C85" w:rsidP="008B1C85">
            <w:pPr>
              <w:pStyle w:val="04Tabletextspaceitalics"/>
              <w:rPr>
                <w:rFonts w:asciiTheme="minorHAnsi" w:hAnsiTheme="minorHAnsi" w:cstheme="minorHAnsi"/>
              </w:rPr>
            </w:pPr>
            <w:r w:rsidRPr="00A0517F">
              <w:rPr>
                <w:rFonts w:asciiTheme="minorHAnsi" w:hAnsiTheme="minorHAnsi" w:cstheme="minorHAnsi"/>
              </w:rPr>
              <w:t>Note: daily diurnal PEF variability is calculated from twice daily PEF as ([day’s highest minus day’s lowest] / mean of day’s highest and lowest), and averaged over one week.</w:t>
            </w:r>
          </w:p>
        </w:tc>
      </w:tr>
      <w:tr w:rsidR="008B1C85" w14:paraId="05206818" w14:textId="77777777" w:rsidTr="008B1C85">
        <w:tc>
          <w:tcPr>
            <w:tcW w:w="2830" w:type="dxa"/>
            <w:tcBorders>
              <w:top w:val="single" w:sz="4" w:space="0" w:color="auto"/>
              <w:left w:val="single" w:sz="4" w:space="0" w:color="auto"/>
              <w:bottom w:val="single" w:sz="4" w:space="0" w:color="auto"/>
              <w:right w:val="single" w:sz="4" w:space="0" w:color="auto"/>
            </w:tcBorders>
          </w:tcPr>
          <w:p w14:paraId="47F8E467" w14:textId="77777777" w:rsidR="008B1C85" w:rsidRDefault="008B1C85" w:rsidP="008B1C85">
            <w:pPr>
              <w:pStyle w:val="Tabletext"/>
            </w:pPr>
            <w:r>
              <w:t>Significant increase in lung function after 4 weeks of anti-inflammatory treatment</w:t>
            </w:r>
          </w:p>
        </w:tc>
        <w:tc>
          <w:tcPr>
            <w:tcW w:w="6231" w:type="dxa"/>
            <w:tcBorders>
              <w:top w:val="single" w:sz="4" w:space="0" w:color="auto"/>
              <w:left w:val="single" w:sz="4" w:space="0" w:color="auto"/>
              <w:bottom w:val="single" w:sz="4" w:space="0" w:color="auto"/>
              <w:right w:val="single" w:sz="4" w:space="0" w:color="auto"/>
            </w:tcBorders>
          </w:tcPr>
          <w:p w14:paraId="325F17CA" w14:textId="77777777" w:rsidR="008B1C85" w:rsidRDefault="008B1C85" w:rsidP="008B1C85">
            <w:pPr>
              <w:pStyle w:val="Tabletext"/>
            </w:pPr>
            <w:r w:rsidRPr="00584F44">
              <w:rPr>
                <w:u w:val="single"/>
              </w:rPr>
              <w:t>Adults</w:t>
            </w:r>
            <w:r>
              <w:t>: increase in FEV</w:t>
            </w:r>
            <w:r w:rsidRPr="00584F44">
              <w:rPr>
                <w:vertAlign w:val="subscript"/>
              </w:rPr>
              <w:t>1</w:t>
            </w:r>
            <w:r>
              <w:t xml:space="preserve"> by &gt;12% and &gt;200 mL (or PEF</w:t>
            </w:r>
            <w:r>
              <w:rPr>
                <w:vertAlign w:val="superscript"/>
              </w:rPr>
              <w:t>d</w:t>
            </w:r>
            <w:r>
              <w:t xml:space="preserve"> by &gt;20%) from baseline after 4 weeks of treatment, outside respiratory infections</w:t>
            </w:r>
          </w:p>
        </w:tc>
      </w:tr>
      <w:tr w:rsidR="008B1C85" w14:paraId="58996EEF" w14:textId="77777777" w:rsidTr="008B1C85">
        <w:tc>
          <w:tcPr>
            <w:tcW w:w="2830" w:type="dxa"/>
            <w:tcBorders>
              <w:top w:val="single" w:sz="4" w:space="0" w:color="auto"/>
              <w:left w:val="single" w:sz="4" w:space="0" w:color="auto"/>
              <w:bottom w:val="single" w:sz="4" w:space="0" w:color="auto"/>
              <w:right w:val="single" w:sz="4" w:space="0" w:color="auto"/>
            </w:tcBorders>
          </w:tcPr>
          <w:p w14:paraId="47460DAD" w14:textId="77777777" w:rsidR="008B1C85" w:rsidRDefault="008B1C85" w:rsidP="008B1C85">
            <w:pPr>
              <w:pStyle w:val="Tabletext"/>
            </w:pPr>
            <w:r w:rsidRPr="00494D1C">
              <w:t>P</w:t>
            </w:r>
            <w:r>
              <w:t>ositive exercise challenge test</w:t>
            </w:r>
          </w:p>
        </w:tc>
        <w:tc>
          <w:tcPr>
            <w:tcW w:w="6231" w:type="dxa"/>
            <w:tcBorders>
              <w:top w:val="single" w:sz="4" w:space="0" w:color="auto"/>
              <w:left w:val="single" w:sz="4" w:space="0" w:color="auto"/>
              <w:bottom w:val="single" w:sz="4" w:space="0" w:color="auto"/>
              <w:right w:val="single" w:sz="4" w:space="0" w:color="auto"/>
            </w:tcBorders>
          </w:tcPr>
          <w:p w14:paraId="65877F16" w14:textId="77777777" w:rsidR="008B1C85" w:rsidRDefault="008B1C85" w:rsidP="008B1C85">
            <w:pPr>
              <w:pStyle w:val="Tabletext"/>
            </w:pPr>
            <w:r w:rsidRPr="002F7DBE">
              <w:rPr>
                <w:u w:val="single"/>
              </w:rPr>
              <w:t>Adults</w:t>
            </w:r>
            <w:r>
              <w:t>: fall in FEV</w:t>
            </w:r>
            <w:r w:rsidRPr="00B07BB5">
              <w:rPr>
                <w:vertAlign w:val="subscript"/>
              </w:rPr>
              <w:t>1</w:t>
            </w:r>
            <w:r>
              <w:t xml:space="preserve"> of &gt;10% and &gt;200 mL from baseline</w:t>
            </w:r>
          </w:p>
          <w:p w14:paraId="1A2355A6" w14:textId="77777777" w:rsidR="008B1C85" w:rsidRDefault="008B1C85" w:rsidP="008B1C85">
            <w:pPr>
              <w:pStyle w:val="Tabletext"/>
            </w:pPr>
            <w:r w:rsidRPr="002F7DBE">
              <w:rPr>
                <w:u w:val="single"/>
              </w:rPr>
              <w:t>Children</w:t>
            </w:r>
            <w:r>
              <w:t>: fall in FEV</w:t>
            </w:r>
            <w:r w:rsidRPr="00B07BB5">
              <w:rPr>
                <w:vertAlign w:val="subscript"/>
              </w:rPr>
              <w:t>1</w:t>
            </w:r>
            <w:r>
              <w:t xml:space="preserve"> of &gt;12% predicted, or PEF &gt;15%</w:t>
            </w:r>
          </w:p>
        </w:tc>
      </w:tr>
      <w:tr w:rsidR="008B1C85" w14:paraId="140053B2" w14:textId="77777777" w:rsidTr="008B1C85">
        <w:tc>
          <w:tcPr>
            <w:tcW w:w="2830" w:type="dxa"/>
            <w:tcBorders>
              <w:top w:val="single" w:sz="4" w:space="0" w:color="auto"/>
              <w:left w:val="single" w:sz="4" w:space="0" w:color="auto"/>
              <w:bottom w:val="single" w:sz="4" w:space="0" w:color="auto"/>
              <w:right w:val="single" w:sz="4" w:space="0" w:color="auto"/>
            </w:tcBorders>
          </w:tcPr>
          <w:p w14:paraId="1141B86B" w14:textId="77777777" w:rsidR="008B1C85" w:rsidRDefault="008B1C85" w:rsidP="008B1C85">
            <w:pPr>
              <w:pStyle w:val="Tabletext"/>
            </w:pPr>
            <w:r>
              <w:t>Positive bronchial challenge test</w:t>
            </w:r>
            <w:r>
              <w:rPr>
                <w:vertAlign w:val="superscript"/>
              </w:rPr>
              <w:t>b</w:t>
            </w:r>
          </w:p>
        </w:tc>
        <w:tc>
          <w:tcPr>
            <w:tcW w:w="6231" w:type="dxa"/>
            <w:tcBorders>
              <w:top w:val="single" w:sz="4" w:space="0" w:color="auto"/>
              <w:left w:val="single" w:sz="4" w:space="0" w:color="auto"/>
              <w:bottom w:val="single" w:sz="4" w:space="0" w:color="auto"/>
              <w:right w:val="single" w:sz="4" w:space="0" w:color="auto"/>
            </w:tcBorders>
          </w:tcPr>
          <w:p w14:paraId="214CA270" w14:textId="77777777" w:rsidR="008B1C85" w:rsidRDefault="008B1C85" w:rsidP="008B1C85">
            <w:pPr>
              <w:pStyle w:val="Tabletext"/>
            </w:pPr>
            <w:r>
              <w:t>Fall in FEV</w:t>
            </w:r>
            <w:r w:rsidRPr="002F7DBE">
              <w:rPr>
                <w:vertAlign w:val="subscript"/>
              </w:rPr>
              <w:t>1</w:t>
            </w:r>
            <w:r>
              <w:t xml:space="preserve"> from baseline of ≥20% with standard doses of methacholine or histamine, or ≥15% with standardised hyperventilation, hypertonic saline or mannitol challenge</w:t>
            </w:r>
          </w:p>
        </w:tc>
      </w:tr>
      <w:tr w:rsidR="008B1C85" w14:paraId="06C9C9D0" w14:textId="77777777" w:rsidTr="008B1C85">
        <w:tc>
          <w:tcPr>
            <w:tcW w:w="2830" w:type="dxa"/>
            <w:tcBorders>
              <w:top w:val="single" w:sz="4" w:space="0" w:color="auto"/>
              <w:left w:val="single" w:sz="4" w:space="0" w:color="auto"/>
              <w:bottom w:val="single" w:sz="4" w:space="0" w:color="auto"/>
              <w:right w:val="single" w:sz="4" w:space="0" w:color="auto"/>
            </w:tcBorders>
          </w:tcPr>
          <w:p w14:paraId="6B977F32" w14:textId="77777777" w:rsidR="008B1C85" w:rsidRDefault="008B1C85" w:rsidP="008B1C85">
            <w:pPr>
              <w:pStyle w:val="Tabletext"/>
            </w:pPr>
            <w:r>
              <w:t>Excessive variation in lung function between visits (less reliable)</w:t>
            </w:r>
          </w:p>
        </w:tc>
        <w:tc>
          <w:tcPr>
            <w:tcW w:w="6231" w:type="dxa"/>
            <w:tcBorders>
              <w:top w:val="single" w:sz="4" w:space="0" w:color="auto"/>
              <w:left w:val="single" w:sz="4" w:space="0" w:color="auto"/>
              <w:bottom w:val="single" w:sz="4" w:space="0" w:color="auto"/>
              <w:right w:val="single" w:sz="4" w:space="0" w:color="auto"/>
            </w:tcBorders>
          </w:tcPr>
          <w:p w14:paraId="2DF78F76" w14:textId="77777777" w:rsidR="008B1C85" w:rsidRDefault="008B1C85" w:rsidP="008B1C85">
            <w:pPr>
              <w:pStyle w:val="Tabletext"/>
            </w:pPr>
            <w:r w:rsidRPr="002F7DBE">
              <w:rPr>
                <w:u w:val="single"/>
              </w:rPr>
              <w:t>Adults</w:t>
            </w:r>
            <w:r>
              <w:t>: variation in FEV</w:t>
            </w:r>
            <w:r w:rsidRPr="002F7DBE">
              <w:rPr>
                <w:vertAlign w:val="subscript"/>
              </w:rPr>
              <w:t>1</w:t>
            </w:r>
            <w:r>
              <w:t xml:space="preserve"> of &gt;12% and &gt;200 mL between visits, outside of respiratory infections</w:t>
            </w:r>
          </w:p>
          <w:p w14:paraId="0D4763BC" w14:textId="77777777" w:rsidR="008B1C85" w:rsidRDefault="008B1C85" w:rsidP="008B1C85">
            <w:pPr>
              <w:pStyle w:val="Tabletext"/>
            </w:pPr>
            <w:r w:rsidRPr="002F7DBE">
              <w:rPr>
                <w:u w:val="single"/>
              </w:rPr>
              <w:t>Children</w:t>
            </w:r>
            <w:r>
              <w:t>: variation in FEV</w:t>
            </w:r>
            <w:r w:rsidRPr="002F7DBE">
              <w:rPr>
                <w:vertAlign w:val="subscript"/>
              </w:rPr>
              <w:t>1</w:t>
            </w:r>
            <w:r>
              <w:t xml:space="preserve"> of &gt;12% in FEV</w:t>
            </w:r>
            <w:r w:rsidRPr="00ED1ED6">
              <w:rPr>
                <w:vertAlign w:val="subscript"/>
              </w:rPr>
              <w:t>1</w:t>
            </w:r>
            <w:r>
              <w:t xml:space="preserve"> or &gt;15% in PEF</w:t>
            </w:r>
            <w:r>
              <w:rPr>
                <w:vertAlign w:val="superscript"/>
              </w:rPr>
              <w:t>d</w:t>
            </w:r>
            <w:r>
              <w:t xml:space="preserve"> between visits (may include respiratory infections)</w:t>
            </w:r>
          </w:p>
        </w:tc>
      </w:tr>
    </w:tbl>
    <w:p w14:paraId="064FF1FB" w14:textId="77777777" w:rsidR="008B1C85" w:rsidRDefault="008B1C85" w:rsidP="008B1C85">
      <w:pPr>
        <w:pStyle w:val="08Tablefootnotes"/>
      </w:pPr>
      <w:r>
        <w:t>Source: GINA (</w:t>
      </w:r>
      <w:r w:rsidRPr="00236C37">
        <w:t>2015</w:t>
      </w:r>
      <w:r>
        <w:t>); Box 1-2, p. 5.</w:t>
      </w:r>
    </w:p>
    <w:p w14:paraId="4402CD40" w14:textId="77777777" w:rsidR="008B1C85" w:rsidRDefault="008B1C85" w:rsidP="008B1C85">
      <w:pPr>
        <w:pStyle w:val="08Tablefootnotes"/>
      </w:pPr>
      <w:r>
        <w:t xml:space="preserve">Abbreviations: </w:t>
      </w:r>
      <w:r w:rsidRPr="0009061F">
        <w:t xml:space="preserve">BD, bronchodilator; </w:t>
      </w:r>
      <w:r>
        <w:t>FEV</w:t>
      </w:r>
      <w:r>
        <w:rPr>
          <w:vertAlign w:val="subscript"/>
        </w:rPr>
        <w:t>1</w:t>
      </w:r>
      <w:r>
        <w:t xml:space="preserve">, forced expiratory volume in 1 second; GINA, Global Initiative for Asthma; </w:t>
      </w:r>
      <w:r w:rsidRPr="0009061F">
        <w:t>LABA, long-acting beta</w:t>
      </w:r>
      <w:r w:rsidRPr="005B6777">
        <w:rPr>
          <w:vertAlign w:val="subscript"/>
        </w:rPr>
        <w:t>2</w:t>
      </w:r>
      <w:r w:rsidRPr="0009061F">
        <w:t xml:space="preserve">-agonist; </w:t>
      </w:r>
      <w:r>
        <w:t xml:space="preserve">PEF, peak expiratory flow (highest of three readings); </w:t>
      </w:r>
      <w:r w:rsidRPr="0009061F">
        <w:t>SABA, short-acting beta</w:t>
      </w:r>
      <w:r w:rsidRPr="005B6777">
        <w:rPr>
          <w:vertAlign w:val="subscript"/>
        </w:rPr>
        <w:t>2</w:t>
      </w:r>
      <w:r w:rsidRPr="0009061F">
        <w:t>-agonist.</w:t>
      </w:r>
    </w:p>
    <w:p w14:paraId="3A88EA64" w14:textId="77777777" w:rsidR="008B1C85" w:rsidRDefault="008B1C85" w:rsidP="008B1C85">
      <w:pPr>
        <w:pStyle w:val="08Tablefootnotes"/>
      </w:pPr>
      <w:r>
        <w:rPr>
          <w:b/>
        </w:rPr>
        <w:t>a</w:t>
      </w:r>
      <w:r>
        <w:t xml:space="preserve"> More likely to be positive if bronchodilator medication is withheld before test: SABA ≥4 hours, LABA ≥15 hours.</w:t>
      </w:r>
    </w:p>
    <w:p w14:paraId="3194C583" w14:textId="77777777" w:rsidR="008B1C85" w:rsidRDefault="008B1C85" w:rsidP="008B1C85">
      <w:pPr>
        <w:pStyle w:val="08Tablefootnotes"/>
      </w:pPr>
      <w:r>
        <w:rPr>
          <w:b/>
        </w:rPr>
        <w:t>b</w:t>
      </w:r>
      <w:r>
        <w:t xml:space="preserve"> Usually only performed in adults.</w:t>
      </w:r>
    </w:p>
    <w:p w14:paraId="3369FB7F" w14:textId="77777777" w:rsidR="008B1C85" w:rsidRDefault="008B1C85" w:rsidP="008B1C85">
      <w:pPr>
        <w:pStyle w:val="08Tablefootnotes"/>
      </w:pPr>
      <w:r>
        <w:rPr>
          <w:b/>
        </w:rPr>
        <w:t>c</w:t>
      </w:r>
      <w:r>
        <w:t xml:space="preserve"> Greater confidence if increase is &gt;15% and &gt;400 mL.</w:t>
      </w:r>
    </w:p>
    <w:p w14:paraId="03E206DD" w14:textId="77777777" w:rsidR="008B1C85" w:rsidRPr="00702E8C" w:rsidRDefault="008B1C85" w:rsidP="008B1C85">
      <w:pPr>
        <w:pStyle w:val="09Tablefootnoteslast-nostick"/>
        <w:keepNext/>
      </w:pPr>
      <w:r>
        <w:rPr>
          <w:b/>
        </w:rPr>
        <w:t>d</w:t>
      </w:r>
      <w:r>
        <w:t xml:space="preserve"> For PEF, use the same meter each time, as PEF may vary by up to 20% between different meters.</w:t>
      </w:r>
    </w:p>
    <w:p w14:paraId="112E09F4" w14:textId="77777777" w:rsidR="008B1C85" w:rsidRPr="00881BDB" w:rsidRDefault="008B1C85" w:rsidP="00B50F00">
      <w:r w:rsidRPr="00881BDB">
        <w:t>The GINA (2015) diagnostic algorithm suggests that reversibility testing with spirometry/PEF should be undertaken where the patient history and clinical examination support a diagnosis of asthma. This indicates that reversibility testing may be the preferred method of demonstrating airflow variability compared with the other tests listed in</w:t>
      </w:r>
      <w:r w:rsidR="008315B2">
        <w:t xml:space="preserve"> Table 12</w:t>
      </w:r>
      <w:r w:rsidRPr="00881BDB">
        <w:t>.</w:t>
      </w:r>
    </w:p>
    <w:p w14:paraId="2E409BED" w14:textId="77777777" w:rsidR="008B1C85" w:rsidRPr="00881BDB" w:rsidRDefault="008B1C85" w:rsidP="00B50F00">
      <w:r w:rsidRPr="00881BDB">
        <w:t xml:space="preserve">The report also includes advice about the diagnosis of asthma in special populations including: patients presenting with cough as the only respiratory symptom; possible occupational asthma; athletes; pregnant women; the elderly; smokers and ex-smokers; obese patients; low resource settings; and patients already taking controller treatment. </w:t>
      </w:r>
    </w:p>
    <w:p w14:paraId="7FAA951B" w14:textId="77777777" w:rsidR="002C4407" w:rsidRPr="0010704E" w:rsidRDefault="008B1C85" w:rsidP="0010704E">
      <w:r w:rsidRPr="00881BDB">
        <w:t>The latter is most relevant to this review because the use of spirometry is encouraged in some of these patients to confirm the diagnosis of asthma, as per the guidance provided in</w:t>
      </w:r>
      <w:r w:rsidR="008315B2">
        <w:t xml:space="preserve"> Table 12</w:t>
      </w:r>
      <w:r w:rsidRPr="00881BDB">
        <w:t>.</w:t>
      </w:r>
      <w:r w:rsidR="002C4407" w:rsidRPr="0010704E">
        <w:br w:type="page"/>
      </w:r>
    </w:p>
    <w:p w14:paraId="4E272DFC" w14:textId="06A3914C" w:rsidR="008B1C85" w:rsidRDefault="008315B2" w:rsidP="005C3A85">
      <w:pPr>
        <w:pStyle w:val="Appcaption"/>
      </w:pPr>
      <w:r>
        <w:lastRenderedPageBreak/>
        <w:t xml:space="preserve">Table </w:t>
      </w:r>
      <w:fldSimple w:instr=" SEQ Title \* ARABIC ">
        <w:r w:rsidR="00F2203C">
          <w:rPr>
            <w:noProof/>
          </w:rPr>
          <w:t>13</w:t>
        </w:r>
      </w:fldSimple>
      <w:r w:rsidR="008B1C85">
        <w:rPr>
          <w:noProof/>
        </w:rPr>
        <w:tab/>
        <w:t>GINA (2015):</w:t>
      </w:r>
      <w:r w:rsidR="008B1C85">
        <w:t xml:space="preserve"> Confirming the diagnosis of asthma patients already taking controller treatment</w:t>
      </w:r>
    </w:p>
    <w:tbl>
      <w:tblPr>
        <w:tblStyle w:val="TableGrid"/>
        <w:tblW w:w="0" w:type="auto"/>
        <w:tblLook w:val="04A0" w:firstRow="1" w:lastRow="0" w:firstColumn="1" w:lastColumn="0" w:noHBand="0" w:noVBand="1"/>
        <w:tblDescription w:val="Appendix C table 13 list the 2015 Global Initiative for Asthma (GINA) steps. This table contains 2 heading columns: 1. Current status and Steps to confirm the diagnosis of asthma patients already taking controller treatment. "/>
      </w:tblPr>
      <w:tblGrid>
        <w:gridCol w:w="2405"/>
        <w:gridCol w:w="6656"/>
      </w:tblGrid>
      <w:tr w:rsidR="008B1C85" w:rsidRPr="00A0517F" w14:paraId="6074874B" w14:textId="77777777" w:rsidTr="00FF6AB5">
        <w:trPr>
          <w:tblHeader/>
        </w:trPr>
        <w:tc>
          <w:tcPr>
            <w:tcW w:w="2405" w:type="dxa"/>
            <w:tcBorders>
              <w:top w:val="single" w:sz="4" w:space="0" w:color="auto"/>
              <w:left w:val="single" w:sz="4" w:space="0" w:color="auto"/>
              <w:bottom w:val="single" w:sz="4" w:space="0" w:color="auto"/>
              <w:right w:val="single" w:sz="4" w:space="0" w:color="auto"/>
            </w:tcBorders>
          </w:tcPr>
          <w:p w14:paraId="501BFC14" w14:textId="77777777" w:rsidR="008B1C85" w:rsidRPr="004C005F" w:rsidRDefault="008B1C85" w:rsidP="00A403FC">
            <w:pPr>
              <w:pStyle w:val="Style01TableheadingorsubheadingText1"/>
            </w:pPr>
            <w:r w:rsidRPr="004C005F">
              <w:t>Current status</w:t>
            </w:r>
          </w:p>
        </w:tc>
        <w:tc>
          <w:tcPr>
            <w:tcW w:w="6656" w:type="dxa"/>
            <w:tcBorders>
              <w:top w:val="single" w:sz="4" w:space="0" w:color="auto"/>
              <w:left w:val="single" w:sz="4" w:space="0" w:color="auto"/>
              <w:bottom w:val="single" w:sz="4" w:space="0" w:color="auto"/>
              <w:right w:val="single" w:sz="4" w:space="0" w:color="auto"/>
            </w:tcBorders>
          </w:tcPr>
          <w:p w14:paraId="5CA27BCE" w14:textId="77777777" w:rsidR="008B1C85" w:rsidRPr="004C005F" w:rsidRDefault="008B1C85" w:rsidP="00A403FC">
            <w:pPr>
              <w:pStyle w:val="Style01TableheadingorsubheadingText1"/>
            </w:pPr>
            <w:r w:rsidRPr="004C005F">
              <w:t>Steps to confirm the diagnosis of asthma</w:t>
            </w:r>
          </w:p>
        </w:tc>
      </w:tr>
      <w:tr w:rsidR="008B1C85" w:rsidRPr="00A0517F" w14:paraId="28D59FA0" w14:textId="77777777" w:rsidTr="008B1C85">
        <w:tc>
          <w:tcPr>
            <w:tcW w:w="2405" w:type="dxa"/>
            <w:tcBorders>
              <w:top w:val="single" w:sz="4" w:space="0" w:color="auto"/>
              <w:left w:val="single" w:sz="4" w:space="0" w:color="auto"/>
              <w:bottom w:val="single" w:sz="4" w:space="0" w:color="auto"/>
              <w:right w:val="single" w:sz="4" w:space="0" w:color="auto"/>
            </w:tcBorders>
          </w:tcPr>
          <w:p w14:paraId="717732F1" w14:textId="77777777" w:rsidR="008B1C85" w:rsidRPr="00A0517F" w:rsidRDefault="008B1C85" w:rsidP="008B1C85">
            <w:pPr>
              <w:pStyle w:val="Tabletext"/>
              <w:rPr>
                <w:rFonts w:cstheme="minorHAnsi"/>
              </w:rPr>
            </w:pPr>
            <w:r w:rsidRPr="00A0517F">
              <w:rPr>
                <w:rFonts w:cstheme="minorHAnsi"/>
              </w:rPr>
              <w:t>Variable respiratory symptoms and variable airflow limitation</w:t>
            </w:r>
          </w:p>
        </w:tc>
        <w:tc>
          <w:tcPr>
            <w:tcW w:w="6656" w:type="dxa"/>
            <w:tcBorders>
              <w:top w:val="single" w:sz="4" w:space="0" w:color="auto"/>
              <w:left w:val="single" w:sz="4" w:space="0" w:color="auto"/>
              <w:bottom w:val="single" w:sz="4" w:space="0" w:color="auto"/>
              <w:right w:val="single" w:sz="4" w:space="0" w:color="auto"/>
            </w:tcBorders>
          </w:tcPr>
          <w:p w14:paraId="04EA3A92" w14:textId="77777777" w:rsidR="008B1C85" w:rsidRPr="00A0517F" w:rsidRDefault="008B1C85" w:rsidP="008B1C85">
            <w:pPr>
              <w:pStyle w:val="Tabletext"/>
              <w:rPr>
                <w:rFonts w:cstheme="minorHAnsi"/>
              </w:rPr>
            </w:pPr>
            <w:r w:rsidRPr="00A0517F">
              <w:rPr>
                <w:rFonts w:cstheme="minorHAnsi"/>
              </w:rPr>
              <w:t>Diagnosis of asthma is confirmed. Assess the level of asthma control and review controller treatment.</w:t>
            </w:r>
          </w:p>
        </w:tc>
      </w:tr>
      <w:tr w:rsidR="008B1C85" w:rsidRPr="00A0517F" w14:paraId="3E6801D1" w14:textId="77777777" w:rsidTr="008B1C85">
        <w:tc>
          <w:tcPr>
            <w:tcW w:w="2405" w:type="dxa"/>
            <w:tcBorders>
              <w:top w:val="single" w:sz="4" w:space="0" w:color="auto"/>
              <w:left w:val="single" w:sz="4" w:space="0" w:color="auto"/>
              <w:bottom w:val="single" w:sz="4" w:space="0" w:color="auto"/>
              <w:right w:val="single" w:sz="4" w:space="0" w:color="auto"/>
            </w:tcBorders>
          </w:tcPr>
          <w:p w14:paraId="26597386" w14:textId="77777777" w:rsidR="008B1C85" w:rsidRPr="00A0517F" w:rsidRDefault="008B1C85" w:rsidP="008B1C85">
            <w:pPr>
              <w:pStyle w:val="Tabletext"/>
              <w:rPr>
                <w:rFonts w:cstheme="minorHAnsi"/>
              </w:rPr>
            </w:pPr>
            <w:r w:rsidRPr="00A0517F">
              <w:rPr>
                <w:rFonts w:cstheme="minorHAnsi"/>
              </w:rPr>
              <w:t>Variable respiratory symptoms but no variable airflow limitation</w:t>
            </w:r>
          </w:p>
        </w:tc>
        <w:tc>
          <w:tcPr>
            <w:tcW w:w="6656" w:type="dxa"/>
            <w:tcBorders>
              <w:top w:val="single" w:sz="4" w:space="0" w:color="auto"/>
              <w:left w:val="single" w:sz="4" w:space="0" w:color="auto"/>
              <w:bottom w:val="single" w:sz="4" w:space="0" w:color="auto"/>
              <w:right w:val="single" w:sz="4" w:space="0" w:color="auto"/>
            </w:tcBorders>
          </w:tcPr>
          <w:p w14:paraId="50B1B093" w14:textId="77777777" w:rsidR="008B1C85" w:rsidRPr="00EB6F96" w:rsidRDefault="008B1C85" w:rsidP="008B1C85">
            <w:pPr>
              <w:pStyle w:val="Tabletext"/>
              <w:rPr>
                <w:rFonts w:cstheme="minorHAnsi"/>
              </w:rPr>
            </w:pPr>
            <w:r w:rsidRPr="00A0517F">
              <w:rPr>
                <w:rFonts w:cstheme="minorHAnsi"/>
              </w:rPr>
              <w:t xml:space="preserve">Repeat BD reversibility test again after withholding BD (SABA: 4 hours; LABA: 12+ hours) or during symptoms. If normal, consider alternative </w:t>
            </w:r>
            <w:r w:rsidRPr="00EB6F96">
              <w:rPr>
                <w:rFonts w:cstheme="minorHAnsi"/>
              </w:rPr>
              <w:t>diagnoses.</w:t>
            </w:r>
          </w:p>
          <w:p w14:paraId="4BCFC986" w14:textId="77777777" w:rsidR="008B1C85" w:rsidRPr="00CD700F" w:rsidRDefault="008B1C85" w:rsidP="0099709F">
            <w:pPr>
              <w:pStyle w:val="Tabletext"/>
            </w:pPr>
            <w:r w:rsidRPr="0099709F">
              <w:rPr>
                <w:i/>
              </w:rPr>
              <w:t>If FEV</w:t>
            </w:r>
            <w:r w:rsidRPr="0099709F">
              <w:rPr>
                <w:i/>
                <w:vertAlign w:val="subscript"/>
              </w:rPr>
              <w:t>1</w:t>
            </w:r>
            <w:r w:rsidRPr="0099709F">
              <w:rPr>
                <w:i/>
              </w:rPr>
              <w:t xml:space="preserve"> is &gt;70% predicted</w:t>
            </w:r>
            <w:r w:rsidRPr="00CD700F">
              <w:t>: consider a bronchial provocation test. If negative, consider stepping down controller treatment and reassess in 2–4 weeks.</w:t>
            </w:r>
          </w:p>
          <w:p w14:paraId="7D72F683" w14:textId="77777777" w:rsidR="008B1C85" w:rsidRPr="00A0517F" w:rsidRDefault="008B1C85" w:rsidP="0099709F">
            <w:pPr>
              <w:pStyle w:val="Tabletext"/>
            </w:pPr>
            <w:r w:rsidRPr="0099709F">
              <w:rPr>
                <w:i/>
              </w:rPr>
              <w:t>If FEV</w:t>
            </w:r>
            <w:r w:rsidRPr="0099709F">
              <w:rPr>
                <w:i/>
                <w:vertAlign w:val="subscript"/>
              </w:rPr>
              <w:t>1</w:t>
            </w:r>
            <w:r w:rsidRPr="0099709F">
              <w:rPr>
                <w:i/>
              </w:rPr>
              <w:t xml:space="preserve"> is &lt;70% predicted</w:t>
            </w:r>
            <w:r w:rsidRPr="00CD700F">
              <w:t>: consider stepping up controller treatment for 3 months, then</w:t>
            </w:r>
            <w:r w:rsidRPr="0099709F">
              <w:rPr>
                <w:i/>
              </w:rPr>
              <w:t xml:space="preserve"> rea</w:t>
            </w:r>
            <w:r w:rsidRPr="00A0517F">
              <w:rPr>
                <w:i/>
              </w:rPr>
              <w:t>ssess symptoms and lung function. If no response, resume previous treatment and refer patient for diagnosis and investigation.</w:t>
            </w:r>
          </w:p>
        </w:tc>
      </w:tr>
      <w:tr w:rsidR="008B1C85" w:rsidRPr="00A0517F" w14:paraId="7843BD0D" w14:textId="77777777" w:rsidTr="008B1C85">
        <w:tc>
          <w:tcPr>
            <w:tcW w:w="2405" w:type="dxa"/>
            <w:tcBorders>
              <w:top w:val="single" w:sz="4" w:space="0" w:color="auto"/>
              <w:left w:val="single" w:sz="4" w:space="0" w:color="auto"/>
              <w:bottom w:val="single" w:sz="4" w:space="0" w:color="auto"/>
              <w:right w:val="single" w:sz="4" w:space="0" w:color="auto"/>
            </w:tcBorders>
          </w:tcPr>
          <w:p w14:paraId="371A7D14" w14:textId="77777777" w:rsidR="008B1C85" w:rsidRPr="00A0517F" w:rsidRDefault="008B1C85" w:rsidP="008B1C85">
            <w:pPr>
              <w:pStyle w:val="Tabletext"/>
              <w:rPr>
                <w:rFonts w:cstheme="minorHAnsi"/>
              </w:rPr>
            </w:pPr>
            <w:r w:rsidRPr="00A0517F">
              <w:rPr>
                <w:rFonts w:cstheme="minorHAnsi"/>
              </w:rPr>
              <w:t>Few respiratory symptoms,</w:t>
            </w:r>
            <w:r w:rsidRPr="00A0517F" w:rsidDel="007451BB">
              <w:rPr>
                <w:rFonts w:cstheme="minorHAnsi"/>
              </w:rPr>
              <w:t xml:space="preserve"> </w:t>
            </w:r>
            <w:r w:rsidRPr="00A0517F">
              <w:rPr>
                <w:rFonts w:cstheme="minorHAnsi"/>
              </w:rPr>
              <w:t>normal lung function, and no variable airflow limitation</w:t>
            </w:r>
          </w:p>
        </w:tc>
        <w:tc>
          <w:tcPr>
            <w:tcW w:w="6656" w:type="dxa"/>
            <w:tcBorders>
              <w:top w:val="single" w:sz="4" w:space="0" w:color="auto"/>
              <w:left w:val="single" w:sz="4" w:space="0" w:color="auto"/>
              <w:bottom w:val="single" w:sz="4" w:space="0" w:color="auto"/>
              <w:right w:val="single" w:sz="4" w:space="0" w:color="auto"/>
            </w:tcBorders>
          </w:tcPr>
          <w:p w14:paraId="0E3D2D0E" w14:textId="77777777" w:rsidR="008B1C85" w:rsidRPr="00A0517F" w:rsidRDefault="008B1C85" w:rsidP="008B1C85">
            <w:pPr>
              <w:pStyle w:val="Tabletext"/>
              <w:rPr>
                <w:rFonts w:cstheme="minorHAnsi"/>
              </w:rPr>
            </w:pPr>
            <w:r w:rsidRPr="00A0517F">
              <w:rPr>
                <w:rFonts w:cstheme="minorHAnsi"/>
              </w:rPr>
              <w:t>Repeat BD reversibility test again after withholding BD (SABA: 4 hours; LABA: 12+ hours) or during symptoms. If normal, consider alternative diagnoses.</w:t>
            </w:r>
          </w:p>
          <w:p w14:paraId="5BF61BD2" w14:textId="77777777" w:rsidR="008B1C85" w:rsidRPr="00A0517F" w:rsidRDefault="008B1C85" w:rsidP="0099709F">
            <w:pPr>
              <w:pStyle w:val="Tabletext"/>
            </w:pPr>
            <w:r w:rsidRPr="00A0517F">
              <w:t>Consider stepping down controller treatment:</w:t>
            </w:r>
          </w:p>
          <w:p w14:paraId="0B9627CD" w14:textId="77777777" w:rsidR="008B1C85" w:rsidRPr="00A0517F" w:rsidRDefault="008B1C85" w:rsidP="00CD700F">
            <w:pPr>
              <w:pStyle w:val="Tablebullet"/>
            </w:pPr>
            <w:r w:rsidRPr="00A0517F">
              <w:t>If symptoms emerge and lung function falls: asthma is confirmed. Step up controller treatment to lowest previous effective dose.</w:t>
            </w:r>
          </w:p>
          <w:p w14:paraId="1A819527" w14:textId="77777777" w:rsidR="008B1C85" w:rsidRPr="00A0517F" w:rsidRDefault="008B1C85" w:rsidP="00CD700F">
            <w:pPr>
              <w:pStyle w:val="Tablebullet"/>
            </w:pPr>
            <w:r w:rsidRPr="00A0517F">
              <w:t>If no change in symptoms or lung function at lowest controller step: consider ceasing controller, and monitor patient closely for at least 12 months.</w:t>
            </w:r>
          </w:p>
        </w:tc>
      </w:tr>
      <w:tr w:rsidR="008B1C85" w:rsidRPr="00A0517F" w14:paraId="68AAFF19" w14:textId="77777777" w:rsidTr="008B1C85">
        <w:tc>
          <w:tcPr>
            <w:tcW w:w="2405" w:type="dxa"/>
            <w:tcBorders>
              <w:top w:val="single" w:sz="4" w:space="0" w:color="auto"/>
              <w:left w:val="single" w:sz="4" w:space="0" w:color="auto"/>
              <w:bottom w:val="single" w:sz="4" w:space="0" w:color="auto"/>
              <w:right w:val="single" w:sz="4" w:space="0" w:color="auto"/>
            </w:tcBorders>
          </w:tcPr>
          <w:p w14:paraId="59B88B4A" w14:textId="77777777" w:rsidR="008B1C85" w:rsidRPr="00A0517F" w:rsidRDefault="008B1C85" w:rsidP="008B1C85">
            <w:pPr>
              <w:pStyle w:val="Tabletext"/>
              <w:rPr>
                <w:rFonts w:cstheme="minorHAnsi"/>
              </w:rPr>
            </w:pPr>
            <w:r w:rsidRPr="00A0517F">
              <w:rPr>
                <w:rFonts w:cstheme="minorHAnsi"/>
              </w:rPr>
              <w:t>Persistent shortness of breath and fixed airflow limitation</w:t>
            </w:r>
          </w:p>
        </w:tc>
        <w:tc>
          <w:tcPr>
            <w:tcW w:w="6656" w:type="dxa"/>
            <w:tcBorders>
              <w:top w:val="single" w:sz="4" w:space="0" w:color="auto"/>
              <w:left w:val="single" w:sz="4" w:space="0" w:color="auto"/>
              <w:bottom w:val="single" w:sz="4" w:space="0" w:color="auto"/>
              <w:right w:val="single" w:sz="4" w:space="0" w:color="auto"/>
            </w:tcBorders>
          </w:tcPr>
          <w:p w14:paraId="17C4818F" w14:textId="77777777" w:rsidR="008B1C85" w:rsidRPr="00A0517F" w:rsidRDefault="008B1C85" w:rsidP="008B1C85">
            <w:pPr>
              <w:pStyle w:val="Tabletext"/>
              <w:rPr>
                <w:rFonts w:cstheme="minorHAnsi"/>
              </w:rPr>
            </w:pPr>
            <w:r w:rsidRPr="00A0517F">
              <w:rPr>
                <w:rFonts w:cstheme="minorHAnsi"/>
              </w:rPr>
              <w:t>Consider stepping up controller treatment for 3 months, then reassess symptoms and lung function. If no response, resume previous treatment and refer patient for diagnosis and investigation. Consider asthma–COPD overlap syndrome.</w:t>
            </w:r>
          </w:p>
        </w:tc>
      </w:tr>
    </w:tbl>
    <w:p w14:paraId="03094C1C" w14:textId="77777777" w:rsidR="008B1C85" w:rsidRDefault="008B1C85" w:rsidP="008B1C85">
      <w:pPr>
        <w:pStyle w:val="08Tablefootnotes"/>
      </w:pPr>
      <w:r>
        <w:t>Source: GINA (2015); Box 1-4, p. 10.</w:t>
      </w:r>
    </w:p>
    <w:p w14:paraId="16B9827A" w14:textId="77777777" w:rsidR="008B1C85" w:rsidRDefault="008B1C85" w:rsidP="008B1C85">
      <w:pPr>
        <w:pStyle w:val="08Tablefootnotes"/>
      </w:pPr>
      <w:r>
        <w:t>Note: Refer to GINA report for further information about stepping down controller treatment and assessing level of asthma control.</w:t>
      </w:r>
    </w:p>
    <w:p w14:paraId="65CF2D8E" w14:textId="77777777" w:rsidR="008B1C85" w:rsidRPr="00CA355C" w:rsidRDefault="008B1C85" w:rsidP="008B1C85">
      <w:pPr>
        <w:pStyle w:val="09Tablefootnoteslast-nostick"/>
        <w:keepNext/>
      </w:pPr>
      <w:r>
        <w:t>Abbreviations: BD, bronchodilator;</w:t>
      </w:r>
      <w:r w:rsidRPr="0009061F">
        <w:t xml:space="preserve"> </w:t>
      </w:r>
      <w:r>
        <w:t>COPD, chronic obstructive pulmonary disease; FEV</w:t>
      </w:r>
      <w:r>
        <w:rPr>
          <w:vertAlign w:val="subscript"/>
        </w:rPr>
        <w:t>1</w:t>
      </w:r>
      <w:r>
        <w:t>, forced expiratory volume in 1 second; LABA, long-acting beta</w:t>
      </w:r>
      <w:r>
        <w:rPr>
          <w:vertAlign w:val="subscript"/>
        </w:rPr>
        <w:t>2</w:t>
      </w:r>
      <w:r>
        <w:t>-agonist; SABA, short-acting beta</w:t>
      </w:r>
      <w:r>
        <w:rPr>
          <w:vertAlign w:val="subscript"/>
        </w:rPr>
        <w:t>2</w:t>
      </w:r>
      <w:r>
        <w:t>-agonist.</w:t>
      </w:r>
    </w:p>
    <w:p w14:paraId="58138A02" w14:textId="77777777" w:rsidR="008B1C85" w:rsidRDefault="008B1C85" w:rsidP="008B1C85">
      <w:r>
        <w:t>According to GINA (2015), asthma severity should be assessed retrospectively from the level of treatment required to control symptoms and exacerbations (Chung et al, 2014; Reddel et al, 2009; Taylor et al, 2008). It can be assessed once the patient has been on controller treatment for several months and, if appropriate, treatment step down has been attempted to find the patient’s minimum effective level of treatment. The assessment of asthma severity does not require spirometry and is of limited relevance to this review.</w:t>
      </w:r>
    </w:p>
    <w:p w14:paraId="00A25E60" w14:textId="77777777" w:rsidR="008B1C85" w:rsidRPr="00CB24CB" w:rsidRDefault="008B1C85" w:rsidP="00CB5570">
      <w:pPr>
        <w:pStyle w:val="AttHeading5"/>
      </w:pPr>
      <w:r w:rsidRPr="00CB24CB">
        <w:t>British Thoracic Society / Scottish Intercollegiate Guidelines Network (2014)</w:t>
      </w:r>
    </w:p>
    <w:p w14:paraId="700B2EB6" w14:textId="77777777" w:rsidR="008B1C85" w:rsidRPr="00A0517F" w:rsidRDefault="008B1C85" w:rsidP="008B1C85">
      <w:r w:rsidRPr="00A0517F">
        <w:t>This guideline and the related systemic literature search was based on a series of structured key questions about the diagnosis and management of asthma, patient education and delivery of care. The key questions that underpinned recommendations relating to spirometry and diagnosis are presented in</w:t>
      </w:r>
      <w:r w:rsidR="008C2F36">
        <w:t xml:space="preserve"> Appendix 9</w:t>
      </w:r>
      <w:r w:rsidRPr="00A0517F">
        <w:t>.</w:t>
      </w:r>
      <w:r w:rsidRPr="00A0517F">
        <w:rPr>
          <w:rStyle w:val="FootnoteReference"/>
          <w:rFonts w:cstheme="minorHAnsi"/>
        </w:rPr>
        <w:footnoteReference w:id="11"/>
      </w:r>
    </w:p>
    <w:p w14:paraId="780BF1E7" w14:textId="77777777" w:rsidR="008B1C85" w:rsidRPr="00A0517F" w:rsidRDefault="008B1C85" w:rsidP="008B1C85">
      <w:r w:rsidRPr="00A0517F">
        <w:t>The guideline included recommendations and practice points about the use of spirometry in adults and children who can perform spirometry, acknowledging that the use of this test in children (≤5 years) is generally not feasible (see</w:t>
      </w:r>
      <w:r w:rsidR="008315B2">
        <w:t xml:space="preserve"> Table 14</w:t>
      </w:r>
      <w:r w:rsidRPr="00A0517F">
        <w:t>).</w:t>
      </w:r>
    </w:p>
    <w:p w14:paraId="7D4C24F9" w14:textId="64EC3CC9" w:rsidR="008B1C85" w:rsidRDefault="008315B2" w:rsidP="005C3A85">
      <w:pPr>
        <w:pStyle w:val="Appcaption"/>
      </w:pPr>
      <w:r w:rsidRPr="000A7D88">
        <w:lastRenderedPageBreak/>
        <w:t xml:space="preserve">Table </w:t>
      </w:r>
      <w:fldSimple w:instr=" SEQ Title \* ARABIC ">
        <w:r w:rsidR="00F2203C">
          <w:rPr>
            <w:noProof/>
          </w:rPr>
          <w:t>14</w:t>
        </w:r>
      </w:fldSimple>
      <w:r w:rsidR="008B1C85" w:rsidRPr="00807B09">
        <w:rPr>
          <w:noProof/>
        </w:rPr>
        <w:tab/>
        <w:t>BTS/SIGN (2014):</w:t>
      </w:r>
      <w:r w:rsidR="008B1C85" w:rsidRPr="00807B09">
        <w:t xml:space="preserve"> Clinical guidance relating to spirometry and the diagnosis of asthma in adults and</w:t>
      </w:r>
      <w:r w:rsidR="008B1C85">
        <w:t xml:space="preserve"> children</w:t>
      </w:r>
    </w:p>
    <w:tbl>
      <w:tblPr>
        <w:tblStyle w:val="TableGrid"/>
        <w:tblW w:w="0" w:type="auto"/>
        <w:tblLook w:val="04A0" w:firstRow="1" w:lastRow="0" w:firstColumn="1" w:lastColumn="0" w:noHBand="0" w:noVBand="1"/>
        <w:tblDescription w:val="Appendix C table 14 list the 2014 British Thoracic Society / Scottish Intercollegiate Guidelines Network relating to spirometry and the diagnosis of asthma in adults and children. This table contains 3 heading columns: 1. Population, 2. Recommendation and Grade of Recommendation for the each clinical guideline."/>
      </w:tblPr>
      <w:tblGrid>
        <w:gridCol w:w="1126"/>
        <w:gridCol w:w="6426"/>
        <w:gridCol w:w="1509"/>
      </w:tblGrid>
      <w:tr w:rsidR="00CD700F" w:rsidRPr="00A0517F" w14:paraId="3E4D99B7" w14:textId="77777777" w:rsidTr="0099709F">
        <w:trPr>
          <w:tblHeader/>
        </w:trPr>
        <w:tc>
          <w:tcPr>
            <w:tcW w:w="1126" w:type="dxa"/>
            <w:tcBorders>
              <w:top w:val="single" w:sz="4" w:space="0" w:color="auto"/>
              <w:left w:val="single" w:sz="4" w:space="0" w:color="auto"/>
              <w:bottom w:val="single" w:sz="4" w:space="0" w:color="auto"/>
              <w:right w:val="single" w:sz="4" w:space="0" w:color="auto"/>
            </w:tcBorders>
          </w:tcPr>
          <w:p w14:paraId="6D33609C" w14:textId="77777777" w:rsidR="00CD700F" w:rsidRPr="004C005F" w:rsidRDefault="00733F83" w:rsidP="00A403FC">
            <w:pPr>
              <w:pStyle w:val="Style01TableheadingorsubheadingText1"/>
            </w:pPr>
            <w:r>
              <w:t>Population</w:t>
            </w:r>
          </w:p>
        </w:tc>
        <w:tc>
          <w:tcPr>
            <w:tcW w:w="6652" w:type="dxa"/>
            <w:tcBorders>
              <w:top w:val="single" w:sz="4" w:space="0" w:color="auto"/>
              <w:left w:val="single" w:sz="4" w:space="0" w:color="auto"/>
              <w:bottom w:val="single" w:sz="4" w:space="0" w:color="auto"/>
              <w:right w:val="single" w:sz="4" w:space="0" w:color="auto"/>
            </w:tcBorders>
          </w:tcPr>
          <w:p w14:paraId="670E401F" w14:textId="77777777" w:rsidR="00CD700F" w:rsidRPr="004C005F" w:rsidRDefault="00CD700F" w:rsidP="00A403FC">
            <w:pPr>
              <w:pStyle w:val="Style01TableheadingorsubheadingText1"/>
            </w:pPr>
            <w:r w:rsidRPr="004C005F">
              <w:t>Recommendations</w:t>
            </w:r>
          </w:p>
        </w:tc>
        <w:tc>
          <w:tcPr>
            <w:tcW w:w="1509" w:type="dxa"/>
            <w:tcBorders>
              <w:top w:val="single" w:sz="4" w:space="0" w:color="auto"/>
              <w:left w:val="single" w:sz="4" w:space="0" w:color="auto"/>
              <w:bottom w:val="single" w:sz="4" w:space="0" w:color="auto"/>
              <w:right w:val="single" w:sz="4" w:space="0" w:color="auto"/>
            </w:tcBorders>
          </w:tcPr>
          <w:p w14:paraId="28BEE46B" w14:textId="77777777" w:rsidR="00CD700F" w:rsidRPr="004C005F" w:rsidRDefault="00CD700F" w:rsidP="008B1C85">
            <w:pPr>
              <w:pStyle w:val="01Tableheadingorsubheading"/>
              <w:keepNext w:val="0"/>
              <w:jc w:val="center"/>
              <w:rPr>
                <w:rFonts w:cstheme="minorHAnsi"/>
                <w:color w:val="000000" w:themeColor="text1"/>
              </w:rPr>
            </w:pPr>
            <w:r w:rsidRPr="004C005F">
              <w:rPr>
                <w:rFonts w:cstheme="minorHAnsi"/>
                <w:color w:val="000000" w:themeColor="text1"/>
              </w:rPr>
              <w:t>Grade of recommendation</w:t>
            </w:r>
          </w:p>
        </w:tc>
      </w:tr>
      <w:tr w:rsidR="00CD700F" w:rsidRPr="00A0517F" w14:paraId="7A02CAF6" w14:textId="77777777" w:rsidTr="0099709F">
        <w:tc>
          <w:tcPr>
            <w:tcW w:w="1126" w:type="dxa"/>
            <w:vMerge w:val="restart"/>
            <w:tcBorders>
              <w:top w:val="single" w:sz="4" w:space="0" w:color="auto"/>
              <w:left w:val="single" w:sz="4" w:space="0" w:color="auto"/>
              <w:right w:val="single" w:sz="4" w:space="0" w:color="auto"/>
            </w:tcBorders>
            <w:shd w:val="clear" w:color="auto" w:fill="FFFFFF" w:themeFill="background1"/>
          </w:tcPr>
          <w:p w14:paraId="420EC7D7" w14:textId="77777777" w:rsidR="00CD700F" w:rsidRPr="00A0517F" w:rsidRDefault="00CD700F" w:rsidP="008B1C85">
            <w:pPr>
              <w:pStyle w:val="Tabletext"/>
              <w:rPr>
                <w:rFonts w:cstheme="minorHAnsi"/>
              </w:rPr>
            </w:pPr>
            <w:r w:rsidRPr="00A0517F">
              <w:rPr>
                <w:rFonts w:cstheme="minorHAnsi"/>
              </w:rPr>
              <w:t>Adults</w:t>
            </w:r>
          </w:p>
        </w:tc>
        <w:tc>
          <w:tcPr>
            <w:tcW w:w="6652" w:type="dxa"/>
            <w:tcBorders>
              <w:top w:val="single" w:sz="4" w:space="0" w:color="auto"/>
              <w:left w:val="single" w:sz="4" w:space="0" w:color="auto"/>
              <w:bottom w:val="single" w:sz="4" w:space="0" w:color="auto"/>
              <w:right w:val="single" w:sz="4" w:space="0" w:color="auto"/>
            </w:tcBorders>
            <w:shd w:val="clear" w:color="auto" w:fill="FFFFFF" w:themeFill="background1"/>
          </w:tcPr>
          <w:p w14:paraId="4C154C16" w14:textId="77777777" w:rsidR="00CD700F" w:rsidRPr="00A0517F" w:rsidRDefault="00CD700F" w:rsidP="008B1C85">
            <w:pPr>
              <w:pStyle w:val="Tabletext"/>
              <w:rPr>
                <w:rFonts w:cstheme="minorHAnsi"/>
              </w:rPr>
            </w:pPr>
            <w:r w:rsidRPr="00A0517F">
              <w:rPr>
                <w:rFonts w:cstheme="minorHAnsi"/>
              </w:rPr>
              <w:t>In adults, initial diagnosis should be based on a careful assessment of symptoms and a measure of airflow obstruction.</w:t>
            </w:r>
          </w:p>
          <w:p w14:paraId="6814BEAF" w14:textId="77777777" w:rsidR="00CD700F" w:rsidRPr="00A0517F" w:rsidRDefault="00CD700F" w:rsidP="00CD700F">
            <w:pPr>
              <w:pStyle w:val="Tablebullet"/>
            </w:pPr>
            <w:r w:rsidRPr="00A0517F">
              <w:t>In patients with a high probability of asthma move straight to a trial of treatment. Reserve further testing for those whose response to a trial of treatment is poor.</w:t>
            </w:r>
          </w:p>
          <w:p w14:paraId="7EE41F7B" w14:textId="77777777" w:rsidR="00CD700F" w:rsidRPr="00A0517F" w:rsidRDefault="00CD700F" w:rsidP="00CD700F">
            <w:pPr>
              <w:pStyle w:val="Tablebullet"/>
            </w:pPr>
            <w:r w:rsidRPr="00A0517F">
              <w:t>In patients with a low probability of asthma, whose symptoms are thought to be due to an alternative diagnosis, investigate and manage accordingly. Reconsider the diagnosis of asthma in those who do not respond.</w:t>
            </w:r>
          </w:p>
          <w:p w14:paraId="10989EB5" w14:textId="77777777" w:rsidR="00CD700F" w:rsidRPr="00A0517F" w:rsidRDefault="00CD700F" w:rsidP="00CD700F">
            <w:pPr>
              <w:pStyle w:val="Tablebullet"/>
            </w:pPr>
            <w:r w:rsidRPr="00A0517F">
              <w:t>In patients with an intermediate probability of asthma the preferred approach is to carry out further investigations, including an explicit trial of treatments for a specified period, before confirming a diagnosis and establishing maintenance treatment.</w:t>
            </w:r>
          </w:p>
        </w:tc>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4A0D4452" w14:textId="77777777" w:rsidR="00CD700F" w:rsidRPr="00A0517F" w:rsidRDefault="00CD700F" w:rsidP="0099709F">
            <w:pPr>
              <w:pStyle w:val="Tabletext"/>
              <w:jc w:val="center"/>
              <w:rPr>
                <w:rFonts w:cstheme="minorHAnsi"/>
              </w:rPr>
            </w:pPr>
            <w:r w:rsidRPr="000A7D88">
              <w:rPr>
                <w:rFonts w:cstheme="minorHAnsi"/>
              </w:rPr>
              <w:t>GPP</w:t>
            </w:r>
          </w:p>
        </w:tc>
      </w:tr>
      <w:tr w:rsidR="00CD700F" w:rsidRPr="00A0517F" w14:paraId="4C205CAB" w14:textId="77777777" w:rsidTr="009F58DB">
        <w:tc>
          <w:tcPr>
            <w:tcW w:w="1126" w:type="dxa"/>
            <w:vMerge/>
            <w:tcBorders>
              <w:left w:val="single" w:sz="4" w:space="0" w:color="auto"/>
              <w:right w:val="single" w:sz="4" w:space="0" w:color="auto"/>
            </w:tcBorders>
            <w:shd w:val="clear" w:color="auto" w:fill="DBE5F1" w:themeFill="accent1" w:themeFillTint="33"/>
          </w:tcPr>
          <w:p w14:paraId="58314304" w14:textId="77777777" w:rsidR="00CD700F" w:rsidRPr="00A0517F" w:rsidRDefault="00CD700F" w:rsidP="008B1C85">
            <w:pPr>
              <w:pStyle w:val="Tabletext"/>
              <w:rPr>
                <w:rFonts w:cstheme="minorHAnsi"/>
              </w:rPr>
            </w:pPr>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74E4CFD5" w14:textId="77777777" w:rsidR="00CD700F" w:rsidRPr="00A0517F" w:rsidRDefault="00CD700F" w:rsidP="008B1C85">
            <w:pPr>
              <w:pStyle w:val="Tabletext"/>
              <w:rPr>
                <w:rFonts w:cstheme="minorHAnsi"/>
              </w:rPr>
            </w:pPr>
            <w:r w:rsidRPr="00A0517F">
              <w:rPr>
                <w:rFonts w:cstheme="minorHAnsi"/>
              </w:rPr>
              <w:t>Spirometry is the preferred initial test to assess the presence and severity of airflow obstruction in adults.</w:t>
            </w: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0906275A" w14:textId="77777777" w:rsidR="00CD700F" w:rsidRPr="00A0517F" w:rsidRDefault="00CD700F" w:rsidP="008B1C85">
            <w:pPr>
              <w:pStyle w:val="Tabletext"/>
              <w:jc w:val="center"/>
              <w:rPr>
                <w:rFonts w:cstheme="minorHAnsi"/>
              </w:rPr>
            </w:pPr>
            <w:r w:rsidRPr="00A0517F">
              <w:rPr>
                <w:rFonts w:cstheme="minorHAnsi"/>
              </w:rPr>
              <w:t>D</w:t>
            </w:r>
          </w:p>
        </w:tc>
      </w:tr>
      <w:tr w:rsidR="00CD700F" w:rsidRPr="00A0517F" w14:paraId="708AB2C7" w14:textId="77777777" w:rsidTr="0099709F">
        <w:tc>
          <w:tcPr>
            <w:tcW w:w="1126" w:type="dxa"/>
            <w:vMerge/>
            <w:tcBorders>
              <w:left w:val="single" w:sz="4" w:space="0" w:color="auto"/>
              <w:right w:val="single" w:sz="4" w:space="0" w:color="auto"/>
            </w:tcBorders>
            <w:shd w:val="clear" w:color="auto" w:fill="FFFFFF" w:themeFill="background1"/>
          </w:tcPr>
          <w:p w14:paraId="108FF613" w14:textId="77777777" w:rsidR="00CD700F" w:rsidRPr="00A0517F" w:rsidRDefault="00CD700F" w:rsidP="008B1C85">
            <w:pPr>
              <w:pStyle w:val="Tabletext"/>
              <w:rPr>
                <w:rFonts w:cstheme="minorHAnsi"/>
              </w:rPr>
            </w:pPr>
          </w:p>
        </w:tc>
        <w:tc>
          <w:tcPr>
            <w:tcW w:w="6652" w:type="dxa"/>
            <w:tcBorders>
              <w:top w:val="single" w:sz="4" w:space="0" w:color="auto"/>
              <w:left w:val="single" w:sz="4" w:space="0" w:color="auto"/>
              <w:bottom w:val="single" w:sz="4" w:space="0" w:color="auto"/>
              <w:right w:val="single" w:sz="4" w:space="0" w:color="auto"/>
            </w:tcBorders>
            <w:shd w:val="clear" w:color="auto" w:fill="FFFFFF" w:themeFill="background1"/>
          </w:tcPr>
          <w:p w14:paraId="7DDFE43B" w14:textId="77777777" w:rsidR="00CD700F" w:rsidRPr="00A0517F" w:rsidRDefault="00CD700F" w:rsidP="008B1C85">
            <w:pPr>
              <w:pStyle w:val="Tabletext"/>
              <w:rPr>
                <w:rFonts w:cstheme="minorHAnsi"/>
              </w:rPr>
            </w:pPr>
            <w:r w:rsidRPr="00A0517F">
              <w:rPr>
                <w:rFonts w:cstheme="minorHAnsi"/>
              </w:rPr>
              <w:t>Offer patients with airways obstruction and intermediate probability of asthma a reversibility test and/or a trial of treatment for a specified period:</w:t>
            </w:r>
          </w:p>
          <w:p w14:paraId="1143A785" w14:textId="77777777" w:rsidR="00CD700F" w:rsidRPr="00A0517F" w:rsidRDefault="00CD700F" w:rsidP="00CD700F">
            <w:pPr>
              <w:pStyle w:val="Tablebullet"/>
            </w:pPr>
            <w:r w:rsidRPr="00A0517F">
              <w:t>if there is significant reversibility, or if a treatment trial is clearly beneficial treat as asthma</w:t>
            </w:r>
          </w:p>
          <w:p w14:paraId="6B7E44FF" w14:textId="77777777" w:rsidR="00CD700F" w:rsidRPr="00A0517F" w:rsidRDefault="00CD700F" w:rsidP="00CD700F">
            <w:pPr>
              <w:pStyle w:val="Tablebullet"/>
            </w:pPr>
            <w:r w:rsidRPr="00A0517F">
              <w:t>if there is insignificant reversibility and a treatment trial is not beneficial, consider tests for alternative conditions.</w:t>
            </w:r>
          </w:p>
        </w:tc>
        <w:tc>
          <w:tcPr>
            <w:tcW w:w="1509" w:type="dxa"/>
            <w:tcBorders>
              <w:top w:val="single" w:sz="4" w:space="0" w:color="auto"/>
              <w:left w:val="single" w:sz="4" w:space="0" w:color="auto"/>
              <w:bottom w:val="single" w:sz="4" w:space="0" w:color="auto"/>
              <w:right w:val="single" w:sz="4" w:space="0" w:color="auto"/>
            </w:tcBorders>
            <w:shd w:val="clear" w:color="auto" w:fill="FFFFFF" w:themeFill="background1"/>
          </w:tcPr>
          <w:p w14:paraId="6629E6DE" w14:textId="77777777" w:rsidR="00CD700F" w:rsidRPr="00A0517F" w:rsidRDefault="00CD700F" w:rsidP="008B1C85">
            <w:pPr>
              <w:pStyle w:val="Tabletext"/>
              <w:jc w:val="center"/>
              <w:rPr>
                <w:rFonts w:cstheme="minorHAnsi"/>
              </w:rPr>
            </w:pPr>
            <w:r w:rsidRPr="00A0517F">
              <w:rPr>
                <w:rFonts w:cstheme="minorHAnsi"/>
              </w:rPr>
              <w:t>GPP</w:t>
            </w:r>
          </w:p>
        </w:tc>
      </w:tr>
      <w:tr w:rsidR="00CD700F" w:rsidRPr="00A0517F" w14:paraId="7E880C08" w14:textId="77777777" w:rsidTr="009F58DB">
        <w:tc>
          <w:tcPr>
            <w:tcW w:w="1126" w:type="dxa"/>
            <w:vMerge/>
            <w:tcBorders>
              <w:left w:val="single" w:sz="4" w:space="0" w:color="auto"/>
              <w:bottom w:val="single" w:sz="4" w:space="0" w:color="auto"/>
              <w:right w:val="single" w:sz="4" w:space="0" w:color="auto"/>
            </w:tcBorders>
            <w:shd w:val="clear" w:color="auto" w:fill="DBE5F1" w:themeFill="accent1" w:themeFillTint="33"/>
          </w:tcPr>
          <w:p w14:paraId="13F97E39" w14:textId="77777777" w:rsidR="00CD700F" w:rsidRPr="00A0517F" w:rsidRDefault="00CD700F" w:rsidP="008B1C85">
            <w:pPr>
              <w:pStyle w:val="Tabletext"/>
              <w:rPr>
                <w:rFonts w:cstheme="minorHAnsi"/>
              </w:rPr>
            </w:pPr>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656C02FB" w14:textId="77777777" w:rsidR="00CD700F" w:rsidRPr="00A0517F" w:rsidRDefault="00CD700F" w:rsidP="008B1C85">
            <w:pPr>
              <w:pStyle w:val="Tabletext"/>
              <w:rPr>
                <w:rFonts w:cstheme="minorHAnsi"/>
              </w:rPr>
            </w:pPr>
            <w:r w:rsidRPr="00A0517F">
              <w:rPr>
                <w:rFonts w:cstheme="minorHAnsi"/>
              </w:rPr>
              <w:t>Assess FEV</w:t>
            </w:r>
            <w:r w:rsidRPr="00A0517F">
              <w:rPr>
                <w:rFonts w:cstheme="minorHAnsi"/>
                <w:vertAlign w:val="subscript"/>
              </w:rPr>
              <w:t>1</w:t>
            </w:r>
            <w:r w:rsidRPr="00A0517F">
              <w:rPr>
                <w:rFonts w:cstheme="minorHAnsi"/>
              </w:rPr>
              <w:t xml:space="preserve"> (or PEF) and/or symptoms:</w:t>
            </w:r>
          </w:p>
          <w:p w14:paraId="7BBB52D0" w14:textId="77777777" w:rsidR="00CD700F" w:rsidRPr="00A0517F" w:rsidRDefault="00CD700F" w:rsidP="00CD700F">
            <w:pPr>
              <w:pStyle w:val="Tablebullet"/>
            </w:pPr>
            <w:r w:rsidRPr="00A0517F">
              <w:t>before and after 400 mcg inhaled salbutamol in patients with diagnostic uncertainty and airflow obstruction present at the time of assessment</w:t>
            </w:r>
          </w:p>
          <w:p w14:paraId="5C64EA86" w14:textId="77777777" w:rsidR="00CD700F" w:rsidRPr="00A0517F" w:rsidRDefault="00CD700F" w:rsidP="00CD700F">
            <w:pPr>
              <w:pStyle w:val="Tablebullet"/>
            </w:pPr>
            <w:r w:rsidRPr="00A0517F">
              <w:t>in other patients, or if there is an incomplete response to inhaled salbutamol, after either inhaled corticosteroids (200 mcg twice daily beclomethasone equivalent for 6–8 weeks) or oral prednisolone (30 mg once daily for 14 days).</w:t>
            </w: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2686055A" w14:textId="77777777" w:rsidR="00CD700F" w:rsidRPr="00A0517F" w:rsidRDefault="00CD700F" w:rsidP="008B1C85">
            <w:pPr>
              <w:pStyle w:val="Tabletext"/>
              <w:jc w:val="center"/>
              <w:rPr>
                <w:rFonts w:cstheme="minorHAnsi"/>
              </w:rPr>
            </w:pPr>
            <w:r w:rsidRPr="00A0517F">
              <w:rPr>
                <w:rFonts w:cstheme="minorHAnsi"/>
              </w:rPr>
              <w:t>C</w:t>
            </w:r>
          </w:p>
        </w:tc>
      </w:tr>
      <w:tr w:rsidR="00CD700F" w:rsidRPr="00A0517F" w14:paraId="714F732D" w14:textId="77777777" w:rsidTr="0099709F">
        <w:tc>
          <w:tcPr>
            <w:tcW w:w="1126" w:type="dxa"/>
            <w:vMerge w:val="restart"/>
            <w:tcBorders>
              <w:top w:val="single" w:sz="4" w:space="0" w:color="auto"/>
              <w:left w:val="single" w:sz="4" w:space="0" w:color="auto"/>
              <w:right w:val="single" w:sz="4" w:space="0" w:color="auto"/>
            </w:tcBorders>
          </w:tcPr>
          <w:p w14:paraId="444293E7" w14:textId="77777777" w:rsidR="00CD700F" w:rsidRPr="00A0517F" w:rsidRDefault="00CD700F" w:rsidP="008B1C85">
            <w:pPr>
              <w:pStyle w:val="Tabletext"/>
              <w:rPr>
                <w:rFonts w:cstheme="minorHAnsi"/>
              </w:rPr>
            </w:pPr>
            <w:r w:rsidRPr="00A0517F">
              <w:rPr>
                <w:rFonts w:cstheme="minorHAnsi"/>
              </w:rPr>
              <w:t>Children</w:t>
            </w:r>
          </w:p>
        </w:tc>
        <w:tc>
          <w:tcPr>
            <w:tcW w:w="6652" w:type="dxa"/>
            <w:tcBorders>
              <w:top w:val="single" w:sz="4" w:space="0" w:color="auto"/>
              <w:left w:val="single" w:sz="4" w:space="0" w:color="auto"/>
              <w:bottom w:val="single" w:sz="4" w:space="0" w:color="auto"/>
              <w:right w:val="single" w:sz="4" w:space="0" w:color="auto"/>
            </w:tcBorders>
          </w:tcPr>
          <w:p w14:paraId="4930EEA4" w14:textId="77777777" w:rsidR="00CD700F" w:rsidRPr="00A0517F" w:rsidRDefault="00CD700F" w:rsidP="008B1C85">
            <w:pPr>
              <w:pStyle w:val="Tabletext"/>
              <w:rPr>
                <w:rFonts w:cstheme="minorHAnsi"/>
              </w:rPr>
            </w:pPr>
            <w:r w:rsidRPr="00A0517F">
              <w:rPr>
                <w:rFonts w:cstheme="minorHAnsi"/>
              </w:rPr>
              <w:t>In children with an intermediate probability of asthma who can perform spirometry and have evidence of airways obstruction, assess the change in FEV</w:t>
            </w:r>
            <w:r w:rsidRPr="00A0517F">
              <w:rPr>
                <w:rFonts w:cstheme="minorHAnsi"/>
                <w:vertAlign w:val="subscript"/>
              </w:rPr>
              <w:t>1</w:t>
            </w:r>
            <w:r w:rsidRPr="00A0517F">
              <w:rPr>
                <w:rFonts w:cstheme="minorHAnsi"/>
              </w:rPr>
              <w:t xml:space="preserve"> or PEF in response to an inhaled bronchodilator (reversibility) and/or the response to a trial of treatment for a specified period:</w:t>
            </w:r>
          </w:p>
          <w:p w14:paraId="753FEEBA" w14:textId="77777777" w:rsidR="00CD700F" w:rsidRPr="00A0517F" w:rsidRDefault="00CD700F" w:rsidP="00CD700F">
            <w:pPr>
              <w:pStyle w:val="Tablebullet"/>
            </w:pPr>
            <w:r w:rsidRPr="00A0517F">
              <w:t>If there is significant reversibility, or if a treatment trial is beneficial, a diagnosis of asthma is probable. Continue to treat as asthma, but aim to find the minimum effective dose of therapy. At a later point, consider a trial of reduction, or withdrawal, of treatment.</w:t>
            </w:r>
          </w:p>
          <w:p w14:paraId="30B65E04" w14:textId="77777777" w:rsidR="00CD700F" w:rsidRPr="00A0517F" w:rsidRDefault="00CD700F" w:rsidP="00CD700F">
            <w:pPr>
              <w:pStyle w:val="Tablebullet"/>
            </w:pPr>
            <w:r w:rsidRPr="00A0517F">
              <w:t>If there is no significant reversibility, and treatment trial is not beneficial, consider tests for alternative conditions.</w:t>
            </w:r>
          </w:p>
        </w:tc>
        <w:tc>
          <w:tcPr>
            <w:tcW w:w="1509" w:type="dxa"/>
            <w:tcBorders>
              <w:top w:val="single" w:sz="4" w:space="0" w:color="auto"/>
              <w:left w:val="single" w:sz="4" w:space="0" w:color="auto"/>
              <w:bottom w:val="single" w:sz="4" w:space="0" w:color="auto"/>
              <w:right w:val="single" w:sz="4" w:space="0" w:color="auto"/>
            </w:tcBorders>
          </w:tcPr>
          <w:p w14:paraId="5F419073" w14:textId="77777777" w:rsidR="00CD700F" w:rsidRPr="00A0517F" w:rsidRDefault="00CD700F" w:rsidP="008B1C85">
            <w:pPr>
              <w:pStyle w:val="Tabletext"/>
              <w:jc w:val="center"/>
              <w:rPr>
                <w:rFonts w:cstheme="minorHAnsi"/>
              </w:rPr>
            </w:pPr>
            <w:r w:rsidRPr="00A0517F">
              <w:rPr>
                <w:rFonts w:cstheme="minorHAnsi"/>
              </w:rPr>
              <w:t>GPP</w:t>
            </w:r>
          </w:p>
        </w:tc>
      </w:tr>
      <w:tr w:rsidR="00CD700F" w:rsidRPr="00A0517F" w14:paraId="7E8707FF" w14:textId="77777777" w:rsidTr="0099709F">
        <w:tc>
          <w:tcPr>
            <w:tcW w:w="1126" w:type="dxa"/>
            <w:vMerge/>
            <w:tcBorders>
              <w:left w:val="single" w:sz="4" w:space="0" w:color="auto"/>
              <w:right w:val="single" w:sz="4" w:space="0" w:color="auto"/>
            </w:tcBorders>
          </w:tcPr>
          <w:p w14:paraId="100278AA" w14:textId="77777777" w:rsidR="00CD700F" w:rsidRPr="00A0517F" w:rsidRDefault="00CD700F" w:rsidP="008B1C85">
            <w:pPr>
              <w:pStyle w:val="Tabletext"/>
              <w:rPr>
                <w:rFonts w:cstheme="minorHAnsi"/>
              </w:rPr>
            </w:pPr>
          </w:p>
        </w:tc>
        <w:tc>
          <w:tcPr>
            <w:tcW w:w="6652" w:type="dxa"/>
            <w:tcBorders>
              <w:top w:val="single" w:sz="4" w:space="0" w:color="auto"/>
              <w:left w:val="single" w:sz="4" w:space="0" w:color="auto"/>
              <w:bottom w:val="single" w:sz="4" w:space="0" w:color="auto"/>
              <w:right w:val="single" w:sz="4" w:space="0" w:color="auto"/>
            </w:tcBorders>
          </w:tcPr>
          <w:p w14:paraId="49DBDA37" w14:textId="77777777" w:rsidR="00CD700F" w:rsidRPr="00A0517F" w:rsidRDefault="00CD700F" w:rsidP="008B1C85">
            <w:pPr>
              <w:pStyle w:val="Tabletext"/>
              <w:rPr>
                <w:rFonts w:cstheme="minorHAnsi"/>
              </w:rPr>
            </w:pPr>
            <w:r w:rsidRPr="00A0517F">
              <w:rPr>
                <w:rFonts w:cstheme="minorHAnsi"/>
              </w:rPr>
              <w:t>In children with an intermediate probability of asthma who can perform spirometry and have no evidence of airways obstruction:</w:t>
            </w:r>
          </w:p>
          <w:p w14:paraId="124F3C43" w14:textId="77777777" w:rsidR="00CD700F" w:rsidRPr="00A0517F" w:rsidRDefault="00CD700F" w:rsidP="00CD700F">
            <w:pPr>
              <w:pStyle w:val="Tablebullet"/>
            </w:pPr>
            <w:r w:rsidRPr="00A0517F">
              <w:t>consider testing for atopic status, bronchodilator reversibility and if possible, bronchial hyper-responsiveness using methacholine, exercise or mannitol</w:t>
            </w:r>
          </w:p>
          <w:p w14:paraId="04C7865F" w14:textId="77777777" w:rsidR="00CD700F" w:rsidRPr="00A0517F" w:rsidRDefault="00CD700F" w:rsidP="00CD700F">
            <w:pPr>
              <w:pStyle w:val="Tablebullet"/>
            </w:pPr>
            <w:r w:rsidRPr="00A0517F">
              <w:t>consider specialist referral.</w:t>
            </w:r>
          </w:p>
        </w:tc>
        <w:tc>
          <w:tcPr>
            <w:tcW w:w="1509" w:type="dxa"/>
            <w:tcBorders>
              <w:top w:val="single" w:sz="4" w:space="0" w:color="auto"/>
              <w:left w:val="single" w:sz="4" w:space="0" w:color="auto"/>
              <w:bottom w:val="single" w:sz="4" w:space="0" w:color="auto"/>
              <w:right w:val="single" w:sz="4" w:space="0" w:color="auto"/>
            </w:tcBorders>
          </w:tcPr>
          <w:p w14:paraId="757AAE8B" w14:textId="77777777" w:rsidR="00CD700F" w:rsidRPr="00A0517F" w:rsidRDefault="00CD700F" w:rsidP="008B1C85">
            <w:pPr>
              <w:pStyle w:val="Tabletext"/>
              <w:jc w:val="center"/>
              <w:rPr>
                <w:rFonts w:cstheme="minorHAnsi"/>
              </w:rPr>
            </w:pPr>
            <w:r w:rsidRPr="00A0517F">
              <w:rPr>
                <w:rFonts w:cstheme="minorHAnsi"/>
              </w:rPr>
              <w:t>C</w:t>
            </w:r>
          </w:p>
        </w:tc>
      </w:tr>
      <w:tr w:rsidR="00CD700F" w:rsidRPr="00A0517F" w14:paraId="72D2784F" w14:textId="77777777" w:rsidTr="0099709F">
        <w:tc>
          <w:tcPr>
            <w:tcW w:w="1126" w:type="dxa"/>
            <w:vMerge/>
            <w:tcBorders>
              <w:left w:val="single" w:sz="4" w:space="0" w:color="auto"/>
              <w:bottom w:val="single" w:sz="4" w:space="0" w:color="auto"/>
              <w:right w:val="single" w:sz="4" w:space="0" w:color="auto"/>
            </w:tcBorders>
          </w:tcPr>
          <w:p w14:paraId="1D4ACB6F" w14:textId="77777777" w:rsidR="00CD700F" w:rsidRPr="00A0517F" w:rsidRDefault="00CD700F" w:rsidP="008B1C85">
            <w:pPr>
              <w:pStyle w:val="Tabletext"/>
              <w:rPr>
                <w:rFonts w:cstheme="minorHAnsi"/>
              </w:rPr>
            </w:pPr>
          </w:p>
        </w:tc>
        <w:tc>
          <w:tcPr>
            <w:tcW w:w="6652" w:type="dxa"/>
            <w:tcBorders>
              <w:top w:val="single" w:sz="4" w:space="0" w:color="auto"/>
              <w:left w:val="single" w:sz="4" w:space="0" w:color="auto"/>
              <w:bottom w:val="single" w:sz="4" w:space="0" w:color="auto"/>
              <w:right w:val="single" w:sz="4" w:space="0" w:color="auto"/>
            </w:tcBorders>
          </w:tcPr>
          <w:p w14:paraId="596B164C" w14:textId="77777777" w:rsidR="00CD700F" w:rsidRPr="00A0517F" w:rsidRDefault="00CD700F" w:rsidP="008B1C85">
            <w:pPr>
              <w:pStyle w:val="Tabletext"/>
              <w:rPr>
                <w:rFonts w:cstheme="minorHAnsi"/>
              </w:rPr>
            </w:pPr>
            <w:r w:rsidRPr="00A0517F">
              <w:rPr>
                <w:rFonts w:cstheme="minorHAnsi"/>
              </w:rPr>
              <w:t>In children with an intermediate probability of asthma who cannot perform spirometry, offer a trial of treatment for a specified period:</w:t>
            </w:r>
          </w:p>
          <w:p w14:paraId="7C434B8E" w14:textId="77777777" w:rsidR="00CD700F" w:rsidRPr="00A0517F" w:rsidRDefault="00CD700F" w:rsidP="008B1C85">
            <w:pPr>
              <w:pStyle w:val="06Tablebullet"/>
              <w:rPr>
                <w:rFonts w:asciiTheme="minorHAnsi" w:hAnsiTheme="minorHAnsi" w:cstheme="minorHAnsi"/>
              </w:rPr>
            </w:pPr>
            <w:r w:rsidRPr="00A0517F">
              <w:rPr>
                <w:rFonts w:asciiTheme="minorHAnsi" w:hAnsiTheme="minorHAnsi" w:cstheme="minorHAnsi"/>
              </w:rPr>
              <w:t>if treatment is beneficial, treat as asthma and arrange a review</w:t>
            </w:r>
          </w:p>
          <w:p w14:paraId="3CB680A5" w14:textId="77777777" w:rsidR="00CD700F" w:rsidRPr="00A0517F" w:rsidRDefault="00CD700F" w:rsidP="008B1C85">
            <w:pPr>
              <w:pStyle w:val="06Tablebullet"/>
              <w:rPr>
                <w:rFonts w:asciiTheme="minorHAnsi" w:hAnsiTheme="minorHAnsi" w:cstheme="minorHAnsi"/>
              </w:rPr>
            </w:pPr>
            <w:r w:rsidRPr="00A0517F">
              <w:rPr>
                <w:rFonts w:asciiTheme="minorHAnsi" w:hAnsiTheme="minorHAnsi" w:cstheme="minorHAnsi"/>
              </w:rPr>
              <w:t>if treatment is not beneficial, stop asthma treatment, and consider tests for alternative conditions and specialist referral.</w:t>
            </w:r>
          </w:p>
        </w:tc>
        <w:tc>
          <w:tcPr>
            <w:tcW w:w="1509" w:type="dxa"/>
            <w:tcBorders>
              <w:top w:val="single" w:sz="4" w:space="0" w:color="auto"/>
              <w:left w:val="single" w:sz="4" w:space="0" w:color="auto"/>
              <w:bottom w:val="single" w:sz="4" w:space="0" w:color="auto"/>
              <w:right w:val="single" w:sz="4" w:space="0" w:color="auto"/>
            </w:tcBorders>
          </w:tcPr>
          <w:p w14:paraId="40720FBC" w14:textId="77777777" w:rsidR="00CD700F" w:rsidRPr="00A0517F" w:rsidRDefault="00CD700F" w:rsidP="008B1C85">
            <w:pPr>
              <w:pStyle w:val="Tabletext"/>
              <w:jc w:val="center"/>
              <w:rPr>
                <w:rFonts w:cstheme="minorHAnsi"/>
              </w:rPr>
            </w:pPr>
            <w:r w:rsidRPr="00A0517F">
              <w:rPr>
                <w:rFonts w:cstheme="minorHAnsi"/>
              </w:rPr>
              <w:t>GPP</w:t>
            </w:r>
          </w:p>
        </w:tc>
      </w:tr>
    </w:tbl>
    <w:p w14:paraId="0F5E66D0" w14:textId="44F676DE" w:rsidR="008B1C85" w:rsidRDefault="008B1C85" w:rsidP="008B1C85">
      <w:pPr>
        <w:pStyle w:val="08Tablefootnotes"/>
      </w:pPr>
      <w:r>
        <w:t xml:space="preserve">Notes: Grade C = A body of evidence including studies rated as 2+, directly applicable to the target population and demonstrating overall consistency of results; or extrapolated evidence from studies rated as 2++; Grade D = Evidence level 3 or 4; or extrapolated evidence from </w:t>
      </w:r>
      <w:r>
        <w:lastRenderedPageBreak/>
        <w:t xml:space="preserve">studies rated as 2+; GPP = Recommended best practice based on the clinical experience of the Guideline Development Group. See </w:t>
      </w:r>
      <w:r>
        <w:fldChar w:fldCharType="begin"/>
      </w:r>
      <w:r>
        <w:instrText xml:space="preserve"> REF _Ref442432105 \n \h </w:instrText>
      </w:r>
      <w:r>
        <w:fldChar w:fldCharType="separate"/>
      </w:r>
      <w:r w:rsidR="00F2203C">
        <w:t>0</w:t>
      </w:r>
      <w:r>
        <w:fldChar w:fldCharType="end"/>
      </w:r>
      <w:r>
        <w:t xml:space="preserve"> for a guide to the levels of evidence.</w:t>
      </w:r>
    </w:p>
    <w:p w14:paraId="339AF3A2" w14:textId="77777777" w:rsidR="008B1C85" w:rsidRDefault="008B1C85" w:rsidP="008B1C85">
      <w:pPr>
        <w:pStyle w:val="09Tablefootnoteslast-nostick"/>
      </w:pPr>
      <w:r>
        <w:t>Abbreviations: FEV</w:t>
      </w:r>
      <w:r>
        <w:rPr>
          <w:vertAlign w:val="subscript"/>
        </w:rPr>
        <w:t>1</w:t>
      </w:r>
      <w:r>
        <w:t>, forced expiratory volume in 1 second; GPP, Good Practice Point; PEF, peak expiratory flow.</w:t>
      </w:r>
    </w:p>
    <w:p w14:paraId="5A815EEC" w14:textId="77777777" w:rsidR="008B1C85" w:rsidRPr="009F58DB" w:rsidRDefault="008B1C85" w:rsidP="009F58DB">
      <w:pPr>
        <w:rPr>
          <w:b/>
        </w:rPr>
      </w:pPr>
      <w:r w:rsidRPr="009F58DB">
        <w:rPr>
          <w:b/>
        </w:rPr>
        <w:t>Chronic Obstructive Pulmonary Disease (COPD)</w:t>
      </w:r>
    </w:p>
    <w:p w14:paraId="3023721B" w14:textId="77777777" w:rsidR="008B1C85" w:rsidRPr="00CB24CB" w:rsidRDefault="008B1C85" w:rsidP="00CB5570">
      <w:pPr>
        <w:pStyle w:val="AttHeading5"/>
      </w:pPr>
      <w:r w:rsidRPr="00CB24CB">
        <w:t>Lung Foundation Australia /Thoracic Society of Australia and New Zealand (2015)</w:t>
      </w:r>
    </w:p>
    <w:p w14:paraId="5ADD3EA3" w14:textId="77777777" w:rsidR="008B1C85" w:rsidRDefault="008B1C85" w:rsidP="008B1C85">
      <w:r>
        <w:t xml:space="preserve">The LFA/TSANZ (2015) guideline reiterates the finding of a systematic review (Wilt et al, 2005), stating that spirometry, in additional to clinical examination, improves the diagnostic accuracy of COPD compared to clinical </w:t>
      </w:r>
      <w:r w:rsidRPr="00145AD4">
        <w:t xml:space="preserve">examination alone (refer to Section </w:t>
      </w:r>
      <w:r w:rsidR="009F58DB">
        <w:t>2.4.1</w:t>
      </w:r>
      <w:r w:rsidRPr="00145AD4">
        <w:t xml:space="preserve"> for further discussion of the Wilt review).</w:t>
      </w:r>
    </w:p>
    <w:p w14:paraId="74B8E255" w14:textId="77777777" w:rsidR="008B1C85" w:rsidRPr="001B0F61" w:rsidRDefault="008B1C85" w:rsidP="008B1C85">
      <w:r>
        <w:t>The guideline also highlights the fact that airflow limitation identified through spirometry can be classified according to several criteria. Spirometric airflow limitation is most commonly defined using an FEV</w:t>
      </w:r>
      <w:r>
        <w:rPr>
          <w:vertAlign w:val="subscript"/>
        </w:rPr>
        <w:t>1</w:t>
      </w:r>
      <w:r>
        <w:t xml:space="preserve">/FVC ratio cut-off (usually 0.7) or a comparison with the LLN. The guideline emphasises that the former may lead to over-diagnosis of COPD in older populations, under-diagnosis in younger population, and may lead to gender imbalances (women have higher </w:t>
      </w:r>
      <w:r w:rsidRPr="00936EA9">
        <w:t>FEV</w:t>
      </w:r>
      <w:r w:rsidRPr="00936EA9">
        <w:rPr>
          <w:vertAlign w:val="subscript"/>
        </w:rPr>
        <w:t>1</w:t>
      </w:r>
      <w:r>
        <w:t>/</w:t>
      </w:r>
      <w:r w:rsidRPr="00936EA9">
        <w:t>FVC</w:t>
      </w:r>
      <w:r>
        <w:t xml:space="preserve"> than males).</w:t>
      </w:r>
    </w:p>
    <w:p w14:paraId="73CFBF07" w14:textId="77777777" w:rsidR="008B1C85" w:rsidRDefault="008B1C85" w:rsidP="008B1C85">
      <w:r>
        <w:t>A systematic review</w:t>
      </w:r>
      <w:r w:rsidRPr="005601E2">
        <w:t xml:space="preserve"> </w:t>
      </w:r>
      <w:r>
        <w:t xml:space="preserve">was identified </w:t>
      </w:r>
      <w:r w:rsidRPr="005601E2">
        <w:t>that examined the relationship between FEV</w:t>
      </w:r>
      <w:r w:rsidRPr="005601E2">
        <w:rPr>
          <w:vertAlign w:val="subscript"/>
        </w:rPr>
        <w:t>1</w:t>
      </w:r>
      <w:r w:rsidRPr="005601E2">
        <w:t>/FVC ratio and LLN with clinical outcomes</w:t>
      </w:r>
      <w:r>
        <w:t>. The systematic review, which included 11 studies,</w:t>
      </w:r>
      <w:r w:rsidRPr="005601E2">
        <w:t xml:space="preserve"> found </w:t>
      </w:r>
      <w:r>
        <w:t xml:space="preserve">that </w:t>
      </w:r>
      <w:r w:rsidRPr="005601E2">
        <w:t xml:space="preserve">both </w:t>
      </w:r>
      <w:r>
        <w:t xml:space="preserve">measures </w:t>
      </w:r>
      <w:r w:rsidRPr="005601E2">
        <w:t xml:space="preserve">were related to clinical outcomes and concluded that </w:t>
      </w:r>
      <w:r>
        <w:t xml:space="preserve">neither approach </w:t>
      </w:r>
      <w:r w:rsidRPr="005601E2">
        <w:t>could be preferred over the other</w:t>
      </w:r>
      <w:r>
        <w:t xml:space="preserve"> (van Dijk et al, 2014)</w:t>
      </w:r>
      <w:r w:rsidRPr="005601E2">
        <w:t>.</w:t>
      </w:r>
    </w:p>
    <w:p w14:paraId="03E05BF8" w14:textId="77777777" w:rsidR="008B1C85" w:rsidRPr="00D0316E" w:rsidRDefault="008B1C85" w:rsidP="008B1C85">
      <w:r>
        <w:t>Two evidence statements relevant to spirometry and the diagnosis of COPD were included in the guideline and are shown in</w:t>
      </w:r>
      <w:r w:rsidR="008315B2">
        <w:t xml:space="preserve"> Table 15</w:t>
      </w:r>
      <w:r>
        <w:t>.</w:t>
      </w:r>
    </w:p>
    <w:p w14:paraId="5134E646" w14:textId="41055BE3" w:rsidR="008B1C85" w:rsidRDefault="008315B2" w:rsidP="005C3A85">
      <w:pPr>
        <w:pStyle w:val="Appcaption"/>
      </w:pPr>
      <w:r>
        <w:t xml:space="preserve">Table </w:t>
      </w:r>
      <w:fldSimple w:instr=" SEQ Title \* ARABIC ">
        <w:r w:rsidR="00F2203C">
          <w:rPr>
            <w:noProof/>
          </w:rPr>
          <w:t>15</w:t>
        </w:r>
      </w:fldSimple>
      <w:r w:rsidR="008B1C85">
        <w:rPr>
          <w:noProof/>
        </w:rPr>
        <w:t xml:space="preserve"> </w:t>
      </w:r>
      <w:r w:rsidR="008B1C85">
        <w:rPr>
          <w:noProof/>
        </w:rPr>
        <w:tab/>
        <w:t>LFA/TSANZ (2015):</w:t>
      </w:r>
      <w:r w:rsidR="008B1C85">
        <w:t xml:space="preserve"> Evidence statements relating to spirometry and the diagnosis of COPD</w:t>
      </w:r>
    </w:p>
    <w:tbl>
      <w:tblPr>
        <w:tblStyle w:val="TableGrid"/>
        <w:tblW w:w="0" w:type="auto"/>
        <w:tblLook w:val="04A0" w:firstRow="1" w:lastRow="0" w:firstColumn="1" w:lastColumn="0" w:noHBand="0" w:noVBand="1"/>
        <w:tblDescription w:val="Appendix C table 15 list the 2015 Lung Foundation Australia / Thoracic Society of Australia and New Zealand (FA/TSANZ) relating to levels of spirometry and Chronic Obstructive Pulmonary Disease (COPD) diagnosis.  This table contains 2 column headings: 1. Evidence statements and 2. Evidence levels. "/>
      </w:tblPr>
      <w:tblGrid>
        <w:gridCol w:w="7366"/>
        <w:gridCol w:w="1695"/>
      </w:tblGrid>
      <w:tr w:rsidR="008B1C85" w14:paraId="04539980" w14:textId="77777777" w:rsidTr="00FF6AB5">
        <w:trPr>
          <w:tblHeader/>
        </w:trPr>
        <w:tc>
          <w:tcPr>
            <w:tcW w:w="7366" w:type="dxa"/>
            <w:tcBorders>
              <w:top w:val="single" w:sz="4" w:space="0" w:color="auto"/>
              <w:left w:val="single" w:sz="4" w:space="0" w:color="auto"/>
              <w:bottom w:val="single" w:sz="4" w:space="0" w:color="auto"/>
              <w:right w:val="single" w:sz="4" w:space="0" w:color="auto"/>
            </w:tcBorders>
          </w:tcPr>
          <w:p w14:paraId="7572F992" w14:textId="77777777" w:rsidR="008B1C85" w:rsidRPr="004C005F" w:rsidRDefault="008B1C85" w:rsidP="0099709F">
            <w:pPr>
              <w:pStyle w:val="Tableheading"/>
            </w:pPr>
            <w:r w:rsidRPr="004C005F">
              <w:t>Evidence statements</w:t>
            </w:r>
          </w:p>
        </w:tc>
        <w:tc>
          <w:tcPr>
            <w:tcW w:w="1695" w:type="dxa"/>
            <w:tcBorders>
              <w:top w:val="single" w:sz="4" w:space="0" w:color="auto"/>
              <w:left w:val="single" w:sz="4" w:space="0" w:color="auto"/>
              <w:bottom w:val="single" w:sz="4" w:space="0" w:color="auto"/>
              <w:right w:val="single" w:sz="4" w:space="0" w:color="auto"/>
            </w:tcBorders>
            <w:hideMark/>
          </w:tcPr>
          <w:p w14:paraId="56DD56B1" w14:textId="77777777" w:rsidR="008B1C85" w:rsidRPr="004C005F" w:rsidRDefault="008B1C85" w:rsidP="0099709F">
            <w:pPr>
              <w:pStyle w:val="Tableheading"/>
            </w:pPr>
            <w:r w:rsidRPr="004C005F">
              <w:t>Evidence level</w:t>
            </w:r>
          </w:p>
        </w:tc>
      </w:tr>
      <w:tr w:rsidR="008B1C85" w14:paraId="7A8C05BA" w14:textId="77777777" w:rsidTr="008B1C85">
        <w:tc>
          <w:tcPr>
            <w:tcW w:w="7366" w:type="dxa"/>
            <w:tcBorders>
              <w:top w:val="single" w:sz="4" w:space="0" w:color="auto"/>
              <w:left w:val="single" w:sz="4" w:space="0" w:color="auto"/>
              <w:bottom w:val="single" w:sz="4" w:space="0" w:color="auto"/>
              <w:right w:val="single" w:sz="4" w:space="0" w:color="auto"/>
            </w:tcBorders>
          </w:tcPr>
          <w:p w14:paraId="163464C5" w14:textId="77777777" w:rsidR="008B1C85" w:rsidRPr="00CC2BEF" w:rsidRDefault="008B1C85" w:rsidP="008B1C85">
            <w:pPr>
              <w:pStyle w:val="Tabletext"/>
              <w:rPr>
                <w:i/>
              </w:rPr>
            </w:pPr>
            <w:r w:rsidRPr="0019382F">
              <w:t>The diagnosis of COPD rests on the demonstration of airflow limitation which is not fully reversible</w:t>
            </w:r>
            <w:r>
              <w:t xml:space="preserve"> </w:t>
            </w:r>
            <w:r>
              <w:rPr>
                <w:i/>
              </w:rPr>
              <w:t>(NHLBI/WHO Workshop Report, April 2001)</w:t>
            </w:r>
          </w:p>
        </w:tc>
        <w:tc>
          <w:tcPr>
            <w:tcW w:w="1695" w:type="dxa"/>
            <w:tcBorders>
              <w:top w:val="single" w:sz="4" w:space="0" w:color="auto"/>
              <w:left w:val="single" w:sz="4" w:space="0" w:color="auto"/>
              <w:bottom w:val="single" w:sz="4" w:space="0" w:color="auto"/>
              <w:right w:val="single" w:sz="4" w:space="0" w:color="auto"/>
            </w:tcBorders>
          </w:tcPr>
          <w:p w14:paraId="730AA5EA" w14:textId="77777777" w:rsidR="008B1C85" w:rsidRPr="00EA3E05" w:rsidRDefault="008B1C85" w:rsidP="008B1C85">
            <w:pPr>
              <w:pStyle w:val="Tabletext"/>
              <w:jc w:val="center"/>
            </w:pPr>
            <w:r>
              <w:t>II</w:t>
            </w:r>
          </w:p>
        </w:tc>
      </w:tr>
      <w:tr w:rsidR="008B1C85" w14:paraId="6EB7E3D6" w14:textId="77777777" w:rsidTr="008B1C85">
        <w:tc>
          <w:tcPr>
            <w:tcW w:w="7366" w:type="dxa"/>
            <w:tcBorders>
              <w:top w:val="single" w:sz="4" w:space="0" w:color="auto"/>
              <w:left w:val="single" w:sz="4" w:space="0" w:color="auto"/>
              <w:bottom w:val="single" w:sz="4" w:space="0" w:color="auto"/>
              <w:right w:val="single" w:sz="4" w:space="0" w:color="auto"/>
            </w:tcBorders>
          </w:tcPr>
          <w:p w14:paraId="68C4BD5C" w14:textId="77777777" w:rsidR="008B1C85" w:rsidRPr="00CC2BEF" w:rsidRDefault="008B1C85" w:rsidP="008B1C85">
            <w:pPr>
              <w:pStyle w:val="Tabletext"/>
              <w:rPr>
                <w:i/>
              </w:rPr>
            </w:pPr>
            <w:r w:rsidRPr="0019382F">
              <w:t>It is important in general practice settings to obtain accurate spirometric assessment</w:t>
            </w:r>
            <w:r>
              <w:t xml:space="preserve"> </w:t>
            </w:r>
            <w:r>
              <w:rPr>
                <w:i/>
              </w:rPr>
              <w:t>(Walters, 2011)</w:t>
            </w:r>
          </w:p>
        </w:tc>
        <w:tc>
          <w:tcPr>
            <w:tcW w:w="1695" w:type="dxa"/>
            <w:tcBorders>
              <w:top w:val="single" w:sz="4" w:space="0" w:color="auto"/>
              <w:left w:val="single" w:sz="4" w:space="0" w:color="auto"/>
              <w:bottom w:val="single" w:sz="4" w:space="0" w:color="auto"/>
              <w:right w:val="single" w:sz="4" w:space="0" w:color="auto"/>
            </w:tcBorders>
          </w:tcPr>
          <w:p w14:paraId="5EA157F3" w14:textId="77777777" w:rsidR="008B1C85" w:rsidRPr="00EA3E05" w:rsidRDefault="008B1C85" w:rsidP="008B1C85">
            <w:pPr>
              <w:pStyle w:val="Tabletext"/>
              <w:jc w:val="center"/>
            </w:pPr>
            <w:r>
              <w:t>III-3</w:t>
            </w:r>
          </w:p>
        </w:tc>
      </w:tr>
    </w:tbl>
    <w:p w14:paraId="1FAC6B6D" w14:textId="77777777" w:rsidR="008B1C85" w:rsidRDefault="008B1C85" w:rsidP="008B1C85">
      <w:pPr>
        <w:pStyle w:val="08Tablefootnotes"/>
      </w:pPr>
      <w:r>
        <w:t>Note: II = Evidence obtained from at least one properly designed randomised controlled trial; III-3 = Evidence obtained from comparative studies with historical controls, two or more single-arm studies, or interrupted time series without a parallel group.</w:t>
      </w:r>
    </w:p>
    <w:p w14:paraId="34A1F09E" w14:textId="77777777" w:rsidR="008B1C85" w:rsidRDefault="008B1C85" w:rsidP="008B1C85">
      <w:pPr>
        <w:pStyle w:val="09Tablefootnoteslast-nostick"/>
      </w:pPr>
      <w:r>
        <w:t>Abbreviations: COPD, chronic obstructive pulmonary disease; NHLBI, National Heart, Lung and Blood Institute; WHO, World Health Organization.</w:t>
      </w:r>
    </w:p>
    <w:p w14:paraId="4398A3D5" w14:textId="77777777" w:rsidR="008B1C85" w:rsidRPr="00881BDB" w:rsidRDefault="008B1C85" w:rsidP="00B50F00">
      <w:r w:rsidRPr="00881BDB">
        <w:t xml:space="preserve">According to the LFA/TSANZ guideline, response to bronchodilators is determined in order to: (i) assign a level of severity of airflow obstruction (post-bronchodilator); and (ii) help confirm asthma. In relation to reversibility testing, the LFA/TSANZ guideline provided the following advice: </w:t>
      </w:r>
      <w:r w:rsidRPr="00881BDB">
        <w:rPr>
          <w:i/>
        </w:rPr>
        <w:t>if airflow limitation is fully or substantially reversible, (FEV</w:t>
      </w:r>
      <w:r w:rsidRPr="00881BDB">
        <w:rPr>
          <w:i/>
          <w:vertAlign w:val="subscript"/>
        </w:rPr>
        <w:t>1</w:t>
      </w:r>
      <w:r w:rsidRPr="00881BDB">
        <w:rPr>
          <w:i/>
        </w:rPr>
        <w:t xml:space="preserve"> response to bronchodilator &gt;400 mL), the patient should be treated as for asthma.</w:t>
      </w:r>
      <w:r w:rsidRPr="00881BDB">
        <w:rPr>
          <w:rStyle w:val="FootnoteReference"/>
        </w:rPr>
        <w:footnoteReference w:id="12"/>
      </w:r>
      <w:r w:rsidRPr="00881BDB">
        <w:t xml:space="preserve"> Furthermore, the guideline stated that an increase in FEV</w:t>
      </w:r>
      <w:r w:rsidRPr="00881BDB">
        <w:rPr>
          <w:vertAlign w:val="subscript"/>
        </w:rPr>
        <w:t>1</w:t>
      </w:r>
      <w:r w:rsidRPr="00881BDB">
        <w:t xml:space="preserve"> of more than 12% and 200 mL is greater than average day-to-day variability and is unlikely to occur by chance.</w:t>
      </w:r>
      <w:r w:rsidRPr="00881BDB">
        <w:rPr>
          <w:rStyle w:val="FootnoteReference"/>
        </w:rPr>
        <w:footnoteReference w:id="13"/>
      </w:r>
    </w:p>
    <w:p w14:paraId="51D1F254" w14:textId="77777777" w:rsidR="008B1C85" w:rsidRPr="00CB24CB" w:rsidRDefault="008B1C85" w:rsidP="00CB5570">
      <w:pPr>
        <w:pStyle w:val="AttHeading5"/>
      </w:pPr>
      <w:r w:rsidRPr="00CB24CB">
        <w:lastRenderedPageBreak/>
        <w:t>Abramson (2014) – Lung Foundation Australia /Thoracic Society of Australia and New Zealand</w:t>
      </w:r>
    </w:p>
    <w:p w14:paraId="7E4A5315" w14:textId="77777777" w:rsidR="008B1C85" w:rsidRPr="00881BDB" w:rsidRDefault="008B1C85" w:rsidP="00B50F00">
      <w:r w:rsidRPr="00881BDB">
        <w:t>The Concise Guide by Abramson et al (2014) recommends the measurement of pre- and post-bronchodilator spirometry to confirm COPD, with the basis of diagnosis being post-bronchodilator levels and persistent airflow limitation. The evidence statements, relating to spirometry and reversibility testing are shown in</w:t>
      </w:r>
      <w:r w:rsidR="008315B2">
        <w:t xml:space="preserve"> Table 16</w:t>
      </w:r>
      <w:r w:rsidRPr="00881BDB">
        <w:t>.</w:t>
      </w:r>
    </w:p>
    <w:p w14:paraId="04625347" w14:textId="596F7430" w:rsidR="008B1C85" w:rsidRDefault="008315B2" w:rsidP="005C3A85">
      <w:pPr>
        <w:pStyle w:val="Appcaption"/>
      </w:pPr>
      <w:r>
        <w:t xml:space="preserve">Table </w:t>
      </w:r>
      <w:fldSimple w:instr=" SEQ Title \* ARABIC ">
        <w:r w:rsidR="00F2203C">
          <w:rPr>
            <w:noProof/>
          </w:rPr>
          <w:t>16</w:t>
        </w:r>
      </w:fldSimple>
      <w:r w:rsidR="008B1C85">
        <w:rPr>
          <w:noProof/>
        </w:rPr>
        <w:tab/>
        <w:t>Abramson (2014):</w:t>
      </w:r>
      <w:r w:rsidR="008B1C85">
        <w:t xml:space="preserve"> Evidence statements relating to spirometry and the diagnosis of COPD</w:t>
      </w:r>
    </w:p>
    <w:tbl>
      <w:tblPr>
        <w:tblStyle w:val="TableGrid"/>
        <w:tblW w:w="0" w:type="auto"/>
        <w:tblLook w:val="04A0" w:firstRow="1" w:lastRow="0" w:firstColumn="1" w:lastColumn="0" w:noHBand="0" w:noVBand="1"/>
        <w:tblDescription w:val="Appendix C table 16 list the 2014 Abramson relating to levels of spirometry and Chronic Obstructive Pulmonary Disease (COPD) diagnosis.  This table contains 2 column headings: 1. Evidence statements and 2. Evidence levels. "/>
      </w:tblPr>
      <w:tblGrid>
        <w:gridCol w:w="6799"/>
        <w:gridCol w:w="2262"/>
      </w:tblGrid>
      <w:tr w:rsidR="008B1C85" w14:paraId="11977F18" w14:textId="77777777" w:rsidTr="00FF6AB5">
        <w:trPr>
          <w:tblHeader/>
        </w:trPr>
        <w:tc>
          <w:tcPr>
            <w:tcW w:w="6799" w:type="dxa"/>
            <w:tcBorders>
              <w:top w:val="single" w:sz="4" w:space="0" w:color="auto"/>
              <w:left w:val="single" w:sz="4" w:space="0" w:color="auto"/>
              <w:bottom w:val="single" w:sz="4" w:space="0" w:color="auto"/>
              <w:right w:val="single" w:sz="4" w:space="0" w:color="auto"/>
            </w:tcBorders>
          </w:tcPr>
          <w:p w14:paraId="4B218E01" w14:textId="77777777" w:rsidR="008B1C85" w:rsidRPr="004C005F" w:rsidRDefault="008B1C85" w:rsidP="0099709F">
            <w:pPr>
              <w:pStyle w:val="Tableheading"/>
            </w:pPr>
            <w:r w:rsidRPr="004C005F">
              <w:t>Evidence statements</w:t>
            </w:r>
          </w:p>
        </w:tc>
        <w:tc>
          <w:tcPr>
            <w:tcW w:w="2262" w:type="dxa"/>
            <w:tcBorders>
              <w:top w:val="single" w:sz="4" w:space="0" w:color="auto"/>
              <w:left w:val="single" w:sz="4" w:space="0" w:color="auto"/>
              <w:bottom w:val="single" w:sz="4" w:space="0" w:color="auto"/>
              <w:right w:val="single" w:sz="4" w:space="0" w:color="auto"/>
            </w:tcBorders>
            <w:hideMark/>
          </w:tcPr>
          <w:p w14:paraId="61519394" w14:textId="77777777" w:rsidR="008B1C85" w:rsidRPr="004C005F" w:rsidRDefault="008B1C85" w:rsidP="0099709F">
            <w:pPr>
              <w:pStyle w:val="Tableheading"/>
            </w:pPr>
            <w:r w:rsidRPr="004C005F">
              <w:t>Evidence level</w:t>
            </w:r>
          </w:p>
        </w:tc>
      </w:tr>
      <w:tr w:rsidR="008B1C85" w14:paraId="3FE16950" w14:textId="77777777" w:rsidTr="008B1C85">
        <w:tc>
          <w:tcPr>
            <w:tcW w:w="6799" w:type="dxa"/>
            <w:tcBorders>
              <w:top w:val="single" w:sz="4" w:space="0" w:color="auto"/>
              <w:left w:val="single" w:sz="4" w:space="0" w:color="auto"/>
              <w:bottom w:val="single" w:sz="4" w:space="0" w:color="auto"/>
              <w:right w:val="single" w:sz="4" w:space="0" w:color="auto"/>
            </w:tcBorders>
          </w:tcPr>
          <w:p w14:paraId="7BF36587" w14:textId="77777777" w:rsidR="008B1C85" w:rsidRPr="00CC2BEF" w:rsidRDefault="008B1C85" w:rsidP="008B1C85">
            <w:pPr>
              <w:pStyle w:val="Tabletext"/>
              <w:rPr>
                <w:i/>
              </w:rPr>
            </w:pPr>
            <w:r>
              <w:t>COPD is confirmed by the presence of persistent airflow limitation [post-bronchodilator FEV</w:t>
            </w:r>
            <w:r>
              <w:rPr>
                <w:vertAlign w:val="subscript"/>
              </w:rPr>
              <w:t>1</w:t>
            </w:r>
            <w:r>
              <w:t xml:space="preserve">/FVC &lt; 0.7] </w:t>
            </w:r>
            <w:r>
              <w:rPr>
                <w:i/>
              </w:rPr>
              <w:t>(NHLBI/WHO Workshop Report, April 2001).</w:t>
            </w:r>
          </w:p>
        </w:tc>
        <w:tc>
          <w:tcPr>
            <w:tcW w:w="2262" w:type="dxa"/>
            <w:tcBorders>
              <w:top w:val="single" w:sz="4" w:space="0" w:color="auto"/>
              <w:left w:val="single" w:sz="4" w:space="0" w:color="auto"/>
              <w:bottom w:val="single" w:sz="4" w:space="0" w:color="auto"/>
              <w:right w:val="single" w:sz="4" w:space="0" w:color="auto"/>
            </w:tcBorders>
          </w:tcPr>
          <w:p w14:paraId="438AD385" w14:textId="77777777" w:rsidR="008B1C85" w:rsidRPr="00EA3E05" w:rsidRDefault="008B1C85" w:rsidP="008B1C85">
            <w:pPr>
              <w:pStyle w:val="Tabletext"/>
              <w:jc w:val="center"/>
            </w:pPr>
            <w:r>
              <w:t>III-2</w:t>
            </w:r>
          </w:p>
        </w:tc>
      </w:tr>
      <w:tr w:rsidR="008B1C85" w14:paraId="31233791" w14:textId="77777777" w:rsidTr="008B1C85">
        <w:tc>
          <w:tcPr>
            <w:tcW w:w="6799" w:type="dxa"/>
            <w:tcBorders>
              <w:top w:val="single" w:sz="4" w:space="0" w:color="auto"/>
              <w:left w:val="single" w:sz="4" w:space="0" w:color="auto"/>
              <w:bottom w:val="single" w:sz="4" w:space="0" w:color="auto"/>
              <w:right w:val="single" w:sz="4" w:space="0" w:color="auto"/>
            </w:tcBorders>
          </w:tcPr>
          <w:p w14:paraId="4591ED4A" w14:textId="77777777" w:rsidR="008B1C85" w:rsidRDefault="008B1C85" w:rsidP="008B1C85">
            <w:pPr>
              <w:pStyle w:val="Tabletext"/>
            </w:pPr>
            <w:r>
              <w:t>If FEV</w:t>
            </w:r>
            <w:r>
              <w:rPr>
                <w:vertAlign w:val="subscript"/>
              </w:rPr>
              <w:t>1</w:t>
            </w:r>
            <w:r>
              <w:t xml:space="preserve"> increases &gt;400 mL following bronchodilator, consider asthma or asthma / COPD overlap </w:t>
            </w:r>
            <w:r>
              <w:rPr>
                <w:i/>
              </w:rPr>
              <w:t>(British Thoracic Society, 2008).</w:t>
            </w:r>
          </w:p>
        </w:tc>
        <w:tc>
          <w:tcPr>
            <w:tcW w:w="2262" w:type="dxa"/>
            <w:tcBorders>
              <w:top w:val="single" w:sz="4" w:space="0" w:color="auto"/>
              <w:left w:val="single" w:sz="4" w:space="0" w:color="auto"/>
              <w:bottom w:val="single" w:sz="4" w:space="0" w:color="auto"/>
              <w:right w:val="single" w:sz="4" w:space="0" w:color="auto"/>
            </w:tcBorders>
          </w:tcPr>
          <w:p w14:paraId="0A4917D0" w14:textId="77777777" w:rsidR="008B1C85" w:rsidRDefault="008B1C85" w:rsidP="008B1C85">
            <w:pPr>
              <w:pStyle w:val="Tabletext"/>
              <w:jc w:val="center"/>
            </w:pPr>
            <w:r>
              <w:t>III-2</w:t>
            </w:r>
          </w:p>
        </w:tc>
      </w:tr>
      <w:tr w:rsidR="008B1C85" w14:paraId="329CD71B" w14:textId="77777777" w:rsidTr="008B1C85">
        <w:tc>
          <w:tcPr>
            <w:tcW w:w="6799" w:type="dxa"/>
            <w:tcBorders>
              <w:top w:val="single" w:sz="4" w:space="0" w:color="auto"/>
              <w:left w:val="single" w:sz="4" w:space="0" w:color="auto"/>
              <w:bottom w:val="single" w:sz="4" w:space="0" w:color="auto"/>
              <w:right w:val="single" w:sz="4" w:space="0" w:color="auto"/>
            </w:tcBorders>
          </w:tcPr>
          <w:p w14:paraId="2F178793" w14:textId="77777777" w:rsidR="008B1C85" w:rsidRDefault="008B1C85" w:rsidP="008B1C85">
            <w:pPr>
              <w:pStyle w:val="Tabletext"/>
            </w:pPr>
            <w:r>
              <w:t>An FEV</w:t>
            </w:r>
            <w:r w:rsidRPr="00B5627A">
              <w:rPr>
                <w:vertAlign w:val="subscript"/>
              </w:rPr>
              <w:t>1</w:t>
            </w:r>
            <w:r>
              <w:t xml:space="preserve"> increase ≥ 12% and ≥ 200 mL constitutes a positive bronchodilator response. An FEV</w:t>
            </w:r>
            <w:r w:rsidRPr="00B5627A">
              <w:rPr>
                <w:vertAlign w:val="subscript"/>
              </w:rPr>
              <w:t>1</w:t>
            </w:r>
            <w:r>
              <w:t xml:space="preserve"> increase &gt; 400 mL strongly suggests underlying asthma or asthma / COPD overlap </w:t>
            </w:r>
            <w:r>
              <w:rPr>
                <w:i/>
              </w:rPr>
              <w:t>(Pellegrino, 2005).</w:t>
            </w:r>
          </w:p>
        </w:tc>
        <w:tc>
          <w:tcPr>
            <w:tcW w:w="2262" w:type="dxa"/>
            <w:tcBorders>
              <w:top w:val="single" w:sz="4" w:space="0" w:color="auto"/>
              <w:left w:val="single" w:sz="4" w:space="0" w:color="auto"/>
              <w:bottom w:val="single" w:sz="4" w:space="0" w:color="auto"/>
              <w:right w:val="single" w:sz="4" w:space="0" w:color="auto"/>
            </w:tcBorders>
          </w:tcPr>
          <w:p w14:paraId="34B8DA56" w14:textId="77777777" w:rsidR="008B1C85" w:rsidRDefault="008B1C85" w:rsidP="008B1C85">
            <w:pPr>
              <w:pStyle w:val="Tabletext"/>
              <w:jc w:val="center"/>
            </w:pPr>
            <w:r>
              <w:t>III-2</w:t>
            </w:r>
          </w:p>
        </w:tc>
      </w:tr>
    </w:tbl>
    <w:p w14:paraId="45F4F3AF" w14:textId="77777777" w:rsidR="008B1C85" w:rsidRDefault="008B1C85" w:rsidP="008B1C85">
      <w:pPr>
        <w:pStyle w:val="08Tablefootnotes"/>
      </w:pPr>
      <w:r>
        <w:t>Note: III-2 = Evidence obtained from comparative studies (including systematic reviews of such studies) with concurrent controls and allocation not randomised, cohort studies, case control studies, or interrupted time series with a control group.</w:t>
      </w:r>
    </w:p>
    <w:p w14:paraId="61356859" w14:textId="77777777" w:rsidR="008B1C85" w:rsidRDefault="008B1C85" w:rsidP="008B1C85">
      <w:pPr>
        <w:pStyle w:val="09Tablefootnoteslast-nostick"/>
        <w:keepNext/>
      </w:pPr>
      <w:r>
        <w:t>Abbreviations: COPD, chronic obstructive pulmonary disease; FEV</w:t>
      </w:r>
      <w:r>
        <w:rPr>
          <w:vertAlign w:val="subscript"/>
        </w:rPr>
        <w:t>1</w:t>
      </w:r>
      <w:r>
        <w:t>, forced expiratory volume in 1 second; FVC, forced vital capacity; NA, not applicable.</w:t>
      </w:r>
    </w:p>
    <w:p w14:paraId="58F10E20" w14:textId="77777777" w:rsidR="008B1C85" w:rsidRDefault="008B1C85" w:rsidP="00B50F00">
      <w:r>
        <w:t>Abramson et al (2014) emphasise the importance of spirometry for diagnosis, stating that COPD cannot be diagnosed reliably on clinical features and/or chest x-ray findings alone. However, the guideline also acknowledges some limitations of complete reliance on spirometry, including the fact that many patients with COPD have some reversibility of airflow limitation with bronchodilators and that asthma and COPD can coexist in some patients. Clinical guidance relating to reversibility testing is shown in</w:t>
      </w:r>
      <w:r w:rsidR="008315B2">
        <w:t xml:space="preserve"> Table 17</w:t>
      </w:r>
      <w:r>
        <w:t>, with related practice tips in</w:t>
      </w:r>
      <w:r w:rsidR="008315B2">
        <w:t xml:space="preserve"> Table 18</w:t>
      </w:r>
      <w:r>
        <w:t>.</w:t>
      </w:r>
    </w:p>
    <w:p w14:paraId="32B7BBC4" w14:textId="5E889D92" w:rsidR="008B1C85" w:rsidRDefault="008315B2" w:rsidP="005C3A85">
      <w:pPr>
        <w:pStyle w:val="Appcaption"/>
      </w:pPr>
      <w:r>
        <w:t xml:space="preserve">Table </w:t>
      </w:r>
      <w:fldSimple w:instr=" SEQ Title \* ARABIC ">
        <w:r w:rsidR="00F2203C">
          <w:rPr>
            <w:noProof/>
          </w:rPr>
          <w:t>17</w:t>
        </w:r>
      </w:fldSimple>
      <w:r w:rsidR="008B1C85">
        <w:rPr>
          <w:noProof/>
        </w:rPr>
        <w:tab/>
        <w:t>Abramson (2014):</w:t>
      </w:r>
      <w:r w:rsidR="008B1C85">
        <w:t xml:space="preserve"> Recommendations relating to spirometry and the diagnosis of COPD</w:t>
      </w:r>
    </w:p>
    <w:tbl>
      <w:tblPr>
        <w:tblStyle w:val="TableGrid"/>
        <w:tblW w:w="0" w:type="auto"/>
        <w:tblLook w:val="04A0" w:firstRow="1" w:lastRow="0" w:firstColumn="1" w:lastColumn="0" w:noHBand="0" w:noVBand="1"/>
        <w:tblDescription w:val="Appendix C table 17 list the 2014 Abramson relating to levels of spirometry and Chronic Obstructive Pulmonary Disease (COPD) diagnosis.  This table contains 2 column headings: 1. Recommendations and 2. Grading of recommendations."/>
      </w:tblPr>
      <w:tblGrid>
        <w:gridCol w:w="7083"/>
        <w:gridCol w:w="1978"/>
      </w:tblGrid>
      <w:tr w:rsidR="008B1C85" w14:paraId="027F1DBD" w14:textId="77777777" w:rsidTr="00FF6AB5">
        <w:trPr>
          <w:tblHeader/>
        </w:trPr>
        <w:tc>
          <w:tcPr>
            <w:tcW w:w="7083" w:type="dxa"/>
            <w:tcBorders>
              <w:top w:val="single" w:sz="4" w:space="0" w:color="auto"/>
              <w:left w:val="single" w:sz="4" w:space="0" w:color="auto"/>
              <w:bottom w:val="single" w:sz="4" w:space="0" w:color="auto"/>
              <w:right w:val="single" w:sz="4" w:space="0" w:color="auto"/>
            </w:tcBorders>
          </w:tcPr>
          <w:p w14:paraId="4DAB1562" w14:textId="77777777" w:rsidR="008B1C85" w:rsidRPr="004C005F" w:rsidRDefault="008B1C85" w:rsidP="0099709F">
            <w:pPr>
              <w:pStyle w:val="Tableheading"/>
            </w:pPr>
            <w:r w:rsidRPr="004C005F">
              <w:t>Recommendations</w:t>
            </w:r>
          </w:p>
        </w:tc>
        <w:tc>
          <w:tcPr>
            <w:tcW w:w="1978" w:type="dxa"/>
            <w:tcBorders>
              <w:top w:val="single" w:sz="4" w:space="0" w:color="auto"/>
              <w:left w:val="single" w:sz="4" w:space="0" w:color="auto"/>
              <w:bottom w:val="single" w:sz="4" w:space="0" w:color="auto"/>
              <w:right w:val="single" w:sz="4" w:space="0" w:color="auto"/>
            </w:tcBorders>
          </w:tcPr>
          <w:p w14:paraId="37603FDF" w14:textId="77777777" w:rsidR="008B1C85" w:rsidRPr="004C005F" w:rsidRDefault="008B1C85" w:rsidP="0099709F">
            <w:pPr>
              <w:pStyle w:val="Tableheading"/>
            </w:pPr>
            <w:r w:rsidRPr="004C005F">
              <w:t>Grading of recommendation</w:t>
            </w:r>
          </w:p>
        </w:tc>
      </w:tr>
      <w:tr w:rsidR="008B1C85" w:rsidRPr="00807B09" w14:paraId="0D3B1E7E" w14:textId="77777777" w:rsidTr="008B1C85">
        <w:tc>
          <w:tcPr>
            <w:tcW w:w="7083" w:type="dxa"/>
            <w:tcBorders>
              <w:top w:val="single" w:sz="4" w:space="0" w:color="auto"/>
              <w:left w:val="single" w:sz="4" w:space="0" w:color="auto"/>
              <w:bottom w:val="single" w:sz="4" w:space="0" w:color="auto"/>
              <w:right w:val="single" w:sz="4" w:space="0" w:color="auto"/>
            </w:tcBorders>
          </w:tcPr>
          <w:p w14:paraId="61A49953" w14:textId="77777777" w:rsidR="008B1C85" w:rsidRPr="000A7D88" w:rsidRDefault="008B1C85" w:rsidP="000A7D88">
            <w:pPr>
              <w:pStyle w:val="Tabletext"/>
            </w:pPr>
            <w:r w:rsidRPr="000A7D88">
              <w:t>Spirometry should be performed using techniques that meet published standards.</w:t>
            </w:r>
          </w:p>
        </w:tc>
        <w:tc>
          <w:tcPr>
            <w:tcW w:w="1978" w:type="dxa"/>
            <w:tcBorders>
              <w:top w:val="single" w:sz="4" w:space="0" w:color="auto"/>
              <w:left w:val="single" w:sz="4" w:space="0" w:color="auto"/>
              <w:bottom w:val="single" w:sz="4" w:space="0" w:color="auto"/>
              <w:right w:val="single" w:sz="4" w:space="0" w:color="auto"/>
            </w:tcBorders>
          </w:tcPr>
          <w:p w14:paraId="029AF1CE" w14:textId="77777777" w:rsidR="008B1C85" w:rsidRPr="000A7D88" w:rsidRDefault="008B1C85" w:rsidP="0099709F">
            <w:pPr>
              <w:pStyle w:val="Tabletext"/>
            </w:pPr>
            <w:r w:rsidRPr="000A7D88">
              <w:t>Strong recommendation; low-quality evidence</w:t>
            </w:r>
          </w:p>
        </w:tc>
      </w:tr>
      <w:tr w:rsidR="008B1C85" w:rsidRPr="00807B09" w14:paraId="36E60241" w14:textId="77777777" w:rsidTr="008B1C85">
        <w:tc>
          <w:tcPr>
            <w:tcW w:w="7083" w:type="dxa"/>
            <w:tcBorders>
              <w:top w:val="single" w:sz="4" w:space="0" w:color="auto"/>
              <w:left w:val="single" w:sz="4" w:space="0" w:color="auto"/>
              <w:bottom w:val="single" w:sz="4" w:space="0" w:color="auto"/>
              <w:right w:val="single" w:sz="4" w:space="0" w:color="auto"/>
            </w:tcBorders>
          </w:tcPr>
          <w:p w14:paraId="300D7329" w14:textId="77777777" w:rsidR="008B1C85" w:rsidRPr="000A7D88" w:rsidRDefault="008B1C85" w:rsidP="000A7D88">
            <w:pPr>
              <w:pStyle w:val="Tabletext"/>
            </w:pPr>
            <w:r w:rsidRPr="000A7D88">
              <w:t>Perform pre- and post-bronchodilator spirometry to confirm COPD, which is characterised by airflow limitati</w:t>
            </w:r>
            <w:r w:rsidRPr="0099085F">
              <w:t>on that is not fully reversible (post-bronchodilator FEV</w:t>
            </w:r>
            <w:r w:rsidRPr="0099709F">
              <w:t>1</w:t>
            </w:r>
            <w:r w:rsidRPr="000A7D88">
              <w:t>/FVC ratio &lt; 0.7 and FEV</w:t>
            </w:r>
            <w:r w:rsidRPr="0099709F">
              <w:t>1</w:t>
            </w:r>
            <w:r w:rsidRPr="000A7D88">
              <w:t xml:space="preserve"> &lt; 80% predicted).</w:t>
            </w:r>
          </w:p>
        </w:tc>
        <w:tc>
          <w:tcPr>
            <w:tcW w:w="1978" w:type="dxa"/>
            <w:tcBorders>
              <w:top w:val="single" w:sz="4" w:space="0" w:color="auto"/>
              <w:left w:val="single" w:sz="4" w:space="0" w:color="auto"/>
              <w:bottom w:val="single" w:sz="4" w:space="0" w:color="auto"/>
              <w:right w:val="single" w:sz="4" w:space="0" w:color="auto"/>
            </w:tcBorders>
          </w:tcPr>
          <w:p w14:paraId="0F07BCE3" w14:textId="77777777" w:rsidR="008B1C85" w:rsidRPr="000A7D88" w:rsidRDefault="008B1C85" w:rsidP="0099709F">
            <w:pPr>
              <w:pStyle w:val="Tabletext"/>
            </w:pPr>
            <w:r w:rsidRPr="000A7D88">
              <w:t>Strong recommendation; high-quality evidence</w:t>
            </w:r>
          </w:p>
        </w:tc>
      </w:tr>
      <w:tr w:rsidR="008B1C85" w:rsidRPr="00807B09" w14:paraId="1D2C1AD0" w14:textId="77777777" w:rsidTr="008B1C85">
        <w:tc>
          <w:tcPr>
            <w:tcW w:w="7083" w:type="dxa"/>
            <w:tcBorders>
              <w:top w:val="single" w:sz="4" w:space="0" w:color="auto"/>
              <w:left w:val="single" w:sz="4" w:space="0" w:color="auto"/>
              <w:bottom w:val="single" w:sz="4" w:space="0" w:color="auto"/>
              <w:right w:val="single" w:sz="4" w:space="0" w:color="auto"/>
            </w:tcBorders>
          </w:tcPr>
          <w:p w14:paraId="30F15922" w14:textId="77777777" w:rsidR="008B1C85" w:rsidRPr="0099085F" w:rsidRDefault="008B1C85" w:rsidP="000A7D88">
            <w:pPr>
              <w:pStyle w:val="Tabletext"/>
            </w:pPr>
            <w:r w:rsidRPr="000A7D88">
              <w:t>Interpret borderline spirometry results with caution, particularly in older (&gt; 65 years of age) and younger p</w:t>
            </w:r>
            <w:r w:rsidRPr="0099085F">
              <w:t>atients (&lt; 45 years of age), or those without a history of smoking or exposure to occupational / environmental pollutants or dust.</w:t>
            </w:r>
          </w:p>
        </w:tc>
        <w:tc>
          <w:tcPr>
            <w:tcW w:w="1978" w:type="dxa"/>
            <w:tcBorders>
              <w:top w:val="single" w:sz="4" w:space="0" w:color="auto"/>
              <w:left w:val="single" w:sz="4" w:space="0" w:color="auto"/>
              <w:bottom w:val="single" w:sz="4" w:space="0" w:color="auto"/>
              <w:right w:val="single" w:sz="4" w:space="0" w:color="auto"/>
            </w:tcBorders>
          </w:tcPr>
          <w:p w14:paraId="35F54385" w14:textId="77777777" w:rsidR="008B1C85" w:rsidRPr="0099085F" w:rsidRDefault="008B1C85" w:rsidP="0099709F">
            <w:pPr>
              <w:pStyle w:val="Tabletext"/>
            </w:pPr>
            <w:r w:rsidRPr="0099085F">
              <w:t>Strong recommendation; moderate-quality evidence</w:t>
            </w:r>
          </w:p>
        </w:tc>
      </w:tr>
      <w:tr w:rsidR="008B1C85" w:rsidRPr="00807B09" w14:paraId="2F0EEB9F" w14:textId="77777777" w:rsidTr="008B1C85">
        <w:tc>
          <w:tcPr>
            <w:tcW w:w="7083" w:type="dxa"/>
            <w:tcBorders>
              <w:top w:val="single" w:sz="4" w:space="0" w:color="auto"/>
              <w:left w:val="single" w:sz="4" w:space="0" w:color="auto"/>
              <w:bottom w:val="single" w:sz="4" w:space="0" w:color="auto"/>
              <w:right w:val="single" w:sz="4" w:space="0" w:color="auto"/>
            </w:tcBorders>
          </w:tcPr>
          <w:p w14:paraId="400D5AB4" w14:textId="77777777" w:rsidR="008B1C85" w:rsidRPr="0099085F" w:rsidRDefault="008B1C85" w:rsidP="000A7D88">
            <w:pPr>
              <w:pStyle w:val="Tabletext"/>
            </w:pPr>
            <w:r w:rsidRPr="000A7D88">
              <w:t xml:space="preserve">In patients with borderline spirometry, consider alternative diagnoses and </w:t>
            </w:r>
            <w:r w:rsidRPr="0099085F">
              <w:t>investigate appropriately.</w:t>
            </w:r>
          </w:p>
        </w:tc>
        <w:tc>
          <w:tcPr>
            <w:tcW w:w="1978" w:type="dxa"/>
            <w:tcBorders>
              <w:top w:val="single" w:sz="4" w:space="0" w:color="auto"/>
              <w:left w:val="single" w:sz="4" w:space="0" w:color="auto"/>
              <w:bottom w:val="single" w:sz="4" w:space="0" w:color="auto"/>
              <w:right w:val="single" w:sz="4" w:space="0" w:color="auto"/>
            </w:tcBorders>
          </w:tcPr>
          <w:p w14:paraId="5B5D8D9F" w14:textId="77777777" w:rsidR="008B1C85" w:rsidRPr="0099085F" w:rsidRDefault="008B1C85" w:rsidP="0099709F">
            <w:pPr>
              <w:pStyle w:val="Tabletext"/>
            </w:pPr>
            <w:r w:rsidRPr="0099085F">
              <w:t>Strong recommendation; moderate-quality evidence</w:t>
            </w:r>
          </w:p>
        </w:tc>
      </w:tr>
      <w:tr w:rsidR="008B1C85" w:rsidRPr="00807B09" w14:paraId="0B870A32" w14:textId="77777777" w:rsidTr="008B1C85">
        <w:tc>
          <w:tcPr>
            <w:tcW w:w="7083" w:type="dxa"/>
            <w:tcBorders>
              <w:top w:val="single" w:sz="4" w:space="0" w:color="auto"/>
              <w:left w:val="single" w:sz="4" w:space="0" w:color="auto"/>
              <w:bottom w:val="single" w:sz="4" w:space="0" w:color="auto"/>
              <w:right w:val="single" w:sz="4" w:space="0" w:color="auto"/>
            </w:tcBorders>
          </w:tcPr>
          <w:p w14:paraId="6A720AF3" w14:textId="77777777" w:rsidR="008B1C85" w:rsidRPr="000A7D88" w:rsidRDefault="008B1C85" w:rsidP="000A7D88">
            <w:pPr>
              <w:pStyle w:val="Tabletext"/>
            </w:pPr>
            <w:r w:rsidRPr="000A7D88">
              <w:t>If the FEV</w:t>
            </w:r>
            <w:r w:rsidRPr="0099709F">
              <w:t>1</w:t>
            </w:r>
            <w:r w:rsidRPr="000A7D88">
              <w:t xml:space="preserve"> response to bronchodilator is &gt;400 mL, strongly consider asthma or asthma / COPD overlap.</w:t>
            </w:r>
          </w:p>
        </w:tc>
        <w:tc>
          <w:tcPr>
            <w:tcW w:w="1978" w:type="dxa"/>
            <w:tcBorders>
              <w:top w:val="single" w:sz="4" w:space="0" w:color="auto"/>
              <w:left w:val="single" w:sz="4" w:space="0" w:color="auto"/>
              <w:bottom w:val="single" w:sz="4" w:space="0" w:color="auto"/>
              <w:right w:val="single" w:sz="4" w:space="0" w:color="auto"/>
            </w:tcBorders>
          </w:tcPr>
          <w:p w14:paraId="341B0477" w14:textId="77777777" w:rsidR="008B1C85" w:rsidRPr="000A7D88" w:rsidRDefault="008B1C85" w:rsidP="0099709F">
            <w:pPr>
              <w:pStyle w:val="Tabletext"/>
            </w:pPr>
            <w:r w:rsidRPr="000A7D88">
              <w:t>Strong recommendation; moderate-quality evidence</w:t>
            </w:r>
          </w:p>
        </w:tc>
      </w:tr>
      <w:tr w:rsidR="008B1C85" w:rsidRPr="00807B09" w14:paraId="1C14F7A3" w14:textId="77777777" w:rsidTr="008B1C85">
        <w:tc>
          <w:tcPr>
            <w:tcW w:w="7083" w:type="dxa"/>
            <w:tcBorders>
              <w:top w:val="single" w:sz="4" w:space="0" w:color="auto"/>
              <w:left w:val="single" w:sz="4" w:space="0" w:color="auto"/>
              <w:bottom w:val="single" w:sz="4" w:space="0" w:color="auto"/>
              <w:right w:val="single" w:sz="4" w:space="0" w:color="auto"/>
            </w:tcBorders>
          </w:tcPr>
          <w:p w14:paraId="569EE625" w14:textId="77777777" w:rsidR="008B1C85" w:rsidRPr="000A7D88" w:rsidRDefault="008B1C85" w:rsidP="000A7D88">
            <w:pPr>
              <w:pStyle w:val="Tabletext"/>
            </w:pPr>
            <w:r w:rsidRPr="000A7D88">
              <w:lastRenderedPageBreak/>
              <w:t>If the FEV</w:t>
            </w:r>
            <w:r w:rsidRPr="0099709F">
              <w:t>1</w:t>
            </w:r>
            <w:r w:rsidRPr="000A7D88">
              <w:t xml:space="preserve"> response to bronchodilator is &lt;400 mL (but ≥200 mL and ≥12%), consider asthma / COPD overlap or an asthma component depending on history and pattern of symptoms.</w:t>
            </w:r>
          </w:p>
        </w:tc>
        <w:tc>
          <w:tcPr>
            <w:tcW w:w="1978" w:type="dxa"/>
            <w:tcBorders>
              <w:top w:val="single" w:sz="4" w:space="0" w:color="auto"/>
              <w:left w:val="single" w:sz="4" w:space="0" w:color="auto"/>
              <w:bottom w:val="single" w:sz="4" w:space="0" w:color="auto"/>
              <w:right w:val="single" w:sz="4" w:space="0" w:color="auto"/>
            </w:tcBorders>
          </w:tcPr>
          <w:p w14:paraId="28F00C4F" w14:textId="77777777" w:rsidR="008B1C85" w:rsidRPr="0099085F" w:rsidRDefault="008B1C85" w:rsidP="0099709F">
            <w:pPr>
              <w:pStyle w:val="Tabletext"/>
            </w:pPr>
            <w:r w:rsidRPr="000A7D88">
              <w:t>Weak recommendation; low</w:t>
            </w:r>
            <w:r w:rsidRPr="0099085F">
              <w:t>-quality evidence</w:t>
            </w:r>
          </w:p>
        </w:tc>
      </w:tr>
    </w:tbl>
    <w:p w14:paraId="6B6CDFE2" w14:textId="77777777" w:rsidR="008B1C85" w:rsidRPr="00FF369B" w:rsidRDefault="008B1C85" w:rsidP="008B1C85">
      <w:pPr>
        <w:pStyle w:val="09Tablefootnoteslast-nostick"/>
      </w:pPr>
      <w:bookmarkStart w:id="364" w:name="_Ref442109615"/>
      <w:r>
        <w:t>Abbreviations: COPD, chronic obstructive pulmonary disease; FEV</w:t>
      </w:r>
      <w:r>
        <w:rPr>
          <w:vertAlign w:val="subscript"/>
        </w:rPr>
        <w:t>1</w:t>
      </w:r>
      <w:r>
        <w:t>, forced expiratory volume in 1 second; FVC, forced vital capacity.</w:t>
      </w:r>
    </w:p>
    <w:bookmarkEnd w:id="364"/>
    <w:p w14:paraId="4AD5DFBB" w14:textId="09EE8949" w:rsidR="008B1C85" w:rsidRDefault="008315B2" w:rsidP="005C3A85">
      <w:pPr>
        <w:pStyle w:val="Appcaption"/>
      </w:pPr>
      <w:r>
        <w:t xml:space="preserve">Table </w:t>
      </w:r>
      <w:fldSimple w:instr=" SEQ Title \* ARABIC ">
        <w:r w:rsidR="00F2203C">
          <w:rPr>
            <w:noProof/>
          </w:rPr>
          <w:t>18</w:t>
        </w:r>
      </w:fldSimple>
      <w:r>
        <w:rPr>
          <w:noProof/>
        </w:rPr>
        <w:t xml:space="preserve"> </w:t>
      </w:r>
      <w:r w:rsidR="008B1C85">
        <w:rPr>
          <w:noProof/>
        </w:rPr>
        <w:t>Abramson (2014):</w:t>
      </w:r>
      <w:r w:rsidR="008B1C85">
        <w:t xml:space="preserve"> Practice tips relating to spirometry and the diagnosis of COPD</w:t>
      </w:r>
    </w:p>
    <w:tbl>
      <w:tblPr>
        <w:tblStyle w:val="TableGrid"/>
        <w:tblW w:w="0" w:type="auto"/>
        <w:tblLook w:val="04A0" w:firstRow="1" w:lastRow="0" w:firstColumn="1" w:lastColumn="0" w:noHBand="0" w:noVBand="1"/>
        <w:tblDescription w:val="Appendix C table 18 list the 2014 Abramson Practice tips relating to levels of spirometry and Chronic Obstructive Pulmonary Disease (COPD) diagnosis. "/>
      </w:tblPr>
      <w:tblGrid>
        <w:gridCol w:w="9061"/>
      </w:tblGrid>
      <w:tr w:rsidR="008B1C85" w14:paraId="128A1928" w14:textId="77777777" w:rsidTr="00FF6AB5">
        <w:trPr>
          <w:tblHeader/>
        </w:trPr>
        <w:tc>
          <w:tcPr>
            <w:tcW w:w="9061" w:type="dxa"/>
            <w:tcBorders>
              <w:top w:val="single" w:sz="4" w:space="0" w:color="auto"/>
              <w:left w:val="single" w:sz="4" w:space="0" w:color="auto"/>
              <w:bottom w:val="single" w:sz="4" w:space="0" w:color="auto"/>
              <w:right w:val="single" w:sz="4" w:space="0" w:color="auto"/>
            </w:tcBorders>
          </w:tcPr>
          <w:p w14:paraId="09F4E1E1" w14:textId="77777777" w:rsidR="008B1C85" w:rsidRPr="00E10C7E" w:rsidRDefault="008B1C85" w:rsidP="00DE4A58">
            <w:pPr>
              <w:pStyle w:val="Tableheading"/>
            </w:pPr>
            <w:r w:rsidRPr="004C005F">
              <w:t>Practice tips</w:t>
            </w:r>
          </w:p>
        </w:tc>
      </w:tr>
      <w:tr w:rsidR="008B1C85" w14:paraId="62BE9708" w14:textId="77777777" w:rsidTr="008B1C85">
        <w:tc>
          <w:tcPr>
            <w:tcW w:w="9061" w:type="dxa"/>
            <w:tcBorders>
              <w:top w:val="single" w:sz="4" w:space="0" w:color="auto"/>
              <w:left w:val="single" w:sz="4" w:space="0" w:color="auto"/>
              <w:bottom w:val="single" w:sz="4" w:space="0" w:color="auto"/>
              <w:right w:val="single" w:sz="4" w:space="0" w:color="auto"/>
            </w:tcBorders>
          </w:tcPr>
          <w:p w14:paraId="56F3D1A5" w14:textId="77777777" w:rsidR="008B1C85" w:rsidRPr="00E10C7E" w:rsidRDefault="008B1C85" w:rsidP="008B1C85">
            <w:pPr>
              <w:pStyle w:val="Tabletext"/>
            </w:pPr>
            <w:r w:rsidRPr="00E10C7E">
              <w:t>Conduct risk assessment and screening (using Lung Foundation Australia’s Lung Health Checklist and a COPD screening device such as the PiKo-6 or COPD-6) to target those patients who should have further spirometry testing.</w:t>
            </w:r>
          </w:p>
        </w:tc>
      </w:tr>
      <w:tr w:rsidR="008B1C85" w14:paraId="6F642B6E" w14:textId="77777777" w:rsidTr="008B1C85">
        <w:tc>
          <w:tcPr>
            <w:tcW w:w="9061" w:type="dxa"/>
            <w:tcBorders>
              <w:top w:val="single" w:sz="4" w:space="0" w:color="auto"/>
              <w:left w:val="single" w:sz="4" w:space="0" w:color="auto"/>
              <w:bottom w:val="single" w:sz="4" w:space="0" w:color="auto"/>
              <w:right w:val="single" w:sz="4" w:space="0" w:color="auto"/>
            </w:tcBorders>
          </w:tcPr>
          <w:p w14:paraId="44B503EB" w14:textId="77777777" w:rsidR="008B1C85" w:rsidRPr="000F3DFE" w:rsidRDefault="008B1C85" w:rsidP="008B1C85">
            <w:pPr>
              <w:pStyle w:val="Tabletext"/>
            </w:pPr>
            <w:r w:rsidRPr="000F3DFE">
              <w:t>A practice nurse could assist the GP by undertaking screening activities and establishing a register of COPD patients.</w:t>
            </w:r>
          </w:p>
        </w:tc>
      </w:tr>
      <w:tr w:rsidR="008B1C85" w14:paraId="5145C6A5" w14:textId="77777777" w:rsidTr="008B1C85">
        <w:tc>
          <w:tcPr>
            <w:tcW w:w="9061" w:type="dxa"/>
            <w:tcBorders>
              <w:top w:val="single" w:sz="4" w:space="0" w:color="auto"/>
              <w:left w:val="single" w:sz="4" w:space="0" w:color="auto"/>
              <w:bottom w:val="single" w:sz="4" w:space="0" w:color="auto"/>
              <w:right w:val="single" w:sz="4" w:space="0" w:color="auto"/>
            </w:tcBorders>
          </w:tcPr>
          <w:p w14:paraId="70E30BBA" w14:textId="77777777" w:rsidR="008B1C85" w:rsidRDefault="008B1C85" w:rsidP="008B1C85">
            <w:pPr>
              <w:pStyle w:val="Tabletext"/>
            </w:pPr>
            <w:r w:rsidRPr="0022180D">
              <w:t>All patients with a diagnosis of COPD should have a post-bronchodilator spirometry test documented in their clinical record.</w:t>
            </w:r>
          </w:p>
        </w:tc>
      </w:tr>
      <w:tr w:rsidR="008B1C85" w14:paraId="1A54536A" w14:textId="77777777" w:rsidTr="008B1C85">
        <w:tc>
          <w:tcPr>
            <w:tcW w:w="9061" w:type="dxa"/>
            <w:tcBorders>
              <w:top w:val="single" w:sz="4" w:space="0" w:color="auto"/>
              <w:left w:val="single" w:sz="4" w:space="0" w:color="auto"/>
              <w:bottom w:val="single" w:sz="4" w:space="0" w:color="auto"/>
              <w:right w:val="single" w:sz="4" w:space="0" w:color="auto"/>
            </w:tcBorders>
          </w:tcPr>
          <w:p w14:paraId="7CE28D51" w14:textId="77777777" w:rsidR="008B1C85" w:rsidRDefault="008B1C85" w:rsidP="008B1C85">
            <w:pPr>
              <w:pStyle w:val="Tabletext"/>
            </w:pPr>
            <w:r w:rsidRPr="0022180D">
              <w:t>There is some risk with spirometry of over diagnosis in older people or under diagnosis in younger people, especially when the FEV</w:t>
            </w:r>
            <w:r w:rsidRPr="00BF22E6">
              <w:rPr>
                <w:vertAlign w:val="subscript"/>
              </w:rPr>
              <w:t>1</w:t>
            </w:r>
            <w:r w:rsidRPr="0022180D">
              <w:t>/ FVC is close to 0.7. Consider referral for lung function testing at an accredited lung function testing laboratory if there is uncertainty, or the patient has difficulty performing the test.</w:t>
            </w:r>
          </w:p>
        </w:tc>
      </w:tr>
    </w:tbl>
    <w:p w14:paraId="3010CE12" w14:textId="77777777" w:rsidR="008B1C85" w:rsidRPr="00FF369B" w:rsidRDefault="008B1C85" w:rsidP="008B1C85">
      <w:pPr>
        <w:pStyle w:val="09Tablefootnoteslast-nostick"/>
      </w:pPr>
      <w:r>
        <w:t>Abbreviations: COPD, chronic obstructive pulmonary disease; FEV</w:t>
      </w:r>
      <w:r>
        <w:rPr>
          <w:vertAlign w:val="subscript"/>
        </w:rPr>
        <w:t>1</w:t>
      </w:r>
      <w:r>
        <w:t>, forced expiratory volume in 1 second; FVC, forced vital capacity; GP, general practitioner.</w:t>
      </w:r>
    </w:p>
    <w:p w14:paraId="0FBE43BC" w14:textId="77777777" w:rsidR="008B1C85" w:rsidRPr="00CB24CB" w:rsidRDefault="008B1C85" w:rsidP="00CB5570">
      <w:pPr>
        <w:pStyle w:val="AttHeading5"/>
      </w:pPr>
      <w:r w:rsidRPr="00CB24CB">
        <w:t>Global Initiative for Chronic Obstructive Lung Disease (2016)</w:t>
      </w:r>
    </w:p>
    <w:p w14:paraId="113949CF" w14:textId="77777777" w:rsidR="008B1C85" w:rsidRPr="00CD0671" w:rsidRDefault="008B1C85" w:rsidP="00B50F00">
      <w:r>
        <w:t>As discussed earlier, clinical practice recommendations that are included in the GOLD guideline focus on asthma management rather than diagnosis. Nonetheless, the guideline includes some statements relevant to diagnosis, although the evidence base underpinning this guidance is not clear. According to GOLD (2016), a post-bronchodilator FEV</w:t>
      </w:r>
      <w:r>
        <w:rPr>
          <w:vertAlign w:val="subscript"/>
        </w:rPr>
        <w:t>1</w:t>
      </w:r>
      <w:r>
        <w:t>/FVC &lt; 0.70 confirms the presence of persistent airflow limitation and is required to make a confident diagnosis of COPD. The guideline emphasises that the advantage of this criterion is that it is independent of reference values and has been adopted in many clinical trials that form the evidence base for most of the treatment recommendations.</w:t>
      </w:r>
    </w:p>
    <w:p w14:paraId="5DD13AC0" w14:textId="77777777" w:rsidR="008B1C85" w:rsidRDefault="008B1C85" w:rsidP="00B50F00">
      <w:r>
        <w:t>The guideline advises against the use of reversibility testing for the diagnosis of COPD, citing Albert et al (2012), and noted that “the degree of reversibility has never been shown to add to the diagnosis, differential diagnosis with asthma, or to predicting the response to long-term treatment with bronchodilators or corticosteroids” (GOLD, 2016).</w:t>
      </w:r>
    </w:p>
    <w:p w14:paraId="3EC7CC90" w14:textId="77777777" w:rsidR="008B1C85" w:rsidRDefault="008B1C85" w:rsidP="00B50F00">
      <w:r>
        <w:t>Like the LFA/TSANZ (2015) guideline, GOLD (2016) discusses the risk of over-diagnosis in elderly patients using a fixed FEV</w:t>
      </w:r>
      <w:r w:rsidRPr="001F443F">
        <w:rPr>
          <w:vertAlign w:val="subscript"/>
        </w:rPr>
        <w:t>1</w:t>
      </w:r>
      <w:r>
        <w:t>/FVC ratio to define airflow limitation and potential under-diagnosis in adults younger than 45 years, particularly those with mild disease, compared with using a cut-off based on the LLN.</w:t>
      </w:r>
    </w:p>
    <w:p w14:paraId="11FF90F9" w14:textId="77777777" w:rsidR="008B1C85" w:rsidRDefault="008315B2" w:rsidP="00B50F00">
      <w:r>
        <w:t xml:space="preserve">Table 19 </w:t>
      </w:r>
      <w:r w:rsidR="008B1C85">
        <w:t>shows the GOLD classification system in which airflow limitation is divided into four grades from mild to very severe. COPD grade is based on post-bronchodilator impairment of lung function as measured by spirometry. It should be noted that spirometry cut-points are used for purposes of simplicity; however, there is only a weak correlation between FEV</w:t>
      </w:r>
      <w:r w:rsidR="008B1C85">
        <w:rPr>
          <w:vertAlign w:val="subscript"/>
        </w:rPr>
        <w:t>1</w:t>
      </w:r>
      <w:r w:rsidR="008B1C85">
        <w:t>, symptoms and impairment of a patient’s health-related quality of life (Jones, 2009).</w:t>
      </w:r>
    </w:p>
    <w:p w14:paraId="14696013" w14:textId="77777777" w:rsidR="008B1C85" w:rsidRDefault="008B1C85" w:rsidP="00B50F00">
      <w:r w:rsidRPr="00657D40">
        <w:lastRenderedPageBreak/>
        <w:t xml:space="preserve">Of interest, the GOLD </w:t>
      </w:r>
      <w:r>
        <w:t>report</w:t>
      </w:r>
      <w:r w:rsidRPr="00657D40">
        <w:t xml:space="preserve"> provides the most widely accepted classification system of the </w:t>
      </w:r>
      <w:r>
        <w:t>severity</w:t>
      </w:r>
      <w:r w:rsidRPr="00657D40">
        <w:t xml:space="preserve"> of COPD, </w:t>
      </w:r>
      <w:r>
        <w:t xml:space="preserve">which is </w:t>
      </w:r>
      <w:r w:rsidRPr="00657D40">
        <w:t xml:space="preserve">based on the degree of impairment of lung function as measured by spirometry. </w:t>
      </w:r>
      <w:r>
        <w:t>This grading system has been adopted by many other CPGs and regulatory bodies; f</w:t>
      </w:r>
      <w:r w:rsidRPr="00657D40">
        <w:t>or example, the European Medicines Agency (EMA) advocate</w:t>
      </w:r>
      <w:r>
        <w:t>s</w:t>
      </w:r>
      <w:r w:rsidRPr="00657D40">
        <w:t xml:space="preserve"> the use of the GOLD grading system for defining target COPD populations in clinical trials (EMA, 2012).</w:t>
      </w:r>
    </w:p>
    <w:p w14:paraId="2997748C" w14:textId="498732CB" w:rsidR="008B1C85" w:rsidRPr="00627E22" w:rsidRDefault="008315B2" w:rsidP="005C3A85">
      <w:pPr>
        <w:pStyle w:val="Appcaption"/>
      </w:pPr>
      <w:r>
        <w:t xml:space="preserve">Table </w:t>
      </w:r>
      <w:fldSimple w:instr=" SEQ Title \* ARABIC ">
        <w:r w:rsidR="00F2203C">
          <w:rPr>
            <w:noProof/>
          </w:rPr>
          <w:t>19</w:t>
        </w:r>
      </w:fldSimple>
      <w:r w:rsidR="008B1C85">
        <w:rPr>
          <w:noProof/>
        </w:rPr>
        <w:tab/>
        <w:t>GOLD (2016):</w:t>
      </w:r>
      <w:r w:rsidR="008B1C85">
        <w:t xml:space="preserve"> Classification of severity of airflow limitation in COPD (based on post-bronchodilator FEV</w:t>
      </w:r>
      <w:r w:rsidR="008B1C85">
        <w:rPr>
          <w:vertAlign w:val="subscript"/>
        </w:rPr>
        <w:t>1</w:t>
      </w:r>
      <w:r w:rsidR="008B1C85">
        <w:t>)</w:t>
      </w:r>
    </w:p>
    <w:tbl>
      <w:tblPr>
        <w:tblStyle w:val="TableGrid"/>
        <w:tblW w:w="0" w:type="auto"/>
        <w:tblLook w:val="04A0" w:firstRow="1" w:lastRow="0" w:firstColumn="1" w:lastColumn="0" w:noHBand="0" w:noVBand="1"/>
        <w:tblDescription w:val="Appendix C table 19 list the 2016 Global Initiative for Chronic Obstructive Lung Disease (GOLD) classifications.  This table contains 2 heading columns: 1. In patients with Forced Expiratory Volume (FEV) and 2. Predicted airflow (based on post-bronchodilator FEV1)."/>
      </w:tblPr>
      <w:tblGrid>
        <w:gridCol w:w="3399"/>
        <w:gridCol w:w="5662"/>
      </w:tblGrid>
      <w:tr w:rsidR="008B1C85" w14:paraId="3A3F4799" w14:textId="77777777" w:rsidTr="00430952">
        <w:trPr>
          <w:tblHeader/>
        </w:trPr>
        <w:tc>
          <w:tcPr>
            <w:tcW w:w="3399" w:type="dxa"/>
            <w:tcBorders>
              <w:top w:val="single" w:sz="4" w:space="0" w:color="auto"/>
              <w:left w:val="single" w:sz="4" w:space="0" w:color="auto"/>
              <w:bottom w:val="single" w:sz="4" w:space="0" w:color="auto"/>
              <w:right w:val="single" w:sz="4" w:space="0" w:color="auto"/>
            </w:tcBorders>
          </w:tcPr>
          <w:p w14:paraId="325EE8D1" w14:textId="77777777" w:rsidR="008B1C85" w:rsidRPr="004C005F" w:rsidRDefault="008B1C85" w:rsidP="00DE4A58">
            <w:pPr>
              <w:pStyle w:val="Tableheading"/>
            </w:pPr>
            <w:r w:rsidRPr="004C005F">
              <w:t>In patients with FEV</w:t>
            </w:r>
            <w:r w:rsidRPr="004C005F">
              <w:rPr>
                <w:vertAlign w:val="subscript"/>
              </w:rPr>
              <w:t>1</w:t>
            </w:r>
            <w:r w:rsidRPr="00A403FC">
              <w:t>/FVC &lt;0.70</w:t>
            </w:r>
          </w:p>
        </w:tc>
        <w:tc>
          <w:tcPr>
            <w:tcW w:w="5662" w:type="dxa"/>
            <w:tcBorders>
              <w:top w:val="single" w:sz="4" w:space="0" w:color="auto"/>
              <w:left w:val="single" w:sz="4" w:space="0" w:color="auto"/>
              <w:bottom w:val="single" w:sz="4" w:space="0" w:color="auto"/>
              <w:right w:val="single" w:sz="4" w:space="0" w:color="auto"/>
            </w:tcBorders>
          </w:tcPr>
          <w:p w14:paraId="7E16581D" w14:textId="77777777" w:rsidR="008B1C85" w:rsidRPr="004C005F" w:rsidRDefault="00E359E9" w:rsidP="00DE4A58">
            <w:pPr>
              <w:pStyle w:val="Tableheading"/>
            </w:pPr>
            <w:r>
              <w:t>Predicted a</w:t>
            </w:r>
            <w:r w:rsidR="002C4407">
              <w:t>irflow</w:t>
            </w:r>
          </w:p>
        </w:tc>
      </w:tr>
      <w:tr w:rsidR="008B1C85" w14:paraId="342CA872" w14:textId="77777777" w:rsidTr="008B1C85">
        <w:tc>
          <w:tcPr>
            <w:tcW w:w="3399" w:type="dxa"/>
            <w:tcBorders>
              <w:top w:val="single" w:sz="4" w:space="0" w:color="auto"/>
              <w:left w:val="single" w:sz="4" w:space="0" w:color="auto"/>
              <w:bottom w:val="single" w:sz="4" w:space="0" w:color="auto"/>
              <w:right w:val="single" w:sz="4" w:space="0" w:color="auto"/>
            </w:tcBorders>
          </w:tcPr>
          <w:p w14:paraId="28AA8430" w14:textId="77777777" w:rsidR="008B1C85" w:rsidRPr="008D1DEC" w:rsidRDefault="008B1C85" w:rsidP="008B1C85">
            <w:pPr>
              <w:pStyle w:val="Tabletext"/>
            </w:pPr>
            <w:r>
              <w:t>GOLD 1: Mild</w:t>
            </w:r>
          </w:p>
        </w:tc>
        <w:tc>
          <w:tcPr>
            <w:tcW w:w="5662" w:type="dxa"/>
            <w:tcBorders>
              <w:top w:val="single" w:sz="4" w:space="0" w:color="auto"/>
              <w:left w:val="single" w:sz="4" w:space="0" w:color="auto"/>
              <w:bottom w:val="single" w:sz="4" w:space="0" w:color="auto"/>
              <w:right w:val="single" w:sz="4" w:space="0" w:color="auto"/>
            </w:tcBorders>
          </w:tcPr>
          <w:p w14:paraId="309DE37B" w14:textId="77777777" w:rsidR="008B1C85" w:rsidRPr="00627E22" w:rsidRDefault="008B1C85" w:rsidP="00E359E9">
            <w:pPr>
              <w:pStyle w:val="Tabletext"/>
            </w:pPr>
            <w:r>
              <w:t>FEV</w:t>
            </w:r>
            <w:r>
              <w:rPr>
                <w:vertAlign w:val="subscript"/>
              </w:rPr>
              <w:t>1</w:t>
            </w:r>
            <w:r>
              <w:t xml:space="preserve"> ≥ 80% </w:t>
            </w:r>
          </w:p>
        </w:tc>
      </w:tr>
      <w:tr w:rsidR="008B1C85" w14:paraId="7C4F2AC3" w14:textId="77777777" w:rsidTr="008B1C85">
        <w:tc>
          <w:tcPr>
            <w:tcW w:w="3399" w:type="dxa"/>
            <w:tcBorders>
              <w:top w:val="single" w:sz="4" w:space="0" w:color="auto"/>
              <w:left w:val="single" w:sz="4" w:space="0" w:color="auto"/>
              <w:bottom w:val="single" w:sz="4" w:space="0" w:color="auto"/>
              <w:right w:val="single" w:sz="4" w:space="0" w:color="auto"/>
            </w:tcBorders>
          </w:tcPr>
          <w:p w14:paraId="3046F12F" w14:textId="77777777" w:rsidR="008B1C85" w:rsidRPr="008D1DEC" w:rsidRDefault="008B1C85" w:rsidP="008B1C85">
            <w:pPr>
              <w:pStyle w:val="Tabletext"/>
            </w:pPr>
            <w:r>
              <w:t>GOLD 2: Moderate</w:t>
            </w:r>
          </w:p>
        </w:tc>
        <w:tc>
          <w:tcPr>
            <w:tcW w:w="5662" w:type="dxa"/>
            <w:tcBorders>
              <w:top w:val="single" w:sz="4" w:space="0" w:color="auto"/>
              <w:left w:val="single" w:sz="4" w:space="0" w:color="auto"/>
              <w:bottom w:val="single" w:sz="4" w:space="0" w:color="auto"/>
              <w:right w:val="single" w:sz="4" w:space="0" w:color="auto"/>
            </w:tcBorders>
          </w:tcPr>
          <w:p w14:paraId="2C9F74C3" w14:textId="77777777" w:rsidR="008B1C85" w:rsidRPr="00627E22" w:rsidRDefault="008B1C85" w:rsidP="00E359E9">
            <w:pPr>
              <w:pStyle w:val="Tabletext"/>
            </w:pPr>
            <w:r>
              <w:t>50% ≤ FEV</w:t>
            </w:r>
            <w:r>
              <w:rPr>
                <w:vertAlign w:val="subscript"/>
              </w:rPr>
              <w:t xml:space="preserve">1 </w:t>
            </w:r>
            <w:r>
              <w:t xml:space="preserve">&lt; 80% </w:t>
            </w:r>
          </w:p>
        </w:tc>
      </w:tr>
      <w:tr w:rsidR="008B1C85" w14:paraId="53784CA1" w14:textId="77777777" w:rsidTr="008B1C85">
        <w:tc>
          <w:tcPr>
            <w:tcW w:w="3399" w:type="dxa"/>
            <w:tcBorders>
              <w:top w:val="single" w:sz="4" w:space="0" w:color="auto"/>
              <w:left w:val="single" w:sz="4" w:space="0" w:color="auto"/>
              <w:bottom w:val="single" w:sz="4" w:space="0" w:color="auto"/>
              <w:right w:val="single" w:sz="4" w:space="0" w:color="auto"/>
            </w:tcBorders>
          </w:tcPr>
          <w:p w14:paraId="04287773" w14:textId="77777777" w:rsidR="008B1C85" w:rsidRPr="008D1DEC" w:rsidRDefault="008B1C85" w:rsidP="008B1C85">
            <w:pPr>
              <w:pStyle w:val="Tabletext"/>
            </w:pPr>
            <w:r>
              <w:t>GOLD 3: Severe</w:t>
            </w:r>
          </w:p>
        </w:tc>
        <w:tc>
          <w:tcPr>
            <w:tcW w:w="5662" w:type="dxa"/>
            <w:tcBorders>
              <w:top w:val="single" w:sz="4" w:space="0" w:color="auto"/>
              <w:left w:val="single" w:sz="4" w:space="0" w:color="auto"/>
              <w:bottom w:val="single" w:sz="4" w:space="0" w:color="auto"/>
              <w:right w:val="single" w:sz="4" w:space="0" w:color="auto"/>
            </w:tcBorders>
          </w:tcPr>
          <w:p w14:paraId="1F7B2CF4" w14:textId="77777777" w:rsidR="008B1C85" w:rsidRDefault="008B1C85" w:rsidP="00E359E9">
            <w:pPr>
              <w:pStyle w:val="Tabletext"/>
            </w:pPr>
            <w:r>
              <w:t>30% ≤ FEV</w:t>
            </w:r>
            <w:r>
              <w:rPr>
                <w:vertAlign w:val="subscript"/>
              </w:rPr>
              <w:t xml:space="preserve">1 </w:t>
            </w:r>
            <w:r>
              <w:t xml:space="preserve">&lt; 50% </w:t>
            </w:r>
          </w:p>
        </w:tc>
      </w:tr>
      <w:tr w:rsidR="008B1C85" w14:paraId="51203E0C" w14:textId="77777777" w:rsidTr="008B1C85">
        <w:tc>
          <w:tcPr>
            <w:tcW w:w="3399" w:type="dxa"/>
            <w:tcBorders>
              <w:top w:val="single" w:sz="4" w:space="0" w:color="auto"/>
              <w:left w:val="single" w:sz="4" w:space="0" w:color="auto"/>
              <w:bottom w:val="single" w:sz="4" w:space="0" w:color="auto"/>
              <w:right w:val="single" w:sz="4" w:space="0" w:color="auto"/>
            </w:tcBorders>
          </w:tcPr>
          <w:p w14:paraId="49209AF9" w14:textId="77777777" w:rsidR="008B1C85" w:rsidRPr="008D1DEC" w:rsidRDefault="008B1C85" w:rsidP="008B1C85">
            <w:pPr>
              <w:pStyle w:val="Tabletext"/>
            </w:pPr>
            <w:r>
              <w:t>GOLD 4: Very severe</w:t>
            </w:r>
          </w:p>
        </w:tc>
        <w:tc>
          <w:tcPr>
            <w:tcW w:w="5662" w:type="dxa"/>
            <w:tcBorders>
              <w:top w:val="single" w:sz="4" w:space="0" w:color="auto"/>
              <w:left w:val="single" w:sz="4" w:space="0" w:color="auto"/>
              <w:bottom w:val="single" w:sz="4" w:space="0" w:color="auto"/>
              <w:right w:val="single" w:sz="4" w:space="0" w:color="auto"/>
            </w:tcBorders>
          </w:tcPr>
          <w:p w14:paraId="02E61E2C" w14:textId="77777777" w:rsidR="008B1C85" w:rsidRPr="00627E22" w:rsidRDefault="008B1C85" w:rsidP="00E359E9">
            <w:pPr>
              <w:pStyle w:val="Tabletext"/>
            </w:pPr>
            <w:r>
              <w:t>FEV</w:t>
            </w:r>
            <w:r>
              <w:rPr>
                <w:vertAlign w:val="subscript"/>
              </w:rPr>
              <w:t>1</w:t>
            </w:r>
            <w:r>
              <w:t xml:space="preserve"> &lt; 30% </w:t>
            </w:r>
          </w:p>
        </w:tc>
      </w:tr>
    </w:tbl>
    <w:p w14:paraId="5CF937D0" w14:textId="77777777" w:rsidR="008B1C85" w:rsidRPr="00D42F70" w:rsidRDefault="008B1C85" w:rsidP="008B1C85">
      <w:pPr>
        <w:pStyle w:val="09Tablefootnoteslast-nostick"/>
      </w:pPr>
      <w:r>
        <w:t>Abbreviations: COPD, chronic obstructive pulmonary disease; FEV</w:t>
      </w:r>
      <w:r>
        <w:rPr>
          <w:vertAlign w:val="subscript"/>
        </w:rPr>
        <w:t>1</w:t>
      </w:r>
      <w:r>
        <w:t>, forced expiratory volume in 1 second; FVC, forced vital capacity; GOLD, Global Initiative for Chronic Obstructive Lung Disease.</w:t>
      </w:r>
    </w:p>
    <w:p w14:paraId="5FDF1528" w14:textId="77777777" w:rsidR="008B1C85" w:rsidRPr="00CB24CB" w:rsidRDefault="008B1C85" w:rsidP="00CB5570">
      <w:pPr>
        <w:pStyle w:val="AttHeading5"/>
      </w:pPr>
      <w:r w:rsidRPr="00CB24CB">
        <w:t>Department of Veterans Affairs / Department of Defense (2014)</w:t>
      </w:r>
    </w:p>
    <w:p w14:paraId="0C3B7D45" w14:textId="77777777" w:rsidR="008B1C85" w:rsidRPr="00881BDB" w:rsidRDefault="008B1C85" w:rsidP="008B1C85">
      <w:r w:rsidRPr="00881BDB">
        <w:t xml:space="preserve">The main key question addressed in this guideline and of relevance to this Rapid Review was: </w:t>
      </w:r>
    </w:p>
    <w:p w14:paraId="61417C75" w14:textId="77777777" w:rsidR="008B1C85" w:rsidRPr="00881BDB" w:rsidRDefault="008B1C85" w:rsidP="008B1C85">
      <w:pPr>
        <w:pStyle w:val="BodyText"/>
        <w:ind w:left="720"/>
        <w:rPr>
          <w:i/>
        </w:rPr>
      </w:pPr>
      <w:r w:rsidRPr="00881BDB">
        <w:rPr>
          <w:i/>
        </w:rPr>
        <w:t>In patients with COPD, what is the evidence that using spirometry (including the value of bronchodilator responsiveness), symptom severity, risk of exacerbations (e.g. annual exacerbation rate, time to first exacerbation), and comorbidities, alone or in combination, improves diagnosis, clinical classification (including pre-operative assessments), treatment planning, and clinician adherence to treatment protocols?</w:t>
      </w:r>
    </w:p>
    <w:p w14:paraId="28507DC8" w14:textId="77777777" w:rsidR="008B1C85" w:rsidRPr="000A0AFB" w:rsidRDefault="008B1C85" w:rsidP="008B1C85">
      <w:r w:rsidRPr="00881BDB">
        <w:t>The recommendation relevant to spirometry is shown in</w:t>
      </w:r>
      <w:r w:rsidR="008315B2">
        <w:t xml:space="preserve"> Table 20</w:t>
      </w:r>
      <w:r w:rsidRPr="00881BDB">
        <w:t>. While the recommendation makes reference to a particular FEV</w:t>
      </w:r>
      <w:r w:rsidRPr="00881BDB">
        <w:rPr>
          <w:vertAlign w:val="subscript"/>
        </w:rPr>
        <w:t>1</w:t>
      </w:r>
      <w:r w:rsidRPr="00881BDB">
        <w:t>/FVC ratio, the guideline emphasises that clinicians should use caution when applying this criterion, particularly in elderly patients, where a reduced FEV</w:t>
      </w:r>
      <w:r w:rsidRPr="00881BDB">
        <w:rPr>
          <w:vertAlign w:val="subscript"/>
        </w:rPr>
        <w:t>1</w:t>
      </w:r>
      <w:r w:rsidRPr="00881BDB">
        <w:t xml:space="preserve">/FVC ratio may simply be a normal part of aging. To this end, </w:t>
      </w:r>
      <w:r w:rsidRPr="000A0AFB">
        <w:t>the guideline suggests that in elderly patients, a reliance on history of risk factors, history of asthma and symptoms as well as the LLN of FEV</w:t>
      </w:r>
      <w:r w:rsidRPr="000A0AFB">
        <w:rPr>
          <w:vertAlign w:val="subscript"/>
        </w:rPr>
        <w:t>1</w:t>
      </w:r>
      <w:r w:rsidRPr="000A0AFB">
        <w:t>/FVC to confirm the diagnosis, may be more appropriate.</w:t>
      </w:r>
    </w:p>
    <w:p w14:paraId="32F61D00" w14:textId="686E8C8D" w:rsidR="008B1C85" w:rsidRDefault="008315B2" w:rsidP="00DF3A06">
      <w:pPr>
        <w:pStyle w:val="Appcaption"/>
      </w:pPr>
      <w:r>
        <w:t xml:space="preserve">Table </w:t>
      </w:r>
      <w:fldSimple w:instr=" SEQ Title \* ARABIC ">
        <w:r w:rsidR="00F2203C">
          <w:rPr>
            <w:noProof/>
          </w:rPr>
          <w:t>20</w:t>
        </w:r>
      </w:fldSimple>
      <w:r w:rsidR="008B1C85">
        <w:rPr>
          <w:noProof/>
        </w:rPr>
        <w:tab/>
        <w:t>VA/DoD (2014):</w:t>
      </w:r>
      <w:r w:rsidR="008B1C85">
        <w:t xml:space="preserve"> Recommendation relating to the use of spirometry for the diagnosis of COPD</w:t>
      </w:r>
    </w:p>
    <w:tbl>
      <w:tblPr>
        <w:tblStyle w:val="TableGrid"/>
        <w:tblW w:w="5000" w:type="pct"/>
        <w:tblLook w:val="04A0" w:firstRow="1" w:lastRow="0" w:firstColumn="1" w:lastColumn="0" w:noHBand="0" w:noVBand="1"/>
        <w:tblDescription w:val="Appendix C table 20 list the 2014 Department of Veterans Affairs/Department of Defense (VA/DoD) recommendation relating to levels of spirometry for the diagnosis of Chronic Obstructive Pulmonary Disease (COPD).  This table contains 2 column headings: 1. Recommendations and 2. Grading of recommendations."/>
      </w:tblPr>
      <w:tblGrid>
        <w:gridCol w:w="7409"/>
        <w:gridCol w:w="1652"/>
      </w:tblGrid>
      <w:tr w:rsidR="008B1C85" w:rsidRPr="00284DDF" w14:paraId="72D11A8D" w14:textId="77777777" w:rsidTr="00FF6AB5">
        <w:trPr>
          <w:tblHeader/>
        </w:trPr>
        <w:tc>
          <w:tcPr>
            <w:tcW w:w="4220" w:type="pct"/>
          </w:tcPr>
          <w:p w14:paraId="26C35D72" w14:textId="77777777" w:rsidR="008B1C85" w:rsidRPr="004C005F" w:rsidRDefault="008B1C85" w:rsidP="0099709F">
            <w:pPr>
              <w:pStyle w:val="Tableheading"/>
              <w:rPr>
                <w:i/>
              </w:rPr>
            </w:pPr>
            <w:r w:rsidRPr="004C005F">
              <w:t>Recommendation</w:t>
            </w:r>
          </w:p>
        </w:tc>
        <w:tc>
          <w:tcPr>
            <w:tcW w:w="780" w:type="pct"/>
          </w:tcPr>
          <w:p w14:paraId="2FE4AD17" w14:textId="77777777" w:rsidR="008B1C85" w:rsidRPr="004C005F" w:rsidRDefault="008B1C85" w:rsidP="0099709F">
            <w:pPr>
              <w:pStyle w:val="Tableheading"/>
            </w:pPr>
            <w:r w:rsidRPr="004C005F">
              <w:t>Grading of recommendation</w:t>
            </w:r>
          </w:p>
        </w:tc>
      </w:tr>
      <w:tr w:rsidR="008B1C85" w:rsidRPr="00DE4A58" w14:paraId="253388C9" w14:textId="77777777" w:rsidTr="008B1C85">
        <w:tc>
          <w:tcPr>
            <w:tcW w:w="4220" w:type="pct"/>
          </w:tcPr>
          <w:p w14:paraId="5AF49333" w14:textId="77777777" w:rsidR="008B1C85" w:rsidRPr="00DE4A58" w:rsidRDefault="008B1C85" w:rsidP="00DE4A58">
            <w:pPr>
              <w:pStyle w:val="Tabletext"/>
            </w:pPr>
            <w:r w:rsidRPr="00DE4A58">
              <w:t>We recommend that spirometry, demonstrating airflow obstruction (post-bronchodilator FEV1/FVC &lt;70%, with age adjustment for more elderly individuals), be used to confirm all initial diagnoses of COPD (Walker et al, 2006).</w:t>
            </w:r>
          </w:p>
        </w:tc>
        <w:tc>
          <w:tcPr>
            <w:tcW w:w="780" w:type="pct"/>
          </w:tcPr>
          <w:p w14:paraId="73BFEEA8" w14:textId="77777777" w:rsidR="008B1C85" w:rsidRPr="00DE4A58" w:rsidRDefault="008B1C85" w:rsidP="00DE4A58">
            <w:pPr>
              <w:pStyle w:val="Tabletext"/>
            </w:pPr>
            <w:r w:rsidRPr="00DE4A58">
              <w:t>Strong for</w:t>
            </w:r>
          </w:p>
        </w:tc>
      </w:tr>
    </w:tbl>
    <w:p w14:paraId="45135445" w14:textId="77777777" w:rsidR="008B1C85" w:rsidRDefault="008B1C85" w:rsidP="008B1C85">
      <w:pPr>
        <w:pStyle w:val="09Tablefootnoteslast-nostick"/>
      </w:pPr>
      <w:r>
        <w:t>Abbreviations: COPD, chronic obstructive pulmonary disease; FEV</w:t>
      </w:r>
      <w:r w:rsidRPr="00B4470D">
        <w:rPr>
          <w:vertAlign w:val="subscript"/>
        </w:rPr>
        <w:t>1</w:t>
      </w:r>
      <w:r>
        <w:t>, forced expiratory volume in 1 second; FVC, forced vital capacity.</w:t>
      </w:r>
    </w:p>
    <w:p w14:paraId="1194BF53" w14:textId="77777777" w:rsidR="008B1C85" w:rsidRPr="002A50CB" w:rsidRDefault="008B1C85" w:rsidP="008B1C85">
      <w:r>
        <w:t xml:space="preserve">Of particular importance to this MBS Review, the guideline notes that </w:t>
      </w:r>
      <w:r w:rsidRPr="002A50CB">
        <w:t xml:space="preserve">clinics </w:t>
      </w:r>
      <w:r>
        <w:t>with spirometry equipment and the necessary training may still lack the resources to undertake</w:t>
      </w:r>
      <w:r w:rsidRPr="002A50CB">
        <w:t xml:space="preserve"> post-bronchodilator </w:t>
      </w:r>
      <w:r>
        <w:t>spirometry</w:t>
      </w:r>
      <w:r w:rsidRPr="002A50CB">
        <w:t xml:space="preserve">. </w:t>
      </w:r>
      <w:r>
        <w:t>Therefore, the Working Group emphasised that the post-bronchodilator measurement</w:t>
      </w:r>
      <w:r w:rsidRPr="002A50CB">
        <w:t xml:space="preserve"> can form</w:t>
      </w:r>
      <w:r>
        <w:t xml:space="preserve"> a significant barrier to care and, while e</w:t>
      </w:r>
      <w:r w:rsidRPr="002A50CB">
        <w:t>liminating the post-bronchodilator requirement i</w:t>
      </w:r>
      <w:r>
        <w:t>s more convenient, it has the potential to misdiagnose asthmatic patients as having COPD.</w:t>
      </w:r>
    </w:p>
    <w:p w14:paraId="127C87FB" w14:textId="77777777" w:rsidR="008B1C85" w:rsidRPr="00CB24CB" w:rsidRDefault="008B1C85" w:rsidP="00CB5570">
      <w:pPr>
        <w:pStyle w:val="AttHeading5"/>
      </w:pPr>
      <w:r w:rsidRPr="00CB24CB">
        <w:lastRenderedPageBreak/>
        <w:t>Qaseem (2011) – American College of Physicians, American College of Chest Physicians, American Thoracic Society, and European Respiratory Society</w:t>
      </w:r>
    </w:p>
    <w:p w14:paraId="4E795DD5" w14:textId="77777777" w:rsidR="008B1C85" w:rsidRPr="00881BDB" w:rsidRDefault="008B1C85" w:rsidP="008B1C85">
      <w:r w:rsidRPr="00881BDB">
        <w:t>This CPG focuses on three main research questions, one of which is relevant to this review:</w:t>
      </w:r>
    </w:p>
    <w:p w14:paraId="21119051" w14:textId="77777777" w:rsidR="008B1C85" w:rsidRPr="00881BDB" w:rsidRDefault="008B1C85" w:rsidP="008B1C85">
      <w:pPr>
        <w:pStyle w:val="BodyText"/>
        <w:ind w:left="720"/>
        <w:rPr>
          <w:i/>
        </w:rPr>
      </w:pPr>
      <w:r w:rsidRPr="00881BDB">
        <w:rPr>
          <w:i/>
        </w:rPr>
        <w:t>What is the value of spirometry for screening and diagnosis of adults who are asymptomatic and have risk factors for developing airflow obstruction, or who are COPD treatment candidates?</w:t>
      </w:r>
    </w:p>
    <w:p w14:paraId="39DA4865" w14:textId="77777777" w:rsidR="008B1C85" w:rsidRPr="00881BDB" w:rsidRDefault="008B1C85" w:rsidP="008B1C85">
      <w:r w:rsidRPr="00881BDB">
        <w:t>Based on evidence obtained in the published literature, the CPG contains one recommendation regarding the use of spirometry for the diagnosis of COPD (see</w:t>
      </w:r>
      <w:r w:rsidR="0063592C">
        <w:t xml:space="preserve"> Table 21</w:t>
      </w:r>
      <w:r w:rsidRPr="00881BDB">
        <w:t>).</w:t>
      </w:r>
    </w:p>
    <w:p w14:paraId="061823C9" w14:textId="2E472360" w:rsidR="008B1C85" w:rsidRDefault="0063592C" w:rsidP="00DF3A06">
      <w:pPr>
        <w:pStyle w:val="Appcaption"/>
      </w:pPr>
      <w:r>
        <w:t xml:space="preserve">Table </w:t>
      </w:r>
      <w:fldSimple w:instr=" SEQ Title \* ARABIC ">
        <w:r w:rsidR="00F2203C">
          <w:rPr>
            <w:noProof/>
          </w:rPr>
          <w:t>21</w:t>
        </w:r>
      </w:fldSimple>
      <w:r w:rsidR="008B1C85">
        <w:rPr>
          <w:noProof/>
        </w:rPr>
        <w:tab/>
        <w:t xml:space="preserve">Qaseem (2011): </w:t>
      </w:r>
      <w:r w:rsidR="008B1C85">
        <w:t>Recommendations on the use of spirometry for diagnosis of COPD</w:t>
      </w:r>
    </w:p>
    <w:tbl>
      <w:tblPr>
        <w:tblStyle w:val="TableGrid"/>
        <w:tblW w:w="0" w:type="auto"/>
        <w:tblLook w:val="04A0" w:firstRow="1" w:lastRow="0" w:firstColumn="1" w:lastColumn="0" w:noHBand="0" w:noVBand="1"/>
        <w:tblDescription w:val="Appendix C table 21 list the 2011 Quality Assessment of Diagnostic Accuracy Studies (Qaseem) recommendations relating to levels of spirometry for the diagnosis of Chronic Obstructive Pulmonary Disease (COPD). This table contains 2 column headings: 1. Recommendations and 2. Grading of recommendations."/>
      </w:tblPr>
      <w:tblGrid>
        <w:gridCol w:w="6091"/>
        <w:gridCol w:w="2970"/>
      </w:tblGrid>
      <w:tr w:rsidR="008B1C85" w14:paraId="2C4D103B" w14:textId="77777777" w:rsidTr="00FF6AB5">
        <w:trPr>
          <w:tblHeader/>
        </w:trPr>
        <w:tc>
          <w:tcPr>
            <w:tcW w:w="6091" w:type="dxa"/>
            <w:tcBorders>
              <w:top w:val="single" w:sz="4" w:space="0" w:color="auto"/>
              <w:left w:val="single" w:sz="4" w:space="0" w:color="auto"/>
              <w:bottom w:val="single" w:sz="4" w:space="0" w:color="auto"/>
              <w:right w:val="single" w:sz="4" w:space="0" w:color="auto"/>
            </w:tcBorders>
          </w:tcPr>
          <w:p w14:paraId="6721885F" w14:textId="77777777" w:rsidR="008B1C85" w:rsidRPr="004C005F" w:rsidRDefault="008B1C85" w:rsidP="00E359E9">
            <w:pPr>
              <w:pStyle w:val="Tableheading"/>
            </w:pPr>
            <w:r w:rsidRPr="004C005F">
              <w:t>Recommendations</w:t>
            </w:r>
          </w:p>
        </w:tc>
        <w:tc>
          <w:tcPr>
            <w:tcW w:w="2970" w:type="dxa"/>
            <w:tcBorders>
              <w:top w:val="single" w:sz="4" w:space="0" w:color="auto"/>
              <w:left w:val="single" w:sz="4" w:space="0" w:color="auto"/>
              <w:bottom w:val="single" w:sz="4" w:space="0" w:color="auto"/>
              <w:right w:val="single" w:sz="4" w:space="0" w:color="auto"/>
            </w:tcBorders>
            <w:hideMark/>
          </w:tcPr>
          <w:p w14:paraId="0C7980C0" w14:textId="77777777" w:rsidR="008B1C85" w:rsidRPr="004C005F" w:rsidRDefault="008B1C85" w:rsidP="00E359E9">
            <w:pPr>
              <w:pStyle w:val="Tableheading"/>
            </w:pPr>
            <w:r w:rsidRPr="004C005F">
              <w:t>Grading of recommendation</w:t>
            </w:r>
          </w:p>
        </w:tc>
      </w:tr>
      <w:tr w:rsidR="008B1C85" w:rsidRPr="005B5144" w14:paraId="6DB597FB" w14:textId="77777777" w:rsidTr="008B1C85">
        <w:tc>
          <w:tcPr>
            <w:tcW w:w="6091" w:type="dxa"/>
            <w:tcBorders>
              <w:top w:val="single" w:sz="4" w:space="0" w:color="auto"/>
              <w:left w:val="single" w:sz="4" w:space="0" w:color="auto"/>
              <w:bottom w:val="single" w:sz="4" w:space="0" w:color="auto"/>
              <w:right w:val="single" w:sz="4" w:space="0" w:color="auto"/>
            </w:tcBorders>
            <w:shd w:val="clear" w:color="auto" w:fill="auto"/>
          </w:tcPr>
          <w:p w14:paraId="2374700B" w14:textId="77777777" w:rsidR="008B1C85" w:rsidRPr="005B5144" w:rsidRDefault="008B1C85" w:rsidP="008B1C85">
            <w:pPr>
              <w:pStyle w:val="Tabletext"/>
            </w:pPr>
            <w:r>
              <w:t>ACP, ACCP, ATS and ERS recommend that spirometry should be obtained to diagnose airflow obstruction in patients with respiratory symptoms.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4FB09D9" w14:textId="77777777" w:rsidR="008B1C85" w:rsidRPr="0022527D" w:rsidRDefault="008B1C85" w:rsidP="008B1C85">
            <w:pPr>
              <w:pStyle w:val="Tabletext"/>
            </w:pPr>
            <w:r>
              <w:t>Strong recommendation; moderate-quality evidence.</w:t>
            </w:r>
          </w:p>
        </w:tc>
      </w:tr>
    </w:tbl>
    <w:p w14:paraId="6A946354" w14:textId="77777777" w:rsidR="008B1C85" w:rsidRDefault="008B1C85" w:rsidP="008B1C85">
      <w:pPr>
        <w:pStyle w:val="09Tablefootnoteslast-nostick"/>
      </w:pPr>
      <w:r>
        <w:t>Abbreviations: ACCP, American College of Chest Physicians; ACP, American College of Physicians; ATS, American Thoracic Society; ERS, European Respiratory Society.</w:t>
      </w:r>
    </w:p>
    <w:p w14:paraId="59B38420" w14:textId="77777777" w:rsidR="008B1C85" w:rsidRPr="00FE05D1" w:rsidRDefault="008B1C85" w:rsidP="008B1C85">
      <w:r>
        <w:t>Qaseem (2011) also include several recommendations for initiating therapy on the basis of FEV</w:t>
      </w:r>
      <w:r>
        <w:rPr>
          <w:vertAlign w:val="subscript"/>
        </w:rPr>
        <w:t>1</w:t>
      </w:r>
      <w:r>
        <w:t xml:space="preserve"> thresholds measured using spirometry. They note that the evidence of benefit of the initiation of inhaled bronchodilators in symptomatic patients with FEV</w:t>
      </w:r>
      <w:r>
        <w:rPr>
          <w:vertAlign w:val="subscript"/>
        </w:rPr>
        <w:t>1</w:t>
      </w:r>
      <w:r>
        <w:t xml:space="preserve"> between 60% and </w:t>
      </w:r>
      <w:r w:rsidRPr="00FE05D1">
        <w:t>80% is limited and conflicting. Patients with FEV</w:t>
      </w:r>
      <w:r w:rsidRPr="00FE05D1">
        <w:rPr>
          <w:vertAlign w:val="subscript"/>
        </w:rPr>
        <w:t>1</w:t>
      </w:r>
      <w:r w:rsidRPr="00FE05D1">
        <w:t xml:space="preserve"> &lt;60% predicted seem to benefit the most from inhaled bronchodilators.</w:t>
      </w:r>
    </w:p>
    <w:p w14:paraId="56E0AE11" w14:textId="77777777" w:rsidR="008B1C85" w:rsidRPr="00CB24CB" w:rsidRDefault="008B1C85" w:rsidP="00CB5570">
      <w:pPr>
        <w:pStyle w:val="AttHeading5"/>
      </w:pPr>
      <w:r w:rsidRPr="00CB24CB">
        <w:t>National Clinical Guideline Centre (2010)</w:t>
      </w:r>
    </w:p>
    <w:p w14:paraId="0482B857" w14:textId="77777777" w:rsidR="002C4407" w:rsidRDefault="008B1C85" w:rsidP="0099709F">
      <w:r w:rsidRPr="00FE05D1">
        <w:t>The GDG formulated nine consensus statements relating to the use of spirometry for the diagnosis of COPD (see</w:t>
      </w:r>
      <w:r w:rsidR="0063592C">
        <w:t xml:space="preserve"> Table 22</w:t>
      </w:r>
      <w:r w:rsidRPr="00FE05D1">
        <w:t>). Importantly the consensus statements advise that a confident diagnosis of COPD can only be made with spirometry, but that spirometry alone cannot separate asthma from COPD.</w:t>
      </w:r>
      <w:r w:rsidR="002C4407">
        <w:br w:type="page"/>
      </w:r>
    </w:p>
    <w:p w14:paraId="25E6A63E" w14:textId="1491E79E" w:rsidR="008B1C85" w:rsidRDefault="0063592C" w:rsidP="00DF3A06">
      <w:pPr>
        <w:pStyle w:val="Appcaption"/>
      </w:pPr>
      <w:r>
        <w:lastRenderedPageBreak/>
        <w:t xml:space="preserve">Table </w:t>
      </w:r>
      <w:fldSimple w:instr=" SEQ Title \* ARABIC ">
        <w:r w:rsidR="00F2203C">
          <w:rPr>
            <w:noProof/>
          </w:rPr>
          <w:t>22</w:t>
        </w:r>
      </w:fldSimple>
      <w:r w:rsidR="008B1C85">
        <w:rPr>
          <w:noProof/>
        </w:rPr>
        <w:tab/>
        <w:t>NCGC (2010):</w:t>
      </w:r>
      <w:r w:rsidR="008B1C85">
        <w:t xml:space="preserve"> GDG consensus statements on the performance of spirometry</w:t>
      </w:r>
    </w:p>
    <w:tbl>
      <w:tblPr>
        <w:tblStyle w:val="TableGrid"/>
        <w:tblW w:w="0" w:type="auto"/>
        <w:tblLook w:val="04A0" w:firstRow="1" w:lastRow="0" w:firstColumn="1" w:lastColumn="0" w:noHBand="0" w:noVBand="1"/>
        <w:tblDescription w:val="Appendix C table 22 list the 2010 National Clinical Guideline Centre (NCGC) consensus statements. This table contains 2 column headings: 1. consensus statements and 2. hierarchy of evidence on the performance of spirometry."/>
      </w:tblPr>
      <w:tblGrid>
        <w:gridCol w:w="6799"/>
        <w:gridCol w:w="2262"/>
      </w:tblGrid>
      <w:tr w:rsidR="008B1C85" w14:paraId="07B94B73" w14:textId="77777777" w:rsidTr="00FF6AB5">
        <w:trPr>
          <w:tblHeader/>
        </w:trPr>
        <w:tc>
          <w:tcPr>
            <w:tcW w:w="6799" w:type="dxa"/>
            <w:tcBorders>
              <w:top w:val="single" w:sz="4" w:space="0" w:color="auto"/>
              <w:left w:val="single" w:sz="4" w:space="0" w:color="auto"/>
              <w:bottom w:val="single" w:sz="4" w:space="0" w:color="auto"/>
              <w:right w:val="single" w:sz="4" w:space="0" w:color="auto"/>
            </w:tcBorders>
            <w:hideMark/>
          </w:tcPr>
          <w:p w14:paraId="1C845AB0" w14:textId="77777777" w:rsidR="008B1C85" w:rsidRPr="004C005F" w:rsidRDefault="008B1C85" w:rsidP="00E359E9">
            <w:pPr>
              <w:pStyle w:val="Tableheading"/>
            </w:pPr>
            <w:r w:rsidRPr="004C005F">
              <w:t>Consensus statements</w:t>
            </w:r>
          </w:p>
        </w:tc>
        <w:tc>
          <w:tcPr>
            <w:tcW w:w="2262" w:type="dxa"/>
            <w:tcBorders>
              <w:top w:val="single" w:sz="4" w:space="0" w:color="auto"/>
              <w:left w:val="single" w:sz="4" w:space="0" w:color="auto"/>
              <w:bottom w:val="single" w:sz="4" w:space="0" w:color="auto"/>
              <w:right w:val="single" w:sz="4" w:space="0" w:color="auto"/>
            </w:tcBorders>
            <w:hideMark/>
          </w:tcPr>
          <w:p w14:paraId="1C97D454" w14:textId="77777777" w:rsidR="008B1C85" w:rsidRPr="004C005F" w:rsidRDefault="008B1C85" w:rsidP="00E359E9">
            <w:pPr>
              <w:pStyle w:val="Tableheading"/>
            </w:pPr>
            <w:r w:rsidRPr="004C005F">
              <w:t>Hierarchy of evidence</w:t>
            </w:r>
          </w:p>
        </w:tc>
      </w:tr>
      <w:tr w:rsidR="008B1C85" w14:paraId="01F18AAC" w14:textId="77777777" w:rsidTr="008B1C85">
        <w:tc>
          <w:tcPr>
            <w:tcW w:w="6799" w:type="dxa"/>
            <w:tcBorders>
              <w:top w:val="single" w:sz="4" w:space="0" w:color="auto"/>
              <w:left w:val="single" w:sz="4" w:space="0" w:color="auto"/>
              <w:bottom w:val="single" w:sz="4" w:space="0" w:color="auto"/>
              <w:right w:val="single" w:sz="4" w:space="0" w:color="auto"/>
            </w:tcBorders>
            <w:hideMark/>
          </w:tcPr>
          <w:p w14:paraId="6A901F57" w14:textId="77777777" w:rsidR="008B1C85" w:rsidRPr="008D1DEC" w:rsidRDefault="008B1C85" w:rsidP="008B1C85">
            <w:pPr>
              <w:pStyle w:val="Tabletext"/>
            </w:pPr>
            <w:r w:rsidRPr="008D1DEC">
              <w:t>Spirometry is fundamental to making a diagnosis of COPD and a confident diagnosis of COPD can only be made with spirometry.</w:t>
            </w:r>
          </w:p>
        </w:tc>
        <w:tc>
          <w:tcPr>
            <w:tcW w:w="2262" w:type="dxa"/>
            <w:tcBorders>
              <w:top w:val="single" w:sz="4" w:space="0" w:color="auto"/>
              <w:left w:val="single" w:sz="4" w:space="0" w:color="auto"/>
              <w:bottom w:val="single" w:sz="4" w:space="0" w:color="auto"/>
              <w:right w:val="single" w:sz="4" w:space="0" w:color="auto"/>
            </w:tcBorders>
            <w:hideMark/>
          </w:tcPr>
          <w:p w14:paraId="360F3F06" w14:textId="77777777" w:rsidR="008B1C85" w:rsidRDefault="008B1C85" w:rsidP="008B1C85">
            <w:pPr>
              <w:pStyle w:val="Tabletext"/>
              <w:jc w:val="center"/>
            </w:pPr>
            <w:r>
              <w:t>IV</w:t>
            </w:r>
          </w:p>
        </w:tc>
      </w:tr>
      <w:tr w:rsidR="008B1C85" w14:paraId="107E97CE" w14:textId="77777777" w:rsidTr="008B1C85">
        <w:tc>
          <w:tcPr>
            <w:tcW w:w="6799" w:type="dxa"/>
            <w:tcBorders>
              <w:top w:val="single" w:sz="4" w:space="0" w:color="auto"/>
              <w:left w:val="single" w:sz="4" w:space="0" w:color="auto"/>
              <w:bottom w:val="single" w:sz="4" w:space="0" w:color="auto"/>
              <w:right w:val="single" w:sz="4" w:space="0" w:color="auto"/>
            </w:tcBorders>
            <w:hideMark/>
          </w:tcPr>
          <w:p w14:paraId="2A619285" w14:textId="77777777" w:rsidR="008B1C85" w:rsidRPr="008D1DEC" w:rsidRDefault="008B1C85" w:rsidP="008B1C85">
            <w:pPr>
              <w:pStyle w:val="Tabletext"/>
            </w:pPr>
            <w:r w:rsidRPr="008D1DEC">
              <w:t>A diagnosis of airflow obstruction can be made if the FEV</w:t>
            </w:r>
            <w:r w:rsidRPr="008D1DEC">
              <w:rPr>
                <w:vertAlign w:val="subscript"/>
              </w:rPr>
              <w:t>1</w:t>
            </w:r>
            <w:r w:rsidRPr="008D1DEC">
              <w:t>/FVC &lt; 0.7 (i.e. 70%) and FEV</w:t>
            </w:r>
            <w:r w:rsidRPr="008D1DEC">
              <w:rPr>
                <w:vertAlign w:val="subscript"/>
              </w:rPr>
              <w:t xml:space="preserve">1 </w:t>
            </w:r>
            <w:r w:rsidRPr="008D1DEC">
              <w:t>&lt; 80% predicted.</w:t>
            </w:r>
          </w:p>
        </w:tc>
        <w:tc>
          <w:tcPr>
            <w:tcW w:w="2262" w:type="dxa"/>
            <w:tcBorders>
              <w:top w:val="single" w:sz="4" w:space="0" w:color="auto"/>
              <w:left w:val="single" w:sz="4" w:space="0" w:color="auto"/>
              <w:bottom w:val="single" w:sz="4" w:space="0" w:color="auto"/>
              <w:right w:val="single" w:sz="4" w:space="0" w:color="auto"/>
            </w:tcBorders>
            <w:hideMark/>
          </w:tcPr>
          <w:p w14:paraId="7C3ECE55" w14:textId="77777777" w:rsidR="008B1C85" w:rsidRDefault="008B1C85" w:rsidP="008B1C85">
            <w:pPr>
              <w:pStyle w:val="Tabletext"/>
              <w:jc w:val="center"/>
            </w:pPr>
            <w:r>
              <w:t>IV</w:t>
            </w:r>
          </w:p>
        </w:tc>
      </w:tr>
      <w:tr w:rsidR="008B1C85" w14:paraId="6E321390" w14:textId="77777777" w:rsidTr="008B1C85">
        <w:tc>
          <w:tcPr>
            <w:tcW w:w="6799" w:type="dxa"/>
            <w:tcBorders>
              <w:top w:val="single" w:sz="4" w:space="0" w:color="auto"/>
              <w:left w:val="single" w:sz="4" w:space="0" w:color="auto"/>
              <w:bottom w:val="single" w:sz="4" w:space="0" w:color="auto"/>
              <w:right w:val="single" w:sz="4" w:space="0" w:color="auto"/>
            </w:tcBorders>
            <w:hideMark/>
          </w:tcPr>
          <w:p w14:paraId="6392764D" w14:textId="77777777" w:rsidR="008B1C85" w:rsidRPr="008D1DEC" w:rsidRDefault="008B1C85" w:rsidP="008B1C85">
            <w:pPr>
              <w:pStyle w:val="Tabletext"/>
            </w:pPr>
            <w:r w:rsidRPr="008D1DEC">
              <w:t xml:space="preserve">In individual patients </w:t>
            </w:r>
            <w:r>
              <w:t>PEF</w:t>
            </w:r>
            <w:r w:rsidRPr="008D1DEC">
              <w:t xml:space="preserve"> rates have not been validated for the diagnosis of COPD and a normal PEF rate does not exclude significant airflow obstruction</w:t>
            </w:r>
            <w:r w:rsidRPr="008D1DEC">
              <w:rPr>
                <w:vertAlign w:val="superscript"/>
              </w:rPr>
              <w:t xml:space="preserve"> </w:t>
            </w:r>
            <w:r w:rsidRPr="008D1DEC">
              <w:rPr>
                <w:i/>
              </w:rPr>
              <w:t>(Nolan, 1999)</w:t>
            </w:r>
            <w:r w:rsidRPr="008D1DEC">
              <w:t>.</w:t>
            </w:r>
          </w:p>
        </w:tc>
        <w:tc>
          <w:tcPr>
            <w:tcW w:w="2262" w:type="dxa"/>
            <w:tcBorders>
              <w:top w:val="single" w:sz="4" w:space="0" w:color="auto"/>
              <w:left w:val="single" w:sz="4" w:space="0" w:color="auto"/>
              <w:bottom w:val="single" w:sz="4" w:space="0" w:color="auto"/>
              <w:right w:val="single" w:sz="4" w:space="0" w:color="auto"/>
            </w:tcBorders>
            <w:hideMark/>
          </w:tcPr>
          <w:p w14:paraId="04D15838" w14:textId="77777777" w:rsidR="008B1C85" w:rsidRDefault="008B1C85" w:rsidP="008B1C85">
            <w:pPr>
              <w:pStyle w:val="Tabletext"/>
              <w:jc w:val="center"/>
            </w:pPr>
            <w:r>
              <w:t>IV</w:t>
            </w:r>
          </w:p>
        </w:tc>
      </w:tr>
      <w:tr w:rsidR="008B1C85" w14:paraId="208144D8" w14:textId="77777777" w:rsidTr="008B1C85">
        <w:tc>
          <w:tcPr>
            <w:tcW w:w="6799" w:type="dxa"/>
            <w:tcBorders>
              <w:top w:val="single" w:sz="4" w:space="0" w:color="auto"/>
              <w:left w:val="single" w:sz="4" w:space="0" w:color="auto"/>
              <w:bottom w:val="single" w:sz="4" w:space="0" w:color="auto"/>
              <w:right w:val="single" w:sz="4" w:space="0" w:color="auto"/>
            </w:tcBorders>
            <w:hideMark/>
          </w:tcPr>
          <w:p w14:paraId="1225767F" w14:textId="77777777" w:rsidR="008B1C85" w:rsidRPr="008D1DEC" w:rsidRDefault="008B1C85" w:rsidP="008B1C85">
            <w:pPr>
              <w:pStyle w:val="Tabletext"/>
            </w:pPr>
            <w:r w:rsidRPr="008D1DEC">
              <w:t>Spirometry is a poor predictor of disability and quality of life in COPD</w:t>
            </w:r>
            <w:r w:rsidRPr="008D1DEC">
              <w:rPr>
                <w:vertAlign w:val="superscript"/>
              </w:rPr>
              <w:t xml:space="preserve"> </w:t>
            </w:r>
            <w:r w:rsidRPr="008D1DEC">
              <w:rPr>
                <w:i/>
              </w:rPr>
              <w:t>(Jones, 2001)</w:t>
            </w:r>
            <w:r w:rsidRPr="008D1DEC">
              <w:t>.</w:t>
            </w:r>
          </w:p>
        </w:tc>
        <w:tc>
          <w:tcPr>
            <w:tcW w:w="2262" w:type="dxa"/>
            <w:tcBorders>
              <w:top w:val="single" w:sz="4" w:space="0" w:color="auto"/>
              <w:left w:val="single" w:sz="4" w:space="0" w:color="auto"/>
              <w:bottom w:val="single" w:sz="4" w:space="0" w:color="auto"/>
              <w:right w:val="single" w:sz="4" w:space="0" w:color="auto"/>
            </w:tcBorders>
            <w:hideMark/>
          </w:tcPr>
          <w:p w14:paraId="423FB14A" w14:textId="77777777" w:rsidR="008B1C85" w:rsidRDefault="008B1C85" w:rsidP="008B1C85">
            <w:pPr>
              <w:pStyle w:val="Tabletext"/>
              <w:jc w:val="center"/>
            </w:pPr>
            <w:r>
              <w:t>IV</w:t>
            </w:r>
          </w:p>
        </w:tc>
      </w:tr>
      <w:tr w:rsidR="008B1C85" w14:paraId="35B8BB7A" w14:textId="77777777" w:rsidTr="008B1C85">
        <w:tc>
          <w:tcPr>
            <w:tcW w:w="6799" w:type="dxa"/>
            <w:tcBorders>
              <w:top w:val="single" w:sz="4" w:space="0" w:color="auto"/>
              <w:left w:val="single" w:sz="4" w:space="0" w:color="auto"/>
              <w:bottom w:val="single" w:sz="4" w:space="0" w:color="auto"/>
              <w:right w:val="single" w:sz="4" w:space="0" w:color="auto"/>
            </w:tcBorders>
            <w:hideMark/>
          </w:tcPr>
          <w:p w14:paraId="1A3AC798" w14:textId="77777777" w:rsidR="008B1C85" w:rsidRPr="008D1DEC" w:rsidRDefault="008B1C85" w:rsidP="008B1C85">
            <w:pPr>
              <w:pStyle w:val="Tabletext"/>
            </w:pPr>
            <w:r w:rsidRPr="008D1DEC">
              <w:t xml:space="preserve">Spirometry predicts prognosis in COPD </w:t>
            </w:r>
            <w:r w:rsidRPr="008D1DEC">
              <w:rPr>
                <w:i/>
              </w:rPr>
              <w:t>(Anthonisen, 1986; Burrows, 1989)</w:t>
            </w:r>
            <w:r w:rsidRPr="008D1DEC">
              <w:t>.</w:t>
            </w:r>
          </w:p>
        </w:tc>
        <w:tc>
          <w:tcPr>
            <w:tcW w:w="2262" w:type="dxa"/>
            <w:tcBorders>
              <w:top w:val="single" w:sz="4" w:space="0" w:color="auto"/>
              <w:left w:val="single" w:sz="4" w:space="0" w:color="auto"/>
              <w:bottom w:val="single" w:sz="4" w:space="0" w:color="auto"/>
              <w:right w:val="single" w:sz="4" w:space="0" w:color="auto"/>
            </w:tcBorders>
            <w:hideMark/>
          </w:tcPr>
          <w:p w14:paraId="5C07E3BD" w14:textId="77777777" w:rsidR="008B1C85" w:rsidRDefault="008B1C85" w:rsidP="008B1C85">
            <w:pPr>
              <w:pStyle w:val="Tabletext"/>
              <w:jc w:val="center"/>
            </w:pPr>
            <w:r>
              <w:t>IV</w:t>
            </w:r>
          </w:p>
        </w:tc>
      </w:tr>
      <w:tr w:rsidR="008B1C85" w14:paraId="0468ADFD" w14:textId="77777777" w:rsidTr="008B1C85">
        <w:tc>
          <w:tcPr>
            <w:tcW w:w="6799" w:type="dxa"/>
            <w:tcBorders>
              <w:top w:val="single" w:sz="4" w:space="0" w:color="auto"/>
              <w:left w:val="single" w:sz="4" w:space="0" w:color="auto"/>
              <w:bottom w:val="single" w:sz="4" w:space="0" w:color="auto"/>
              <w:right w:val="single" w:sz="4" w:space="0" w:color="auto"/>
            </w:tcBorders>
            <w:hideMark/>
          </w:tcPr>
          <w:p w14:paraId="0AFD0DCB" w14:textId="77777777" w:rsidR="008B1C85" w:rsidRPr="008D1DEC" w:rsidRDefault="008B1C85" w:rsidP="008B1C85">
            <w:pPr>
              <w:pStyle w:val="Tabletext"/>
            </w:pPr>
            <w:r w:rsidRPr="008D1DEC">
              <w:t>Spirometry contributes to the assessment of the severity of COPD.</w:t>
            </w:r>
          </w:p>
        </w:tc>
        <w:tc>
          <w:tcPr>
            <w:tcW w:w="2262" w:type="dxa"/>
            <w:tcBorders>
              <w:top w:val="single" w:sz="4" w:space="0" w:color="auto"/>
              <w:left w:val="single" w:sz="4" w:space="0" w:color="auto"/>
              <w:bottom w:val="single" w:sz="4" w:space="0" w:color="auto"/>
              <w:right w:val="single" w:sz="4" w:space="0" w:color="auto"/>
            </w:tcBorders>
            <w:hideMark/>
          </w:tcPr>
          <w:p w14:paraId="2906C963" w14:textId="77777777" w:rsidR="008B1C85" w:rsidRDefault="008B1C85" w:rsidP="008B1C85">
            <w:pPr>
              <w:pStyle w:val="Tabletext"/>
              <w:jc w:val="center"/>
            </w:pPr>
            <w:r>
              <w:t>IV</w:t>
            </w:r>
          </w:p>
        </w:tc>
      </w:tr>
      <w:tr w:rsidR="008B1C85" w14:paraId="3B23312C" w14:textId="77777777" w:rsidTr="008B1C85">
        <w:tc>
          <w:tcPr>
            <w:tcW w:w="6799" w:type="dxa"/>
            <w:tcBorders>
              <w:top w:val="single" w:sz="4" w:space="0" w:color="auto"/>
              <w:left w:val="single" w:sz="4" w:space="0" w:color="auto"/>
              <w:bottom w:val="single" w:sz="4" w:space="0" w:color="auto"/>
              <w:right w:val="single" w:sz="4" w:space="0" w:color="auto"/>
            </w:tcBorders>
            <w:hideMark/>
          </w:tcPr>
          <w:p w14:paraId="3EE78047" w14:textId="77777777" w:rsidR="008B1C85" w:rsidRPr="008D1DEC" w:rsidRDefault="008B1C85" w:rsidP="008B1C85">
            <w:pPr>
              <w:pStyle w:val="Tabletext"/>
            </w:pPr>
            <w:r w:rsidRPr="008D1DEC">
              <w:t>Spirometry alone cannot separate asthma from COPD.</w:t>
            </w:r>
          </w:p>
        </w:tc>
        <w:tc>
          <w:tcPr>
            <w:tcW w:w="2262" w:type="dxa"/>
            <w:tcBorders>
              <w:top w:val="single" w:sz="4" w:space="0" w:color="auto"/>
              <w:left w:val="single" w:sz="4" w:space="0" w:color="auto"/>
              <w:bottom w:val="single" w:sz="4" w:space="0" w:color="auto"/>
              <w:right w:val="single" w:sz="4" w:space="0" w:color="auto"/>
            </w:tcBorders>
            <w:hideMark/>
          </w:tcPr>
          <w:p w14:paraId="5230F491" w14:textId="77777777" w:rsidR="008B1C85" w:rsidRDefault="008B1C85" w:rsidP="008B1C85">
            <w:pPr>
              <w:pStyle w:val="Tabletext"/>
              <w:jc w:val="center"/>
            </w:pPr>
            <w:r>
              <w:t>IV</w:t>
            </w:r>
          </w:p>
        </w:tc>
      </w:tr>
      <w:tr w:rsidR="008B1C85" w14:paraId="0399C250" w14:textId="77777777" w:rsidTr="008B1C85">
        <w:tc>
          <w:tcPr>
            <w:tcW w:w="6799" w:type="dxa"/>
            <w:tcBorders>
              <w:top w:val="single" w:sz="4" w:space="0" w:color="auto"/>
              <w:left w:val="single" w:sz="4" w:space="0" w:color="auto"/>
              <w:bottom w:val="single" w:sz="4" w:space="0" w:color="auto"/>
              <w:right w:val="single" w:sz="4" w:space="0" w:color="auto"/>
            </w:tcBorders>
            <w:hideMark/>
          </w:tcPr>
          <w:p w14:paraId="50223E4C" w14:textId="77777777" w:rsidR="008B1C85" w:rsidRPr="008D1DEC" w:rsidRDefault="008B1C85" w:rsidP="008B1C85">
            <w:pPr>
              <w:pStyle w:val="Tabletext"/>
            </w:pPr>
            <w:r w:rsidRPr="008D1DEC">
              <w:t>Changes in the flow volume loop may give additional information about mild airflow obstruction.</w:t>
            </w:r>
          </w:p>
        </w:tc>
        <w:tc>
          <w:tcPr>
            <w:tcW w:w="2262" w:type="dxa"/>
            <w:tcBorders>
              <w:top w:val="single" w:sz="4" w:space="0" w:color="auto"/>
              <w:left w:val="single" w:sz="4" w:space="0" w:color="auto"/>
              <w:bottom w:val="single" w:sz="4" w:space="0" w:color="auto"/>
              <w:right w:val="single" w:sz="4" w:space="0" w:color="auto"/>
            </w:tcBorders>
            <w:hideMark/>
          </w:tcPr>
          <w:p w14:paraId="4CBCD73B" w14:textId="77777777" w:rsidR="008B1C85" w:rsidRDefault="008B1C85" w:rsidP="008B1C85">
            <w:pPr>
              <w:pStyle w:val="Tabletext"/>
              <w:jc w:val="center"/>
            </w:pPr>
            <w:r>
              <w:t>IV</w:t>
            </w:r>
          </w:p>
        </w:tc>
      </w:tr>
      <w:tr w:rsidR="008B1C85" w14:paraId="7ED13DFF" w14:textId="77777777" w:rsidTr="008B1C85">
        <w:tc>
          <w:tcPr>
            <w:tcW w:w="6799" w:type="dxa"/>
            <w:tcBorders>
              <w:top w:val="single" w:sz="4" w:space="0" w:color="auto"/>
              <w:left w:val="single" w:sz="4" w:space="0" w:color="auto"/>
              <w:bottom w:val="single" w:sz="4" w:space="0" w:color="auto"/>
              <w:right w:val="single" w:sz="4" w:space="0" w:color="auto"/>
            </w:tcBorders>
            <w:hideMark/>
          </w:tcPr>
          <w:p w14:paraId="3CC01C4D" w14:textId="77777777" w:rsidR="008B1C85" w:rsidRDefault="008B1C85" w:rsidP="008B1C85">
            <w:pPr>
              <w:pStyle w:val="Tabletext"/>
            </w:pPr>
            <w:r>
              <w:t>Measurement of the slow vital capacity may allow the assessment of airflow obstruction in patients who are unable to perform a forced manoeuvre to full exhalation.</w:t>
            </w:r>
          </w:p>
        </w:tc>
        <w:tc>
          <w:tcPr>
            <w:tcW w:w="2262" w:type="dxa"/>
            <w:tcBorders>
              <w:top w:val="single" w:sz="4" w:space="0" w:color="auto"/>
              <w:left w:val="single" w:sz="4" w:space="0" w:color="auto"/>
              <w:bottom w:val="single" w:sz="4" w:space="0" w:color="auto"/>
              <w:right w:val="single" w:sz="4" w:space="0" w:color="auto"/>
            </w:tcBorders>
            <w:hideMark/>
          </w:tcPr>
          <w:p w14:paraId="310A9A61" w14:textId="77777777" w:rsidR="008B1C85" w:rsidRDefault="008B1C85" w:rsidP="008B1C85">
            <w:pPr>
              <w:pStyle w:val="Tabletext"/>
              <w:jc w:val="center"/>
            </w:pPr>
            <w:r>
              <w:t>IV</w:t>
            </w:r>
          </w:p>
        </w:tc>
      </w:tr>
    </w:tbl>
    <w:p w14:paraId="3C4459C5" w14:textId="77777777" w:rsidR="008B1C85" w:rsidRDefault="008B1C85" w:rsidP="008B1C85">
      <w:pPr>
        <w:pStyle w:val="08Tablefootnotes"/>
      </w:pPr>
      <w:r>
        <w:t>Note: IV = Evidence from expert committee reports or opinions and/or clinical experience of respected authorities.</w:t>
      </w:r>
    </w:p>
    <w:p w14:paraId="2534B768" w14:textId="77777777" w:rsidR="008B1C85" w:rsidRPr="00086EE8" w:rsidRDefault="008B1C85" w:rsidP="008B1C85">
      <w:pPr>
        <w:pStyle w:val="09Tablefootnoteslast-nostick"/>
      </w:pPr>
      <w:r>
        <w:t>Abbreviations: COPD, chronic obstructive pulmonary disease; FEV, forced expiratory volume; FVC, forced vital capacity; GDG, Guideline Development Group; PEF, peak expiratory flow.</w:t>
      </w:r>
    </w:p>
    <w:p w14:paraId="726CC647" w14:textId="77777777" w:rsidR="008B1C85" w:rsidRDefault="008B1C85" w:rsidP="008B1C85">
      <w:r>
        <w:t>Two diagnostic research questions were addressed in the NCGC guideline; they are both of relevance to this MBS Review.</w:t>
      </w:r>
    </w:p>
    <w:p w14:paraId="51FF8628" w14:textId="77777777" w:rsidR="008B1C85" w:rsidRPr="00BB57F7" w:rsidRDefault="008B1C85" w:rsidP="008B1C85">
      <w:pPr>
        <w:pStyle w:val="BodyText"/>
        <w:ind w:left="720"/>
        <w:rPr>
          <w:i/>
        </w:rPr>
      </w:pPr>
      <w:r w:rsidRPr="00BB57F7">
        <w:rPr>
          <w:i/>
        </w:rPr>
        <w:t>How does post bronchodilator FEV</w:t>
      </w:r>
      <w:r w:rsidRPr="00BB57F7">
        <w:rPr>
          <w:i/>
          <w:vertAlign w:val="subscript"/>
        </w:rPr>
        <w:t>1</w:t>
      </w:r>
      <w:r w:rsidRPr="00BB57F7">
        <w:rPr>
          <w:i/>
        </w:rPr>
        <w:t xml:space="preserve"> (forced expiratory volume in one second) compare with pre bronchodilator FEV</w:t>
      </w:r>
      <w:r w:rsidRPr="00BB57F7">
        <w:rPr>
          <w:i/>
          <w:vertAlign w:val="subscript"/>
        </w:rPr>
        <w:t>1</w:t>
      </w:r>
      <w:r w:rsidRPr="00BB57F7">
        <w:rPr>
          <w:i/>
        </w:rPr>
        <w:t xml:space="preserve"> in terms of: a) sensitivity / specificity of FEV</w:t>
      </w:r>
      <w:r w:rsidRPr="00BB57F7">
        <w:rPr>
          <w:i/>
          <w:vertAlign w:val="subscript"/>
        </w:rPr>
        <w:t>1</w:t>
      </w:r>
      <w:r w:rsidRPr="00BB57F7">
        <w:rPr>
          <w:i/>
        </w:rPr>
        <w:t xml:space="preserve"> for diagnosis; b) classification of severity of disease?</w:t>
      </w:r>
    </w:p>
    <w:p w14:paraId="52CA89D1" w14:textId="77777777" w:rsidR="008B1C85" w:rsidRPr="00BB57F7" w:rsidRDefault="008B1C85" w:rsidP="008B1C85">
      <w:pPr>
        <w:pStyle w:val="BodyText"/>
        <w:ind w:left="720"/>
        <w:rPr>
          <w:i/>
        </w:rPr>
      </w:pPr>
      <w:r w:rsidRPr="00BB57F7">
        <w:rPr>
          <w:i/>
        </w:rPr>
        <w:t>In individuals where the diagnosis of COPD is considered and spirometry is conducted, what are the sensitivity and specificity of a fixed ratio FEV</w:t>
      </w:r>
      <w:r w:rsidRPr="00F13BA0">
        <w:rPr>
          <w:i/>
          <w:vertAlign w:val="subscript"/>
        </w:rPr>
        <w:t>1</w:t>
      </w:r>
      <w:r w:rsidRPr="00BB57F7">
        <w:rPr>
          <w:i/>
        </w:rPr>
        <w:t>/FVC compared with the lower limit of normal FEV</w:t>
      </w:r>
      <w:r w:rsidRPr="00F13BA0">
        <w:rPr>
          <w:i/>
          <w:vertAlign w:val="subscript"/>
        </w:rPr>
        <w:t>1</w:t>
      </w:r>
      <w:r w:rsidRPr="00BB57F7">
        <w:rPr>
          <w:i/>
        </w:rPr>
        <w:t>/FVC ratio to diagnose COPD?</w:t>
      </w:r>
    </w:p>
    <w:p w14:paraId="3F15F63C" w14:textId="77777777" w:rsidR="008B1C85" w:rsidRDefault="008B1C85" w:rsidP="00B50F00">
      <w:r>
        <w:t xml:space="preserve">The systematic literature review (search date August 2009) identified two studies that compared pre- and post-bronchodilator </w:t>
      </w:r>
      <w:r w:rsidRPr="00310CAA">
        <w:t>FEV</w:t>
      </w:r>
      <w:r w:rsidRPr="00310CAA">
        <w:rPr>
          <w:vertAlign w:val="subscript"/>
        </w:rPr>
        <w:t>1</w:t>
      </w:r>
      <w:r>
        <w:t xml:space="preserve"> measures to a clinical diagnosis of COPD (based on symptoms) and were relevant to the first question. Importantly, the purpose of this question was to examine pre- and post-bronchodilator spirometry as independent tests of airway obstruction/COPD and not to assess reversibility testing. The guideline stated that reversibility testing is not deemed to be a necessary routine diagnostic procedure; this is discussed in more </w:t>
      </w:r>
      <w:r w:rsidRPr="00490766">
        <w:t>detail later in this section.</w:t>
      </w:r>
    </w:p>
    <w:p w14:paraId="4894376F" w14:textId="77777777" w:rsidR="008B1C85" w:rsidRDefault="008B1C85" w:rsidP="00B50F00">
      <w:r>
        <w:t>Neither of the studies allowed for assessment of sensitivity and specificity and no evidence was found to compare the impact of pre- versus post-bronchodilator spirometry on mortality over time.</w:t>
      </w:r>
    </w:p>
    <w:p w14:paraId="791F7CC8" w14:textId="77777777" w:rsidR="008B1C85" w:rsidRDefault="008B1C85" w:rsidP="00B50F00">
      <w:r>
        <w:t>Despite a paucity of robust evidence, the NGCG guideline recommended that post-bronchodilator spirometry is assessed to confirm the diagnosis of COPD. This resulted in an update to Recommendation 4 (see</w:t>
      </w:r>
      <w:r w:rsidR="0063592C">
        <w:t xml:space="preserve"> Table 23</w:t>
      </w:r>
      <w:r>
        <w:t xml:space="preserve">). The GDG noted that this update makes the recommendation </w:t>
      </w:r>
      <w:r>
        <w:lastRenderedPageBreak/>
        <w:t>concordant with international guidelines, the Quality Outcome Framework, and the National Strategy for COPD.</w:t>
      </w:r>
    </w:p>
    <w:p w14:paraId="4802EE3B" w14:textId="77777777" w:rsidR="008B1C85" w:rsidRDefault="008B1C85" w:rsidP="00B50F00">
      <w:r>
        <w:t>Four cross-sectional studies were identified that compared FEV</w:t>
      </w:r>
      <w:r>
        <w:rPr>
          <w:vertAlign w:val="subscript"/>
        </w:rPr>
        <w:t>1</w:t>
      </w:r>
      <w:r>
        <w:t>/FVC ratio – fixed versus LLN – with a physician’s diagnosis of COPD.</w:t>
      </w:r>
      <w:r>
        <w:rPr>
          <w:rStyle w:val="FootnoteReference"/>
        </w:rPr>
        <w:footnoteReference w:id="14"/>
      </w:r>
      <w:r>
        <w:t xml:space="preserve"> These studies were relevant to the second diagnostic question.</w:t>
      </w:r>
      <w:r>
        <w:rPr>
          <w:rStyle w:val="FootnoteReference"/>
        </w:rPr>
        <w:footnoteReference w:id="15"/>
      </w:r>
      <w:r>
        <w:t xml:space="preserve"> </w:t>
      </w:r>
    </w:p>
    <w:p w14:paraId="337A24BA" w14:textId="77777777" w:rsidR="008B1C85" w:rsidRPr="00613689" w:rsidRDefault="008B1C85" w:rsidP="00B50F00">
      <w:pPr>
        <w:rPr>
          <w:b/>
        </w:rPr>
      </w:pPr>
      <w:r>
        <w:t>The two larger studies showed that fixed ratio FEV</w:t>
      </w:r>
      <w:r>
        <w:rPr>
          <w:vertAlign w:val="subscript"/>
        </w:rPr>
        <w:t>1</w:t>
      </w:r>
      <w:r>
        <w:t>/FVC was most similar to the physician’s diagnosis, whereas the two smaller studies showed that the LLN FEV</w:t>
      </w:r>
      <w:r>
        <w:rPr>
          <w:vertAlign w:val="subscript"/>
        </w:rPr>
        <w:t>1</w:t>
      </w:r>
      <w:r>
        <w:t>/FVC was most similar to the physician’s diagnosis. Nonetheless, the guideline stated that ultimately the lack of predictive equations and reference values for post-bronchodilator FEV</w:t>
      </w:r>
      <w:r>
        <w:rPr>
          <w:vertAlign w:val="subscript"/>
        </w:rPr>
        <w:t>1</w:t>
      </w:r>
      <w:r>
        <w:t xml:space="preserve"> and FVC values render the use of LLN impractical.</w:t>
      </w:r>
    </w:p>
    <w:p w14:paraId="6FDFBE7F" w14:textId="77777777" w:rsidR="008B1C85" w:rsidRDefault="008B1C85" w:rsidP="00B50F00">
      <w:r>
        <w:t>The NCGC recommendations relating to the use of spirometry for the diagnosis of COPD are listed in</w:t>
      </w:r>
      <w:r w:rsidR="0063592C">
        <w:t xml:space="preserve"> Table 23</w:t>
      </w:r>
      <w:r>
        <w:t>. The recommendations are graded to indicate the strength of evidence underpinning the recommendations. In light of the limited evidence base, the majority of recommendations relevant to this MBS Review were Grade D recommendations, indicating that they are based on low-level evidence or extrapolated from higher-level evidence.</w:t>
      </w:r>
    </w:p>
    <w:p w14:paraId="759C008D" w14:textId="07391F7A" w:rsidR="008B1C85" w:rsidRDefault="0063592C" w:rsidP="00DF3A06">
      <w:pPr>
        <w:pStyle w:val="Appcaption"/>
      </w:pPr>
      <w:r w:rsidRPr="00934708">
        <w:t xml:space="preserve">Table </w:t>
      </w:r>
      <w:fldSimple w:instr=" SEQ Title \* ARABIC ">
        <w:r w:rsidR="00F2203C">
          <w:rPr>
            <w:noProof/>
          </w:rPr>
          <w:t>23</w:t>
        </w:r>
      </w:fldSimple>
      <w:r w:rsidR="008B1C85" w:rsidRPr="00934708">
        <w:rPr>
          <w:noProof/>
        </w:rPr>
        <w:tab/>
        <w:t>NCGC (2010):</w:t>
      </w:r>
      <w:r w:rsidR="008B1C85" w:rsidRPr="00934708">
        <w:t xml:space="preserve"> Recommendations on the use of spirometry for diagnosis of COPD</w:t>
      </w:r>
    </w:p>
    <w:tbl>
      <w:tblPr>
        <w:tblStyle w:val="TableGrid"/>
        <w:tblW w:w="0" w:type="auto"/>
        <w:tblLook w:val="04A0" w:firstRow="1" w:lastRow="0" w:firstColumn="1" w:lastColumn="0" w:noHBand="0" w:noVBand="1"/>
        <w:tblDescription w:val="Appendix C table 23 list the 2010 National Clinical Guideline Centre (NCGC) recommendations. This table contains 2 column headings: 1. Recommendations and 2. Grading of recommendations related to the use of spirometry for diagnosis of Chronic Obstructive Pulmonary Disease (COPD)."/>
      </w:tblPr>
      <w:tblGrid>
        <w:gridCol w:w="7329"/>
        <w:gridCol w:w="1732"/>
      </w:tblGrid>
      <w:tr w:rsidR="008B1C85" w:rsidRPr="00A0517F" w14:paraId="02921FD5" w14:textId="77777777" w:rsidTr="00FF6AB5">
        <w:trPr>
          <w:tblHeader/>
        </w:trPr>
        <w:tc>
          <w:tcPr>
            <w:tcW w:w="7366" w:type="dxa"/>
            <w:tcBorders>
              <w:top w:val="single" w:sz="4" w:space="0" w:color="auto"/>
              <w:left w:val="single" w:sz="4" w:space="0" w:color="auto"/>
              <w:bottom w:val="single" w:sz="4" w:space="0" w:color="auto"/>
              <w:right w:val="single" w:sz="4" w:space="0" w:color="auto"/>
            </w:tcBorders>
          </w:tcPr>
          <w:p w14:paraId="7CCE0925" w14:textId="77777777" w:rsidR="008B1C85" w:rsidRPr="004C005F" w:rsidRDefault="008B1C85" w:rsidP="00E359E9">
            <w:pPr>
              <w:pStyle w:val="Tableheading"/>
            </w:pPr>
            <w:r w:rsidRPr="004C005F">
              <w:t>Recommendations</w:t>
            </w:r>
          </w:p>
        </w:tc>
        <w:tc>
          <w:tcPr>
            <w:tcW w:w="1695" w:type="dxa"/>
            <w:tcBorders>
              <w:top w:val="single" w:sz="4" w:space="0" w:color="auto"/>
              <w:left w:val="single" w:sz="4" w:space="0" w:color="auto"/>
              <w:bottom w:val="single" w:sz="4" w:space="0" w:color="auto"/>
              <w:right w:val="single" w:sz="4" w:space="0" w:color="auto"/>
            </w:tcBorders>
            <w:hideMark/>
          </w:tcPr>
          <w:p w14:paraId="0741CE40" w14:textId="77777777" w:rsidR="008B1C85" w:rsidRPr="004C005F" w:rsidRDefault="008B1C85" w:rsidP="00E359E9">
            <w:pPr>
              <w:pStyle w:val="Tableheading"/>
              <w:rPr>
                <w:rFonts w:cstheme="minorHAnsi"/>
              </w:rPr>
            </w:pPr>
            <w:r w:rsidRPr="004C005F">
              <w:rPr>
                <w:rFonts w:cstheme="minorHAnsi"/>
              </w:rPr>
              <w:t>Grading of recommendations</w:t>
            </w:r>
          </w:p>
        </w:tc>
      </w:tr>
      <w:tr w:rsidR="008B1C85" w:rsidRPr="00A0517F" w14:paraId="6C7FC01A" w14:textId="77777777" w:rsidTr="008B1C85">
        <w:trPr>
          <w:trHeight w:val="1628"/>
        </w:trPr>
        <w:tc>
          <w:tcPr>
            <w:tcW w:w="7366" w:type="dxa"/>
            <w:tcBorders>
              <w:top w:val="single" w:sz="4" w:space="0" w:color="auto"/>
              <w:left w:val="single" w:sz="4" w:space="0" w:color="auto"/>
              <w:right w:val="single" w:sz="4" w:space="0" w:color="auto"/>
            </w:tcBorders>
          </w:tcPr>
          <w:p w14:paraId="3ADBD2CB" w14:textId="77777777" w:rsidR="008B1C85" w:rsidRPr="00A0517F" w:rsidRDefault="008B1C85" w:rsidP="008B1C85">
            <w:pPr>
              <w:pStyle w:val="Tabletext"/>
              <w:rPr>
                <w:rFonts w:cstheme="minorHAnsi"/>
              </w:rPr>
            </w:pPr>
            <w:r w:rsidRPr="00A0517F">
              <w:rPr>
                <w:rFonts w:cstheme="minorHAnsi"/>
              </w:rPr>
              <w:t>R4: Spirometry should be performed:</w:t>
            </w:r>
          </w:p>
          <w:p w14:paraId="1E329A3B" w14:textId="77777777" w:rsidR="008B1C85" w:rsidRPr="000D2ACF" w:rsidRDefault="008B1C85" w:rsidP="000D2ACF">
            <w:pPr>
              <w:pStyle w:val="Tablebullet"/>
            </w:pPr>
            <w:r w:rsidRPr="00A0517F">
              <w:t xml:space="preserve">at the </w:t>
            </w:r>
            <w:r w:rsidRPr="000D2ACF">
              <w:t>time of diagnosis</w:t>
            </w:r>
          </w:p>
          <w:p w14:paraId="165383CE" w14:textId="77777777" w:rsidR="008B1C85" w:rsidRPr="000D2ACF" w:rsidRDefault="008B1C85" w:rsidP="000D2ACF">
            <w:pPr>
              <w:pStyle w:val="Tablebullet"/>
            </w:pPr>
            <w:r w:rsidRPr="000D2ACF">
              <w:t>to reconsider the diagnosis, if patients show an exceptionally good response to treatment.</w:t>
            </w:r>
          </w:p>
          <w:p w14:paraId="1CF43C6C" w14:textId="77777777" w:rsidR="008B1C85" w:rsidRPr="00EB5EA3" w:rsidRDefault="008B1C85" w:rsidP="008B1C85">
            <w:pPr>
              <w:pStyle w:val="03Tabletextspacebefore"/>
              <w:rPr>
                <w:rStyle w:val="TabletextChar"/>
              </w:rPr>
            </w:pPr>
            <w:r w:rsidRPr="00E359E9">
              <w:rPr>
                <w:rStyle w:val="TabletextChar"/>
              </w:rPr>
              <w:t>U1: Measure post</w:t>
            </w:r>
            <w:r w:rsidRPr="00A0517F">
              <w:rPr>
                <w:rFonts w:asciiTheme="minorHAnsi" w:hAnsiTheme="minorHAnsi" w:cstheme="minorHAnsi"/>
              </w:rPr>
              <w:t>-</w:t>
            </w:r>
            <w:r w:rsidRPr="00E359E9">
              <w:rPr>
                <w:rStyle w:val="TabletextChar"/>
              </w:rPr>
              <w:t>bronchodilator spirometry to confirm the diagnosis of COPD.</w:t>
            </w:r>
            <w:r w:rsidRPr="00E359E9">
              <w:rPr>
                <w:rStyle w:val="TabletextChar"/>
              </w:rPr>
              <w:br/>
              <w:t>U2</w:t>
            </w:r>
            <w:r w:rsidRPr="00EB5EA3">
              <w:rPr>
                <w:rStyle w:val="TabletextChar"/>
              </w:rPr>
              <w:t>: Consider alternative diagnoses or investigations in:</w:t>
            </w:r>
          </w:p>
          <w:p w14:paraId="60BEB2C1" w14:textId="77777777" w:rsidR="008B1C85" w:rsidRPr="000D2ACF" w:rsidRDefault="008B1C85" w:rsidP="000D2ACF">
            <w:pPr>
              <w:pStyle w:val="Tablebullet"/>
            </w:pPr>
            <w:r w:rsidRPr="00A0517F">
              <w:t xml:space="preserve">older people without </w:t>
            </w:r>
            <w:r w:rsidRPr="000D2ACF">
              <w:t>typical symptoms of COPD where the FEV1/FVC ratio is &lt; 0.7</w:t>
            </w:r>
          </w:p>
          <w:p w14:paraId="0EDC86CF" w14:textId="77777777" w:rsidR="008B1C85" w:rsidRPr="00A0517F" w:rsidRDefault="008B1C85" w:rsidP="000D2ACF">
            <w:pPr>
              <w:pStyle w:val="Tablebullet"/>
            </w:pPr>
            <w:r w:rsidRPr="000D2ACF">
              <w:t>younger people with sy</w:t>
            </w:r>
            <w:r w:rsidRPr="00A0517F">
              <w:t>mptoms of COPD where the FEV</w:t>
            </w:r>
            <w:r w:rsidRPr="00A0517F">
              <w:rPr>
                <w:vertAlign w:val="subscript"/>
              </w:rPr>
              <w:t>1</w:t>
            </w:r>
            <w:r w:rsidRPr="00A0517F">
              <w:t>/FVC ratio is ≥ 0.7.</w:t>
            </w:r>
          </w:p>
        </w:tc>
        <w:tc>
          <w:tcPr>
            <w:tcW w:w="1695" w:type="dxa"/>
            <w:tcBorders>
              <w:top w:val="single" w:sz="4" w:space="0" w:color="auto"/>
              <w:left w:val="single" w:sz="4" w:space="0" w:color="auto"/>
              <w:right w:val="single" w:sz="4" w:space="0" w:color="auto"/>
            </w:tcBorders>
            <w:hideMark/>
          </w:tcPr>
          <w:p w14:paraId="3D2C6DDE" w14:textId="77777777" w:rsidR="008B1C85" w:rsidRPr="00A0517F" w:rsidRDefault="008B1C85" w:rsidP="008B1C85">
            <w:pPr>
              <w:pStyle w:val="Tabletext"/>
              <w:jc w:val="center"/>
              <w:rPr>
                <w:rFonts w:cstheme="minorHAnsi"/>
              </w:rPr>
            </w:pPr>
            <w:r w:rsidRPr="00A0517F">
              <w:rPr>
                <w:rFonts w:cstheme="minorHAnsi"/>
              </w:rPr>
              <w:t>D</w:t>
            </w:r>
          </w:p>
        </w:tc>
      </w:tr>
      <w:tr w:rsidR="008B1C85" w:rsidRPr="00A0517F" w14:paraId="4F57604E" w14:textId="77777777" w:rsidTr="008B1C85">
        <w:tc>
          <w:tcPr>
            <w:tcW w:w="7366" w:type="dxa"/>
            <w:tcBorders>
              <w:top w:val="single" w:sz="4" w:space="0" w:color="auto"/>
              <w:left w:val="single" w:sz="4" w:space="0" w:color="auto"/>
              <w:bottom w:val="single" w:sz="4" w:space="0" w:color="auto"/>
              <w:right w:val="single" w:sz="4" w:space="0" w:color="auto"/>
            </w:tcBorders>
          </w:tcPr>
          <w:p w14:paraId="7BF99935" w14:textId="77777777" w:rsidR="008B1C85" w:rsidRPr="00A0517F" w:rsidRDefault="008B1C85" w:rsidP="008B1C85">
            <w:pPr>
              <w:pStyle w:val="Tabletext"/>
              <w:rPr>
                <w:rFonts w:cstheme="minorHAnsi"/>
              </w:rPr>
            </w:pPr>
            <w:r w:rsidRPr="00A0517F">
              <w:rPr>
                <w:rFonts w:cstheme="minorHAnsi"/>
              </w:rPr>
              <w:t>R5: All health professionals involved in the care of people with COPD should have access to spirometry and be competent in the interpretation of the results.</w:t>
            </w:r>
          </w:p>
        </w:tc>
        <w:tc>
          <w:tcPr>
            <w:tcW w:w="1695" w:type="dxa"/>
            <w:tcBorders>
              <w:top w:val="single" w:sz="4" w:space="0" w:color="auto"/>
              <w:left w:val="single" w:sz="4" w:space="0" w:color="auto"/>
              <w:bottom w:val="single" w:sz="4" w:space="0" w:color="auto"/>
              <w:right w:val="single" w:sz="4" w:space="0" w:color="auto"/>
            </w:tcBorders>
            <w:hideMark/>
          </w:tcPr>
          <w:p w14:paraId="31777885" w14:textId="77777777" w:rsidR="008B1C85" w:rsidRPr="00A0517F" w:rsidRDefault="008B1C85" w:rsidP="008B1C85">
            <w:pPr>
              <w:pStyle w:val="Tabletext"/>
              <w:jc w:val="center"/>
              <w:rPr>
                <w:rFonts w:cstheme="minorHAnsi"/>
              </w:rPr>
            </w:pPr>
            <w:r w:rsidRPr="00A0517F">
              <w:rPr>
                <w:rFonts w:cstheme="minorHAnsi"/>
              </w:rPr>
              <w:t>D</w:t>
            </w:r>
          </w:p>
        </w:tc>
      </w:tr>
      <w:tr w:rsidR="008B1C85" w:rsidRPr="00A0517F" w14:paraId="4D91FCC9" w14:textId="77777777" w:rsidTr="008B1C85">
        <w:tc>
          <w:tcPr>
            <w:tcW w:w="7366" w:type="dxa"/>
            <w:tcBorders>
              <w:top w:val="single" w:sz="4" w:space="0" w:color="auto"/>
              <w:left w:val="single" w:sz="4" w:space="0" w:color="auto"/>
              <w:bottom w:val="single" w:sz="4" w:space="0" w:color="auto"/>
              <w:right w:val="single" w:sz="4" w:space="0" w:color="auto"/>
            </w:tcBorders>
          </w:tcPr>
          <w:p w14:paraId="66166FF1" w14:textId="77777777" w:rsidR="008B1C85" w:rsidRPr="00A0517F" w:rsidRDefault="008B1C85" w:rsidP="008B1C85">
            <w:pPr>
              <w:pStyle w:val="Tabletext"/>
              <w:rPr>
                <w:rFonts w:cstheme="minorHAnsi"/>
              </w:rPr>
            </w:pPr>
            <w:r w:rsidRPr="00A0517F">
              <w:rPr>
                <w:rFonts w:cstheme="minorHAnsi"/>
              </w:rPr>
              <w:t>R6: Spirometry can be performed by any health care worker who has undergone appropriate training and who keeps his or her skills up to date.</w:t>
            </w:r>
          </w:p>
        </w:tc>
        <w:tc>
          <w:tcPr>
            <w:tcW w:w="1695" w:type="dxa"/>
            <w:tcBorders>
              <w:top w:val="single" w:sz="4" w:space="0" w:color="auto"/>
              <w:left w:val="single" w:sz="4" w:space="0" w:color="auto"/>
              <w:bottom w:val="single" w:sz="4" w:space="0" w:color="auto"/>
              <w:right w:val="single" w:sz="4" w:space="0" w:color="auto"/>
            </w:tcBorders>
            <w:hideMark/>
          </w:tcPr>
          <w:p w14:paraId="05D16811" w14:textId="77777777" w:rsidR="008B1C85" w:rsidRPr="00A0517F" w:rsidRDefault="008B1C85" w:rsidP="008B1C85">
            <w:pPr>
              <w:pStyle w:val="Tabletext"/>
              <w:jc w:val="center"/>
              <w:rPr>
                <w:rFonts w:cstheme="minorHAnsi"/>
              </w:rPr>
            </w:pPr>
            <w:r w:rsidRPr="00A0517F">
              <w:rPr>
                <w:rFonts w:cstheme="minorHAnsi"/>
              </w:rPr>
              <w:t>D</w:t>
            </w:r>
          </w:p>
        </w:tc>
      </w:tr>
      <w:tr w:rsidR="008B1C85" w:rsidRPr="00A0517F" w14:paraId="346D6C76" w14:textId="77777777" w:rsidTr="008B1C85">
        <w:tc>
          <w:tcPr>
            <w:tcW w:w="7366" w:type="dxa"/>
            <w:tcBorders>
              <w:top w:val="single" w:sz="4" w:space="0" w:color="auto"/>
              <w:left w:val="single" w:sz="4" w:space="0" w:color="auto"/>
              <w:bottom w:val="single" w:sz="4" w:space="0" w:color="auto"/>
              <w:right w:val="single" w:sz="4" w:space="0" w:color="auto"/>
            </w:tcBorders>
          </w:tcPr>
          <w:p w14:paraId="749B9617" w14:textId="77777777" w:rsidR="008B1C85" w:rsidRPr="00A0517F" w:rsidRDefault="008B1C85" w:rsidP="008B1C85">
            <w:pPr>
              <w:pStyle w:val="Tabletext"/>
              <w:rPr>
                <w:rFonts w:cstheme="minorHAnsi"/>
              </w:rPr>
            </w:pPr>
            <w:r w:rsidRPr="00A0517F">
              <w:rPr>
                <w:rFonts w:cstheme="minorHAnsi"/>
              </w:rPr>
              <w:t>R7: Spirometry services should be supported by quality control processes.</w:t>
            </w:r>
          </w:p>
        </w:tc>
        <w:tc>
          <w:tcPr>
            <w:tcW w:w="1695" w:type="dxa"/>
            <w:tcBorders>
              <w:top w:val="single" w:sz="4" w:space="0" w:color="auto"/>
              <w:left w:val="single" w:sz="4" w:space="0" w:color="auto"/>
              <w:bottom w:val="single" w:sz="4" w:space="0" w:color="auto"/>
              <w:right w:val="single" w:sz="4" w:space="0" w:color="auto"/>
            </w:tcBorders>
            <w:hideMark/>
          </w:tcPr>
          <w:p w14:paraId="0FD9DFDA" w14:textId="77777777" w:rsidR="008B1C85" w:rsidRPr="00A0517F" w:rsidRDefault="008B1C85" w:rsidP="008B1C85">
            <w:pPr>
              <w:pStyle w:val="Tabletext"/>
              <w:jc w:val="center"/>
              <w:rPr>
                <w:rFonts w:cstheme="minorHAnsi"/>
              </w:rPr>
            </w:pPr>
            <w:r w:rsidRPr="00A0517F">
              <w:rPr>
                <w:rFonts w:cstheme="minorHAnsi"/>
              </w:rPr>
              <w:t>D</w:t>
            </w:r>
          </w:p>
        </w:tc>
      </w:tr>
      <w:tr w:rsidR="008B1C85" w:rsidRPr="00A0517F" w14:paraId="55E66541" w14:textId="77777777" w:rsidTr="008B1C85">
        <w:tc>
          <w:tcPr>
            <w:tcW w:w="7366" w:type="dxa"/>
            <w:tcBorders>
              <w:top w:val="single" w:sz="4" w:space="0" w:color="auto"/>
              <w:left w:val="single" w:sz="4" w:space="0" w:color="auto"/>
              <w:bottom w:val="single" w:sz="4" w:space="0" w:color="auto"/>
              <w:right w:val="single" w:sz="4" w:space="0" w:color="auto"/>
            </w:tcBorders>
          </w:tcPr>
          <w:p w14:paraId="64E6C288" w14:textId="77777777" w:rsidR="008B1C85" w:rsidRPr="00A0517F" w:rsidRDefault="008B1C85" w:rsidP="008B1C85">
            <w:pPr>
              <w:pStyle w:val="Tabletext"/>
              <w:rPr>
                <w:rFonts w:cstheme="minorHAnsi"/>
              </w:rPr>
            </w:pPr>
            <w:r w:rsidRPr="00A0517F">
              <w:rPr>
                <w:rFonts w:cstheme="minorHAnsi"/>
              </w:rPr>
              <w:t>R8: It is recommended that ERS 1993 reference values are used</w:t>
            </w:r>
            <w:r w:rsidRPr="00A0517F">
              <w:rPr>
                <w:rStyle w:val="FootnoteReference"/>
                <w:rFonts w:eastAsiaTheme="minorHAnsi" w:cstheme="minorHAnsi"/>
              </w:rPr>
              <w:footnoteReference w:id="16"/>
            </w:r>
            <w:r w:rsidRPr="00A0517F">
              <w:rPr>
                <w:rFonts w:cstheme="minorHAnsi"/>
              </w:rPr>
              <w:t xml:space="preserve"> but it is recognised that these values may lead to under-diagnosis in older people and are not applicable in black and Asian populations.</w:t>
            </w:r>
          </w:p>
          <w:p w14:paraId="03C1C92E" w14:textId="77777777" w:rsidR="008B1C85" w:rsidRPr="00A0517F" w:rsidRDefault="008B1C85" w:rsidP="008B1C85">
            <w:pPr>
              <w:pStyle w:val="04Tabletextspaceitalics"/>
              <w:rPr>
                <w:rFonts w:asciiTheme="minorHAnsi" w:hAnsiTheme="minorHAnsi" w:cstheme="minorHAnsi"/>
              </w:rPr>
            </w:pPr>
            <w:r w:rsidRPr="00A0517F">
              <w:rPr>
                <w:rFonts w:asciiTheme="minorHAnsi" w:hAnsiTheme="minorHAnsi" w:cstheme="minorHAnsi"/>
              </w:rPr>
              <w:t>Note: Definitive spirometry reference values are not currently available for all ethnic populations The GDG was aware of on-going research in this area.</w:t>
            </w:r>
          </w:p>
        </w:tc>
        <w:tc>
          <w:tcPr>
            <w:tcW w:w="1695" w:type="dxa"/>
            <w:tcBorders>
              <w:top w:val="single" w:sz="4" w:space="0" w:color="auto"/>
              <w:left w:val="single" w:sz="4" w:space="0" w:color="auto"/>
              <w:bottom w:val="single" w:sz="4" w:space="0" w:color="auto"/>
              <w:right w:val="single" w:sz="4" w:space="0" w:color="auto"/>
            </w:tcBorders>
            <w:hideMark/>
          </w:tcPr>
          <w:p w14:paraId="3C4FA129" w14:textId="77777777" w:rsidR="008B1C85" w:rsidRPr="00A0517F" w:rsidRDefault="008B1C85" w:rsidP="008B1C85">
            <w:pPr>
              <w:pStyle w:val="Tabletext"/>
              <w:jc w:val="center"/>
              <w:rPr>
                <w:rFonts w:cstheme="minorHAnsi"/>
              </w:rPr>
            </w:pPr>
            <w:r w:rsidRPr="00A0517F">
              <w:rPr>
                <w:rFonts w:cstheme="minorHAnsi"/>
              </w:rPr>
              <w:t>D</w:t>
            </w:r>
          </w:p>
        </w:tc>
      </w:tr>
      <w:tr w:rsidR="008B1C85" w:rsidRPr="00A0517F" w14:paraId="6EA9C2B4" w14:textId="77777777" w:rsidTr="008B1C85">
        <w:tc>
          <w:tcPr>
            <w:tcW w:w="7366" w:type="dxa"/>
            <w:tcBorders>
              <w:top w:val="single" w:sz="4" w:space="0" w:color="auto"/>
              <w:left w:val="single" w:sz="4" w:space="0" w:color="auto"/>
              <w:bottom w:val="single" w:sz="4" w:space="0" w:color="auto"/>
              <w:right w:val="single" w:sz="4" w:space="0" w:color="auto"/>
            </w:tcBorders>
          </w:tcPr>
          <w:p w14:paraId="02C753C5" w14:textId="77777777" w:rsidR="008B1C85" w:rsidRPr="00A0517F" w:rsidRDefault="008B1C85" w:rsidP="008B1C85">
            <w:pPr>
              <w:pStyle w:val="Tabletext"/>
              <w:rPr>
                <w:rFonts w:cstheme="minorHAnsi"/>
              </w:rPr>
            </w:pPr>
            <w:r w:rsidRPr="00A0517F">
              <w:rPr>
                <w:rFonts w:cstheme="minorHAnsi"/>
              </w:rPr>
              <w:t>R9: At the time of their initial diagnostic evaluation, in addition to spirometry all patients should have:</w:t>
            </w:r>
          </w:p>
          <w:p w14:paraId="33E56849" w14:textId="77777777" w:rsidR="008B1C85" w:rsidRPr="00A0517F" w:rsidRDefault="008B1C85" w:rsidP="00E359E9">
            <w:pPr>
              <w:pStyle w:val="Tablebullet"/>
            </w:pPr>
            <w:r w:rsidRPr="00A0517F">
              <w:t>a chest radiograph to exclude other pathologies</w:t>
            </w:r>
          </w:p>
          <w:p w14:paraId="02DE8973" w14:textId="77777777" w:rsidR="008B1C85" w:rsidRPr="00A0517F" w:rsidRDefault="008B1C85" w:rsidP="00E359E9">
            <w:pPr>
              <w:pStyle w:val="Tablebullet"/>
            </w:pPr>
            <w:r w:rsidRPr="00A0517F">
              <w:t>a full blood count to identify anaemia or polycythaemia</w:t>
            </w:r>
          </w:p>
          <w:p w14:paraId="2E4BAB7D" w14:textId="77777777" w:rsidR="008B1C85" w:rsidRPr="00A0517F" w:rsidRDefault="008B1C85" w:rsidP="00E359E9">
            <w:pPr>
              <w:pStyle w:val="Tablebullet"/>
            </w:pPr>
            <w:r w:rsidRPr="00A0517F">
              <w:t>BMI calculated.</w:t>
            </w:r>
          </w:p>
        </w:tc>
        <w:tc>
          <w:tcPr>
            <w:tcW w:w="1695" w:type="dxa"/>
            <w:tcBorders>
              <w:top w:val="single" w:sz="4" w:space="0" w:color="auto"/>
              <w:left w:val="single" w:sz="4" w:space="0" w:color="auto"/>
              <w:bottom w:val="single" w:sz="4" w:space="0" w:color="auto"/>
              <w:right w:val="single" w:sz="4" w:space="0" w:color="auto"/>
            </w:tcBorders>
          </w:tcPr>
          <w:p w14:paraId="27FEA26C" w14:textId="77777777" w:rsidR="008B1C85" w:rsidRPr="00A0517F" w:rsidRDefault="008B1C85" w:rsidP="008B1C85">
            <w:pPr>
              <w:pStyle w:val="Tabletext"/>
              <w:jc w:val="center"/>
              <w:rPr>
                <w:rFonts w:cstheme="minorHAnsi"/>
              </w:rPr>
            </w:pPr>
            <w:r w:rsidRPr="00A0517F">
              <w:rPr>
                <w:rFonts w:cstheme="minorHAnsi"/>
              </w:rPr>
              <w:t>D</w:t>
            </w:r>
          </w:p>
        </w:tc>
      </w:tr>
    </w:tbl>
    <w:p w14:paraId="019F5972" w14:textId="77777777" w:rsidR="008B1C85" w:rsidRDefault="008B1C85" w:rsidP="008B1C85">
      <w:pPr>
        <w:pStyle w:val="09Tablefootnoteslast-nostick"/>
      </w:pPr>
      <w:r>
        <w:lastRenderedPageBreak/>
        <w:t>Note: Grade D = Directly based on hierarchy IV evidence or extrapolated from hierarchy I, II or III evidence.</w:t>
      </w:r>
      <w:r>
        <w:br/>
        <w:t>Abbreviations: BMI, body mass index; COPD, chronic obstructive pulmonary disease; ERS, European Respiratory Society; FEV, forced expiratory volume; FVC, forced vital capacity; GDG, Guideline Development Group; NGCG, National Clinical Guideline Centre; R, recommendation; U, updated recommendation.</w:t>
      </w:r>
    </w:p>
    <w:p w14:paraId="59372D2D" w14:textId="77777777" w:rsidR="008B1C85" w:rsidRDefault="008B1C85" w:rsidP="00B50F00">
      <w:r>
        <w:t>As mentioned earlier, the NCGC guideline emphasises that, while post-bronchodilator spirometry is recommended in the 2010 update for the assessment of COPD, this measurement should not be confused with reversibility testing. The NCGC guideline (2010) highlights some major limitations with the traditional diagnostic approaches that often adopted reversibility testing to distinguish between COPD and asthma patients. Those limitations are addressed in a number of evidence statements, shown in</w:t>
      </w:r>
      <w:r w:rsidR="0063592C">
        <w:t xml:space="preserve"> Table 24</w:t>
      </w:r>
      <w:r>
        <w:t>.</w:t>
      </w:r>
    </w:p>
    <w:p w14:paraId="34CCEB1F" w14:textId="453D1272" w:rsidR="008B1C85" w:rsidRDefault="0063592C" w:rsidP="00DF3A06">
      <w:pPr>
        <w:pStyle w:val="Appcaption"/>
      </w:pPr>
      <w:r>
        <w:t xml:space="preserve">Table </w:t>
      </w:r>
      <w:fldSimple w:instr=" SEQ Title \* ARABIC ">
        <w:r w:rsidR="00F2203C">
          <w:rPr>
            <w:noProof/>
          </w:rPr>
          <w:t>24</w:t>
        </w:r>
      </w:fldSimple>
      <w:r w:rsidR="008B1C85">
        <w:rPr>
          <w:noProof/>
        </w:rPr>
        <w:tab/>
        <w:t>NCGC (2010):</w:t>
      </w:r>
      <w:r w:rsidR="008B1C85">
        <w:t xml:space="preserve"> Evidence statements relating to reversibility testing and COPD</w:t>
      </w:r>
    </w:p>
    <w:tbl>
      <w:tblPr>
        <w:tblStyle w:val="TableGrid"/>
        <w:tblW w:w="0" w:type="auto"/>
        <w:tblLook w:val="04A0" w:firstRow="1" w:lastRow="0" w:firstColumn="1" w:lastColumn="0" w:noHBand="0" w:noVBand="1"/>
        <w:tblDescription w:val="Appendix C table 24 list the 2010 National Clinical Guideline Centre (NCGC) evidence statements. This table contains 2 column headings: 1. Evidence statements and 2. Hierarchy of evidence relating to reversibility testing and Chronic Obstructive Pulmonary Disease (COPD)."/>
      </w:tblPr>
      <w:tblGrid>
        <w:gridCol w:w="6658"/>
        <w:gridCol w:w="2403"/>
      </w:tblGrid>
      <w:tr w:rsidR="008B1C85" w14:paraId="621B5A62" w14:textId="77777777" w:rsidTr="00FF6AB5">
        <w:trPr>
          <w:tblHeader/>
        </w:trPr>
        <w:tc>
          <w:tcPr>
            <w:tcW w:w="6658" w:type="dxa"/>
            <w:tcBorders>
              <w:top w:val="single" w:sz="4" w:space="0" w:color="auto"/>
              <w:left w:val="single" w:sz="4" w:space="0" w:color="auto"/>
              <w:bottom w:val="single" w:sz="4" w:space="0" w:color="auto"/>
              <w:right w:val="single" w:sz="4" w:space="0" w:color="auto"/>
            </w:tcBorders>
            <w:hideMark/>
          </w:tcPr>
          <w:p w14:paraId="3464C60D" w14:textId="77777777" w:rsidR="008B1C85" w:rsidRPr="004C005F" w:rsidRDefault="008B1C85" w:rsidP="00E359E9">
            <w:pPr>
              <w:pStyle w:val="Tableheading"/>
            </w:pPr>
            <w:r w:rsidRPr="004C005F">
              <w:t>Evidence statements</w:t>
            </w:r>
          </w:p>
        </w:tc>
        <w:tc>
          <w:tcPr>
            <w:tcW w:w="2403" w:type="dxa"/>
            <w:tcBorders>
              <w:top w:val="single" w:sz="4" w:space="0" w:color="auto"/>
              <w:left w:val="single" w:sz="4" w:space="0" w:color="auto"/>
              <w:bottom w:val="single" w:sz="4" w:space="0" w:color="auto"/>
              <w:right w:val="single" w:sz="4" w:space="0" w:color="auto"/>
            </w:tcBorders>
            <w:hideMark/>
          </w:tcPr>
          <w:p w14:paraId="190EA6A2" w14:textId="77777777" w:rsidR="008B1C85" w:rsidRPr="004C005F" w:rsidRDefault="008B1C85" w:rsidP="00E359E9">
            <w:pPr>
              <w:pStyle w:val="Tableheading"/>
            </w:pPr>
            <w:r w:rsidRPr="004C005F">
              <w:t>Hierarchy of evidence</w:t>
            </w:r>
          </w:p>
        </w:tc>
      </w:tr>
      <w:tr w:rsidR="008B1C85" w14:paraId="394AC61C" w14:textId="77777777" w:rsidTr="008B1C85">
        <w:tc>
          <w:tcPr>
            <w:tcW w:w="6658" w:type="dxa"/>
            <w:tcBorders>
              <w:top w:val="single" w:sz="4" w:space="0" w:color="auto"/>
              <w:left w:val="single" w:sz="4" w:space="0" w:color="auto"/>
              <w:bottom w:val="single" w:sz="4" w:space="0" w:color="auto"/>
              <w:right w:val="single" w:sz="4" w:space="0" w:color="auto"/>
            </w:tcBorders>
          </w:tcPr>
          <w:p w14:paraId="4E675105" w14:textId="77777777" w:rsidR="008B1C85" w:rsidRPr="00540634" w:rsidRDefault="008B1C85" w:rsidP="008B1C85">
            <w:pPr>
              <w:pStyle w:val="Tabletext"/>
            </w:pPr>
            <w:r w:rsidRPr="00540634">
              <w:t>There is considerable variation in the magnitude of change in FEV</w:t>
            </w:r>
            <w:r w:rsidRPr="00514DBE">
              <w:rPr>
                <w:vertAlign w:val="subscript"/>
              </w:rPr>
              <w:t>1</w:t>
            </w:r>
            <w:r w:rsidRPr="00540634">
              <w:t xml:space="preserve"> following inhalation of a bronchodilator between individuals and within individual</w:t>
            </w:r>
            <w:r>
              <w:t xml:space="preserve">s tested on different days </w:t>
            </w:r>
            <w:r>
              <w:rPr>
                <w:i/>
              </w:rPr>
              <w:t>(Calverley 2003; Anthonisen 1986).</w:t>
            </w:r>
          </w:p>
        </w:tc>
        <w:tc>
          <w:tcPr>
            <w:tcW w:w="2403" w:type="dxa"/>
            <w:tcBorders>
              <w:top w:val="single" w:sz="4" w:space="0" w:color="auto"/>
              <w:left w:val="single" w:sz="4" w:space="0" w:color="auto"/>
              <w:bottom w:val="single" w:sz="4" w:space="0" w:color="auto"/>
              <w:right w:val="single" w:sz="4" w:space="0" w:color="auto"/>
            </w:tcBorders>
          </w:tcPr>
          <w:p w14:paraId="6C9C0A79" w14:textId="77777777" w:rsidR="008B1C85" w:rsidRDefault="008B1C85" w:rsidP="008B1C85">
            <w:pPr>
              <w:pStyle w:val="Tabletext"/>
              <w:jc w:val="center"/>
            </w:pPr>
            <w:r>
              <w:t>IIb</w:t>
            </w:r>
          </w:p>
        </w:tc>
      </w:tr>
      <w:tr w:rsidR="008B1C85" w14:paraId="3BB4A790" w14:textId="77777777" w:rsidTr="008B1C85">
        <w:tc>
          <w:tcPr>
            <w:tcW w:w="6658" w:type="dxa"/>
            <w:tcBorders>
              <w:top w:val="single" w:sz="4" w:space="0" w:color="auto"/>
              <w:left w:val="single" w:sz="4" w:space="0" w:color="auto"/>
              <w:bottom w:val="single" w:sz="4" w:space="0" w:color="auto"/>
              <w:right w:val="single" w:sz="4" w:space="0" w:color="auto"/>
            </w:tcBorders>
          </w:tcPr>
          <w:p w14:paraId="049EE748" w14:textId="77777777" w:rsidR="008B1C85" w:rsidRPr="00540634" w:rsidRDefault="008B1C85" w:rsidP="008B1C85">
            <w:pPr>
              <w:pStyle w:val="Tabletext"/>
            </w:pPr>
            <w:r w:rsidRPr="00540634">
              <w:t>A number of different methods for assessing the response to bronchod</w:t>
            </w:r>
            <w:r>
              <w:t xml:space="preserve">ilators have been proposed </w:t>
            </w:r>
            <w:r>
              <w:rPr>
                <w:i/>
              </w:rPr>
              <w:t>(Nisar 1990; Nisar 1992; Hadcroft 2001; Brand 1992)</w:t>
            </w:r>
            <w:r w:rsidRPr="00540634">
              <w:t>.</w:t>
            </w:r>
          </w:p>
        </w:tc>
        <w:tc>
          <w:tcPr>
            <w:tcW w:w="2403" w:type="dxa"/>
            <w:tcBorders>
              <w:top w:val="single" w:sz="4" w:space="0" w:color="auto"/>
              <w:left w:val="single" w:sz="4" w:space="0" w:color="auto"/>
              <w:bottom w:val="single" w:sz="4" w:space="0" w:color="auto"/>
              <w:right w:val="single" w:sz="4" w:space="0" w:color="auto"/>
            </w:tcBorders>
          </w:tcPr>
          <w:p w14:paraId="5F1B7717" w14:textId="77777777" w:rsidR="008B1C85" w:rsidRPr="007F16AA" w:rsidRDefault="008B1C85" w:rsidP="008B1C85">
            <w:pPr>
              <w:pStyle w:val="Tabletext"/>
              <w:jc w:val="center"/>
            </w:pPr>
            <w:r>
              <w:t>IIb, IIb, Ib, IIb</w:t>
            </w:r>
          </w:p>
        </w:tc>
      </w:tr>
      <w:tr w:rsidR="008B1C85" w14:paraId="6150472C" w14:textId="77777777" w:rsidTr="008B1C85">
        <w:tc>
          <w:tcPr>
            <w:tcW w:w="6658" w:type="dxa"/>
            <w:tcBorders>
              <w:top w:val="single" w:sz="4" w:space="0" w:color="auto"/>
              <w:left w:val="single" w:sz="4" w:space="0" w:color="auto"/>
              <w:bottom w:val="single" w:sz="4" w:space="0" w:color="auto"/>
              <w:right w:val="single" w:sz="4" w:space="0" w:color="auto"/>
            </w:tcBorders>
          </w:tcPr>
          <w:p w14:paraId="1C8D22F8" w14:textId="77777777" w:rsidR="008B1C85" w:rsidRPr="00540634" w:rsidRDefault="008B1C85" w:rsidP="008B1C85">
            <w:pPr>
              <w:pStyle w:val="Tabletext"/>
            </w:pPr>
            <w:r w:rsidRPr="00540634">
              <w:t>A change in FEV</w:t>
            </w:r>
            <w:r w:rsidRPr="00E43934">
              <w:rPr>
                <w:vertAlign w:val="subscript"/>
              </w:rPr>
              <w:t>1</w:t>
            </w:r>
            <w:r w:rsidRPr="00540634">
              <w:t xml:space="preserve"> of at least 160 m</w:t>
            </w:r>
            <w:r>
              <w:t>L</w:t>
            </w:r>
            <w:r w:rsidRPr="00540634">
              <w:t xml:space="preserve"> is required to exclude changes within the natural variability in of FEV</w:t>
            </w:r>
            <w:r w:rsidRPr="00E43934">
              <w:rPr>
                <w:vertAlign w:val="subscript"/>
              </w:rPr>
              <w:t>1</w:t>
            </w:r>
            <w:r w:rsidRPr="00540634">
              <w:t xml:space="preserve"> in people with o</w:t>
            </w:r>
            <w:r>
              <w:t xml:space="preserve">bstructive ventilatory defects </w:t>
            </w:r>
            <w:r>
              <w:rPr>
                <w:i/>
              </w:rPr>
              <w:t>(Tweeddale 1987)</w:t>
            </w:r>
            <w:r w:rsidRPr="00540634">
              <w:t>.</w:t>
            </w:r>
          </w:p>
        </w:tc>
        <w:tc>
          <w:tcPr>
            <w:tcW w:w="2403" w:type="dxa"/>
            <w:tcBorders>
              <w:top w:val="single" w:sz="4" w:space="0" w:color="auto"/>
              <w:left w:val="single" w:sz="4" w:space="0" w:color="auto"/>
              <w:bottom w:val="single" w:sz="4" w:space="0" w:color="auto"/>
              <w:right w:val="single" w:sz="4" w:space="0" w:color="auto"/>
            </w:tcBorders>
          </w:tcPr>
          <w:p w14:paraId="6D834DE5" w14:textId="77777777" w:rsidR="008B1C85" w:rsidRDefault="008B1C85" w:rsidP="008B1C85">
            <w:pPr>
              <w:pStyle w:val="Tabletext"/>
              <w:jc w:val="center"/>
            </w:pPr>
            <w:r>
              <w:t>IIb</w:t>
            </w:r>
          </w:p>
        </w:tc>
      </w:tr>
      <w:tr w:rsidR="008B1C85" w14:paraId="764B1EDA" w14:textId="77777777" w:rsidTr="008B1C85">
        <w:tc>
          <w:tcPr>
            <w:tcW w:w="6658" w:type="dxa"/>
            <w:tcBorders>
              <w:top w:val="single" w:sz="4" w:space="0" w:color="auto"/>
              <w:left w:val="single" w:sz="4" w:space="0" w:color="auto"/>
              <w:bottom w:val="single" w:sz="4" w:space="0" w:color="auto"/>
              <w:right w:val="single" w:sz="4" w:space="0" w:color="auto"/>
            </w:tcBorders>
          </w:tcPr>
          <w:p w14:paraId="5FC73BEC" w14:textId="77777777" w:rsidR="008B1C85" w:rsidRPr="00540634" w:rsidRDefault="008B1C85" w:rsidP="008B1C85">
            <w:pPr>
              <w:pStyle w:val="Tabletext"/>
            </w:pPr>
            <w:r w:rsidRPr="00540634">
              <w:t>A study of patients with fixed airflow obstruction diagnosed as having COPD or asthma on the</w:t>
            </w:r>
            <w:r>
              <w:t xml:space="preserve"> basis of the clinical history </w:t>
            </w:r>
            <w:r>
              <w:rPr>
                <w:i/>
              </w:rPr>
              <w:t>(Fabbri 2003)</w:t>
            </w:r>
            <w:r w:rsidRPr="00540634">
              <w:t xml:space="preserve"> has shown that the clinical diagnosis was correct as assessed by the basis of the pattern of inflammation seen on bronchial biopsies and the differential cell counts in induced sputum findings. Reversibility testing was unable to differentiate the two groups.</w:t>
            </w:r>
          </w:p>
        </w:tc>
        <w:tc>
          <w:tcPr>
            <w:tcW w:w="2403" w:type="dxa"/>
            <w:tcBorders>
              <w:top w:val="single" w:sz="4" w:space="0" w:color="auto"/>
              <w:left w:val="single" w:sz="4" w:space="0" w:color="auto"/>
              <w:bottom w:val="single" w:sz="4" w:space="0" w:color="auto"/>
              <w:right w:val="single" w:sz="4" w:space="0" w:color="auto"/>
            </w:tcBorders>
          </w:tcPr>
          <w:p w14:paraId="7952BDDF" w14:textId="77777777" w:rsidR="008B1C85" w:rsidRDefault="008B1C85" w:rsidP="008B1C85">
            <w:pPr>
              <w:pStyle w:val="Tabletext"/>
              <w:jc w:val="center"/>
            </w:pPr>
            <w:r>
              <w:t>III</w:t>
            </w:r>
          </w:p>
        </w:tc>
      </w:tr>
      <w:tr w:rsidR="008B1C85" w14:paraId="4D625F3A" w14:textId="77777777" w:rsidTr="008B1C85">
        <w:tc>
          <w:tcPr>
            <w:tcW w:w="6658" w:type="dxa"/>
            <w:tcBorders>
              <w:top w:val="single" w:sz="4" w:space="0" w:color="auto"/>
              <w:left w:val="single" w:sz="4" w:space="0" w:color="auto"/>
              <w:bottom w:val="single" w:sz="4" w:space="0" w:color="auto"/>
              <w:right w:val="single" w:sz="4" w:space="0" w:color="auto"/>
            </w:tcBorders>
          </w:tcPr>
          <w:p w14:paraId="3AEB815D" w14:textId="77777777" w:rsidR="008B1C85" w:rsidRPr="00540634" w:rsidRDefault="008B1C85" w:rsidP="008B1C85">
            <w:pPr>
              <w:pStyle w:val="Tabletext"/>
            </w:pPr>
            <w:r w:rsidRPr="00540634">
              <w:t>Bronchodilator tests performed with different inspiratory manoeuvres before and after bronchodilator administr</w:t>
            </w:r>
            <w:r>
              <w:t xml:space="preserve">ation provide differing results </w:t>
            </w:r>
            <w:r>
              <w:rPr>
                <w:i/>
              </w:rPr>
              <w:t>(Santus 2003)</w:t>
            </w:r>
            <w:r w:rsidRPr="00540634">
              <w:t>.</w:t>
            </w:r>
          </w:p>
        </w:tc>
        <w:tc>
          <w:tcPr>
            <w:tcW w:w="2403" w:type="dxa"/>
            <w:tcBorders>
              <w:top w:val="single" w:sz="4" w:space="0" w:color="auto"/>
              <w:left w:val="single" w:sz="4" w:space="0" w:color="auto"/>
              <w:bottom w:val="single" w:sz="4" w:space="0" w:color="auto"/>
              <w:right w:val="single" w:sz="4" w:space="0" w:color="auto"/>
            </w:tcBorders>
          </w:tcPr>
          <w:p w14:paraId="77CEA379" w14:textId="77777777" w:rsidR="008B1C85" w:rsidRDefault="008B1C85" w:rsidP="008B1C85">
            <w:pPr>
              <w:pStyle w:val="Tabletext"/>
              <w:jc w:val="center"/>
            </w:pPr>
            <w:r>
              <w:t>IIb</w:t>
            </w:r>
          </w:p>
        </w:tc>
      </w:tr>
      <w:tr w:rsidR="008B1C85" w14:paraId="22B161D4" w14:textId="77777777" w:rsidTr="008B1C85">
        <w:tc>
          <w:tcPr>
            <w:tcW w:w="6658" w:type="dxa"/>
            <w:tcBorders>
              <w:top w:val="single" w:sz="4" w:space="0" w:color="auto"/>
              <w:left w:val="single" w:sz="4" w:space="0" w:color="auto"/>
              <w:bottom w:val="single" w:sz="4" w:space="0" w:color="auto"/>
              <w:right w:val="single" w:sz="4" w:space="0" w:color="auto"/>
            </w:tcBorders>
          </w:tcPr>
          <w:p w14:paraId="51EC2117" w14:textId="77777777" w:rsidR="008B1C85" w:rsidRPr="00540634" w:rsidRDefault="008B1C85" w:rsidP="008B1C85">
            <w:pPr>
              <w:pStyle w:val="Tabletext"/>
            </w:pPr>
            <w:r w:rsidRPr="00540634">
              <w:t xml:space="preserve">The response to a short course of oral steroids does not predict the </w:t>
            </w:r>
            <w:r>
              <w:t xml:space="preserve">response to long-term therapy </w:t>
            </w:r>
            <w:r>
              <w:rPr>
                <w:i/>
              </w:rPr>
              <w:t>(Burge 2003)</w:t>
            </w:r>
            <w:r w:rsidRPr="00540634">
              <w:t>.</w:t>
            </w:r>
          </w:p>
        </w:tc>
        <w:tc>
          <w:tcPr>
            <w:tcW w:w="2403" w:type="dxa"/>
            <w:tcBorders>
              <w:top w:val="single" w:sz="4" w:space="0" w:color="auto"/>
              <w:left w:val="single" w:sz="4" w:space="0" w:color="auto"/>
              <w:bottom w:val="single" w:sz="4" w:space="0" w:color="auto"/>
              <w:right w:val="single" w:sz="4" w:space="0" w:color="auto"/>
            </w:tcBorders>
          </w:tcPr>
          <w:p w14:paraId="6ABE5435" w14:textId="77777777" w:rsidR="008B1C85" w:rsidRDefault="008B1C85" w:rsidP="008B1C85">
            <w:pPr>
              <w:pStyle w:val="Tabletext"/>
              <w:jc w:val="center"/>
            </w:pPr>
            <w:r>
              <w:t>Ib</w:t>
            </w:r>
          </w:p>
        </w:tc>
      </w:tr>
    </w:tbl>
    <w:p w14:paraId="0A02BD10" w14:textId="77777777" w:rsidR="008B1C85" w:rsidRDefault="008B1C85" w:rsidP="008B1C85">
      <w:pPr>
        <w:pStyle w:val="08Tablefootnotes"/>
      </w:pPr>
      <w:r>
        <w:t>Note: Ib = Evidence from at least one randomised controlled trial; IIb = Evidence from at least one other study type of quasi experimental study; III = Evidence from non experimental descriptive studies, such as comparative studies, such as comparative studies, correlation studies and case control studies.</w:t>
      </w:r>
    </w:p>
    <w:p w14:paraId="261BC763" w14:textId="77777777" w:rsidR="008B1C85" w:rsidRPr="00C0288D" w:rsidRDefault="008B1C85" w:rsidP="008B1C85">
      <w:pPr>
        <w:pStyle w:val="09Tablefootnoteslast-nostick"/>
      </w:pPr>
      <w:r>
        <w:t>Abbreviations: COPD, chronic obstructive pulmonary disease; FEV, forced expiratory volume; NGCG, National Clinical Guideline Centre.</w:t>
      </w:r>
    </w:p>
    <w:p w14:paraId="12BCD9C3" w14:textId="77777777" w:rsidR="008B1C85" w:rsidRDefault="008B1C85" w:rsidP="00E56454">
      <w:r w:rsidRPr="00FE05D1">
        <w:t>In addition to evidence statements, the NCGC guideline (2010) also included six recommendations relating to reversibility testing</w:t>
      </w:r>
      <w:r w:rsidR="00E56454">
        <w:t xml:space="preserve"> (see Table 25)</w:t>
      </w:r>
      <w:r w:rsidR="000D2ACF">
        <w:t xml:space="preserve">. </w:t>
      </w:r>
      <w:r w:rsidRPr="00FE05D1">
        <w:t>Importantly, Recommendation 12 highlights several factors that may cause misleading results on reversibility testing.</w:t>
      </w:r>
    </w:p>
    <w:p w14:paraId="71FADB8A" w14:textId="77777777" w:rsidR="008B1C85" w:rsidRPr="00FE05D1" w:rsidRDefault="008B1C85" w:rsidP="00B50F00">
      <w:r w:rsidRPr="00FE05D1">
        <w:t>The guideline points out that while several earlier guidelines (BTS and GOLD) promoted reversibility testing, it is not recommended in the latest joint guidance from the American Thoracic Society (ATS) and the European Respiratory Society (ERS)</w:t>
      </w:r>
      <w:r w:rsidRPr="00FE05D1">
        <w:rPr>
          <w:rStyle w:val="FootnoteReference"/>
        </w:rPr>
        <w:footnoteReference w:id="17"/>
      </w:r>
      <w:r w:rsidRPr="00FE05D1">
        <w:t>. Similarly, reversibility testing is not recommended in recent updates from GOLD.</w:t>
      </w:r>
    </w:p>
    <w:p w14:paraId="3FC524D5" w14:textId="24359689" w:rsidR="008B1C85" w:rsidRDefault="0063592C" w:rsidP="00DF3A06">
      <w:pPr>
        <w:pStyle w:val="Appcaption"/>
      </w:pPr>
      <w:r w:rsidRPr="00E56454">
        <w:lastRenderedPageBreak/>
        <w:t xml:space="preserve">Table </w:t>
      </w:r>
      <w:fldSimple w:instr=" SEQ Title \* ARABIC ">
        <w:r w:rsidR="00F2203C">
          <w:rPr>
            <w:noProof/>
          </w:rPr>
          <w:t>25</w:t>
        </w:r>
      </w:fldSimple>
      <w:r w:rsidR="008B1C85" w:rsidRPr="00E56454">
        <w:rPr>
          <w:noProof/>
        </w:rPr>
        <w:tab/>
        <w:t>NCGC (2010):</w:t>
      </w:r>
      <w:r w:rsidR="008B1C85" w:rsidRPr="00E56454">
        <w:t xml:space="preserve"> Recommendations</w:t>
      </w:r>
      <w:r w:rsidR="008B1C85">
        <w:t xml:space="preserve"> and updated recommendations about reversibility testing and COPD</w:t>
      </w:r>
    </w:p>
    <w:tbl>
      <w:tblPr>
        <w:tblStyle w:val="TableGrid"/>
        <w:tblW w:w="0" w:type="auto"/>
        <w:tblLook w:val="04A0" w:firstRow="1" w:lastRow="0" w:firstColumn="1" w:lastColumn="0" w:noHBand="0" w:noVBand="1"/>
        <w:tblCaption w:val="National Clinical Guideline Centre (2010)"/>
        <w:tblDescription w:val="Recommendations and updated recommendations about reversibility testing and COPD"/>
      </w:tblPr>
      <w:tblGrid>
        <w:gridCol w:w="562"/>
        <w:gridCol w:w="6804"/>
        <w:gridCol w:w="1695"/>
      </w:tblGrid>
      <w:tr w:rsidR="008B1C85" w:rsidRPr="00A0517F" w14:paraId="7A55E23E" w14:textId="77777777" w:rsidTr="00FF6AB5">
        <w:trPr>
          <w:tblHeader/>
        </w:trPr>
        <w:tc>
          <w:tcPr>
            <w:tcW w:w="562" w:type="dxa"/>
            <w:tcBorders>
              <w:top w:val="single" w:sz="4" w:space="0" w:color="auto"/>
              <w:left w:val="single" w:sz="4" w:space="0" w:color="auto"/>
              <w:bottom w:val="single" w:sz="4" w:space="0" w:color="auto"/>
              <w:right w:val="single" w:sz="4" w:space="0" w:color="auto"/>
            </w:tcBorders>
          </w:tcPr>
          <w:p w14:paraId="0922E835" w14:textId="77777777" w:rsidR="008B1C85" w:rsidRPr="004C005F" w:rsidRDefault="008B1C85" w:rsidP="008B1C85">
            <w:pPr>
              <w:pStyle w:val="01Tableheadingorsubheading"/>
              <w:keepNext w:val="0"/>
              <w:rPr>
                <w:rFonts w:cstheme="minorHAnsi"/>
                <w:color w:val="000000" w:themeColor="text1"/>
              </w:rPr>
            </w:pPr>
          </w:p>
        </w:tc>
        <w:tc>
          <w:tcPr>
            <w:tcW w:w="6804" w:type="dxa"/>
            <w:tcBorders>
              <w:top w:val="single" w:sz="4" w:space="0" w:color="auto"/>
              <w:left w:val="single" w:sz="4" w:space="0" w:color="auto"/>
              <w:bottom w:val="single" w:sz="4" w:space="0" w:color="auto"/>
              <w:right w:val="single" w:sz="4" w:space="0" w:color="auto"/>
            </w:tcBorders>
            <w:hideMark/>
          </w:tcPr>
          <w:p w14:paraId="1B32F127" w14:textId="77777777" w:rsidR="008B1C85" w:rsidRPr="004C005F" w:rsidRDefault="008B1C85" w:rsidP="00A403FC">
            <w:pPr>
              <w:pStyle w:val="Tableheading"/>
            </w:pPr>
            <w:r w:rsidRPr="004C005F">
              <w:t>Recommendations</w:t>
            </w:r>
          </w:p>
        </w:tc>
        <w:tc>
          <w:tcPr>
            <w:tcW w:w="1695" w:type="dxa"/>
            <w:tcBorders>
              <w:top w:val="single" w:sz="4" w:space="0" w:color="auto"/>
              <w:left w:val="single" w:sz="4" w:space="0" w:color="auto"/>
              <w:bottom w:val="single" w:sz="4" w:space="0" w:color="auto"/>
              <w:right w:val="single" w:sz="4" w:space="0" w:color="auto"/>
            </w:tcBorders>
            <w:hideMark/>
          </w:tcPr>
          <w:p w14:paraId="0C5A2BFB" w14:textId="77777777" w:rsidR="008B1C85" w:rsidRPr="004C005F" w:rsidRDefault="008B1C85" w:rsidP="008B1C85">
            <w:pPr>
              <w:pStyle w:val="01Tableheadingorsubheading"/>
              <w:keepNext w:val="0"/>
              <w:jc w:val="center"/>
              <w:rPr>
                <w:rFonts w:cstheme="minorHAnsi"/>
                <w:color w:val="000000" w:themeColor="text1"/>
              </w:rPr>
            </w:pPr>
            <w:r w:rsidRPr="004C005F">
              <w:rPr>
                <w:rFonts w:cstheme="minorHAnsi"/>
                <w:color w:val="000000" w:themeColor="text1"/>
              </w:rPr>
              <w:t>Grading of recommendations</w:t>
            </w:r>
          </w:p>
        </w:tc>
      </w:tr>
      <w:tr w:rsidR="00FB2B6E" w:rsidRPr="00A0517F" w14:paraId="0159C984" w14:textId="77777777" w:rsidTr="00E56D39">
        <w:tc>
          <w:tcPr>
            <w:tcW w:w="562" w:type="dxa"/>
            <w:vMerge w:val="restart"/>
            <w:tcBorders>
              <w:top w:val="single" w:sz="4" w:space="0" w:color="auto"/>
              <w:left w:val="single" w:sz="4" w:space="0" w:color="auto"/>
              <w:right w:val="single" w:sz="4" w:space="0" w:color="auto"/>
            </w:tcBorders>
          </w:tcPr>
          <w:p w14:paraId="4BD56F37" w14:textId="77777777" w:rsidR="00FB2B6E" w:rsidRPr="00D81EEF" w:rsidRDefault="00FB2B6E" w:rsidP="00D81EEF">
            <w:pPr>
              <w:pStyle w:val="Tabletext"/>
              <w:rPr>
                <w:rFonts w:cstheme="minorHAnsi"/>
              </w:rPr>
            </w:pPr>
            <w:r w:rsidRPr="00D81EEF">
              <w:rPr>
                <w:rFonts w:cstheme="minorHAnsi"/>
              </w:rPr>
              <w:t>R12</w:t>
            </w:r>
          </w:p>
        </w:tc>
        <w:tc>
          <w:tcPr>
            <w:tcW w:w="6804" w:type="dxa"/>
            <w:tcBorders>
              <w:top w:val="single" w:sz="4" w:space="0" w:color="auto"/>
              <w:left w:val="single" w:sz="4" w:space="0" w:color="auto"/>
              <w:bottom w:val="single" w:sz="4" w:space="0" w:color="auto"/>
              <w:right w:val="single" w:sz="4" w:space="0" w:color="auto"/>
            </w:tcBorders>
          </w:tcPr>
          <w:p w14:paraId="56187336" w14:textId="77777777" w:rsidR="00FB2B6E" w:rsidRPr="00FB2B6E" w:rsidRDefault="00FB2B6E" w:rsidP="00D81EEF">
            <w:pPr>
              <w:pStyle w:val="Tabletext"/>
              <w:rPr>
                <w:rFonts w:cstheme="minorHAnsi"/>
              </w:rPr>
            </w:pPr>
            <w:r w:rsidRPr="00D81EEF">
              <w:rPr>
                <w:rFonts w:cstheme="minorHAnsi"/>
              </w:rPr>
              <w:t>In most patients routine spirometric reversibility testing is not necessary as a part of the diagnostic process or to plan initial therapy with bronchodilators or corticosteroids. It may be unhelpful or misleading because:</w:t>
            </w:r>
          </w:p>
        </w:tc>
        <w:tc>
          <w:tcPr>
            <w:tcW w:w="1695" w:type="dxa"/>
            <w:tcBorders>
              <w:top w:val="single" w:sz="4" w:space="0" w:color="auto"/>
              <w:left w:val="single" w:sz="4" w:space="0" w:color="auto"/>
              <w:bottom w:val="single" w:sz="4" w:space="0" w:color="auto"/>
              <w:right w:val="single" w:sz="4" w:space="0" w:color="auto"/>
            </w:tcBorders>
          </w:tcPr>
          <w:p w14:paraId="0308BD7B" w14:textId="77777777" w:rsidR="00FB2B6E" w:rsidRPr="00D81EEF" w:rsidRDefault="00FB2B6E" w:rsidP="00D81EEF">
            <w:pPr>
              <w:pStyle w:val="Tabletext"/>
              <w:rPr>
                <w:rFonts w:cstheme="minorHAnsi"/>
              </w:rPr>
            </w:pPr>
            <w:r w:rsidRPr="00D81EEF">
              <w:rPr>
                <w:rFonts w:cstheme="minorHAnsi"/>
              </w:rPr>
              <w:t>D</w:t>
            </w:r>
          </w:p>
        </w:tc>
      </w:tr>
      <w:tr w:rsidR="00FB2B6E" w:rsidRPr="00A0517F" w14:paraId="5105478D" w14:textId="77777777" w:rsidTr="00E56D39">
        <w:tc>
          <w:tcPr>
            <w:tcW w:w="562" w:type="dxa"/>
            <w:vMerge/>
            <w:tcBorders>
              <w:left w:val="single" w:sz="4" w:space="0" w:color="auto"/>
              <w:right w:val="single" w:sz="4" w:space="0" w:color="auto"/>
            </w:tcBorders>
          </w:tcPr>
          <w:p w14:paraId="6C947869" w14:textId="77777777" w:rsidR="00FB2B6E" w:rsidRPr="00A0517F" w:rsidRDefault="00FB2B6E" w:rsidP="00D81EEF">
            <w:pPr>
              <w:pStyle w:val="Tabletext"/>
            </w:pPr>
          </w:p>
        </w:tc>
        <w:tc>
          <w:tcPr>
            <w:tcW w:w="6804" w:type="dxa"/>
            <w:tcBorders>
              <w:top w:val="single" w:sz="4" w:space="0" w:color="auto"/>
              <w:left w:val="single" w:sz="4" w:space="0" w:color="auto"/>
              <w:bottom w:val="single" w:sz="4" w:space="0" w:color="auto"/>
              <w:right w:val="single" w:sz="4" w:space="0" w:color="auto"/>
            </w:tcBorders>
          </w:tcPr>
          <w:p w14:paraId="16DC5278" w14:textId="77777777" w:rsidR="00FB2B6E" w:rsidRPr="00FB2B6E" w:rsidRDefault="00FB2B6E" w:rsidP="00263C26">
            <w:pPr>
              <w:pStyle w:val="Tabletext"/>
              <w:numPr>
                <w:ilvl w:val="0"/>
                <w:numId w:val="48"/>
              </w:numPr>
              <w:ind w:left="431"/>
              <w:rPr>
                <w:rFonts w:cstheme="minorHAnsi"/>
              </w:rPr>
            </w:pPr>
            <w:r w:rsidRPr="00D81EEF">
              <w:rPr>
                <w:rFonts w:cstheme="minorHAnsi"/>
              </w:rPr>
              <w:t>repeated FEV</w:t>
            </w:r>
            <w:r w:rsidRPr="00FB2B6E">
              <w:rPr>
                <w:rFonts w:cstheme="minorHAnsi"/>
                <w:vertAlign w:val="subscript"/>
              </w:rPr>
              <w:t xml:space="preserve">1 </w:t>
            </w:r>
            <w:r w:rsidRPr="00D81EEF">
              <w:rPr>
                <w:rFonts w:cstheme="minorHAnsi"/>
              </w:rPr>
              <w:t>measurements can show small spontaneous fluctuations</w:t>
            </w:r>
          </w:p>
        </w:tc>
        <w:tc>
          <w:tcPr>
            <w:tcW w:w="1695" w:type="dxa"/>
            <w:tcBorders>
              <w:top w:val="single" w:sz="4" w:space="0" w:color="auto"/>
              <w:left w:val="single" w:sz="4" w:space="0" w:color="auto"/>
              <w:bottom w:val="single" w:sz="4" w:space="0" w:color="auto"/>
              <w:right w:val="single" w:sz="4" w:space="0" w:color="auto"/>
            </w:tcBorders>
          </w:tcPr>
          <w:p w14:paraId="1D5495D8" w14:textId="77777777" w:rsidR="00FB2B6E" w:rsidRPr="002C4407" w:rsidRDefault="00FB2B6E" w:rsidP="00FB2B6E">
            <w:pPr>
              <w:pStyle w:val="Tabletext"/>
              <w:rPr>
                <w:highlight w:val="yellow"/>
              </w:rPr>
            </w:pPr>
            <w:r w:rsidRPr="00D81EEF">
              <w:rPr>
                <w:rFonts w:cstheme="minorHAnsi"/>
              </w:rPr>
              <w:t>B</w:t>
            </w:r>
          </w:p>
        </w:tc>
      </w:tr>
      <w:tr w:rsidR="00FB2B6E" w:rsidRPr="00A0517F" w14:paraId="03199ED2" w14:textId="77777777" w:rsidTr="00E56D39">
        <w:tc>
          <w:tcPr>
            <w:tcW w:w="562" w:type="dxa"/>
            <w:vMerge/>
            <w:tcBorders>
              <w:left w:val="single" w:sz="4" w:space="0" w:color="auto"/>
              <w:right w:val="single" w:sz="4" w:space="0" w:color="auto"/>
            </w:tcBorders>
          </w:tcPr>
          <w:p w14:paraId="5296BC05" w14:textId="77777777" w:rsidR="00FB2B6E" w:rsidRPr="00A0517F" w:rsidRDefault="00FB2B6E" w:rsidP="00D81EEF">
            <w:pPr>
              <w:pStyle w:val="Tabletext"/>
            </w:pPr>
          </w:p>
        </w:tc>
        <w:tc>
          <w:tcPr>
            <w:tcW w:w="6804" w:type="dxa"/>
            <w:tcBorders>
              <w:top w:val="single" w:sz="4" w:space="0" w:color="auto"/>
              <w:left w:val="single" w:sz="4" w:space="0" w:color="auto"/>
              <w:bottom w:val="single" w:sz="4" w:space="0" w:color="auto"/>
              <w:right w:val="single" w:sz="4" w:space="0" w:color="auto"/>
            </w:tcBorders>
          </w:tcPr>
          <w:p w14:paraId="7BB7F6D0" w14:textId="77777777" w:rsidR="00FB2B6E" w:rsidRPr="00A0517F" w:rsidRDefault="00FB2B6E" w:rsidP="00263C26">
            <w:pPr>
              <w:pStyle w:val="Tabletext"/>
              <w:numPr>
                <w:ilvl w:val="0"/>
                <w:numId w:val="48"/>
              </w:numPr>
              <w:ind w:left="431"/>
            </w:pPr>
            <w:r w:rsidRPr="00D81EEF">
              <w:rPr>
                <w:rFonts w:cstheme="minorHAnsi"/>
              </w:rPr>
              <w:t>the results of a reversibility test performed on different occasions can be inconsistent and not reproducible</w:t>
            </w:r>
          </w:p>
        </w:tc>
        <w:tc>
          <w:tcPr>
            <w:tcW w:w="1695" w:type="dxa"/>
            <w:tcBorders>
              <w:top w:val="single" w:sz="4" w:space="0" w:color="auto"/>
              <w:left w:val="single" w:sz="4" w:space="0" w:color="auto"/>
              <w:bottom w:val="single" w:sz="4" w:space="0" w:color="auto"/>
              <w:right w:val="single" w:sz="4" w:space="0" w:color="auto"/>
            </w:tcBorders>
          </w:tcPr>
          <w:p w14:paraId="5B847216" w14:textId="77777777" w:rsidR="00FB2B6E" w:rsidRPr="002C4407" w:rsidRDefault="00FB2B6E" w:rsidP="00FB2B6E">
            <w:pPr>
              <w:pStyle w:val="Tabletext"/>
              <w:rPr>
                <w:highlight w:val="yellow"/>
              </w:rPr>
            </w:pPr>
            <w:r w:rsidRPr="00D81EEF">
              <w:rPr>
                <w:rFonts w:cstheme="minorHAnsi"/>
              </w:rPr>
              <w:t>B</w:t>
            </w:r>
          </w:p>
        </w:tc>
      </w:tr>
      <w:tr w:rsidR="00FB2B6E" w:rsidRPr="00A0517F" w14:paraId="7F4BCCAC" w14:textId="77777777" w:rsidTr="00E56D39">
        <w:tc>
          <w:tcPr>
            <w:tcW w:w="562" w:type="dxa"/>
            <w:vMerge/>
            <w:tcBorders>
              <w:left w:val="single" w:sz="4" w:space="0" w:color="auto"/>
              <w:right w:val="single" w:sz="4" w:space="0" w:color="auto"/>
            </w:tcBorders>
          </w:tcPr>
          <w:p w14:paraId="08EE9630" w14:textId="77777777" w:rsidR="00FB2B6E" w:rsidRPr="00A0517F" w:rsidRDefault="00FB2B6E" w:rsidP="00D81EEF">
            <w:pPr>
              <w:pStyle w:val="Tabletext"/>
            </w:pPr>
          </w:p>
        </w:tc>
        <w:tc>
          <w:tcPr>
            <w:tcW w:w="6804" w:type="dxa"/>
            <w:tcBorders>
              <w:top w:val="single" w:sz="4" w:space="0" w:color="auto"/>
              <w:left w:val="single" w:sz="4" w:space="0" w:color="auto"/>
              <w:bottom w:val="single" w:sz="4" w:space="0" w:color="auto"/>
              <w:right w:val="single" w:sz="4" w:space="0" w:color="auto"/>
            </w:tcBorders>
          </w:tcPr>
          <w:p w14:paraId="4404763F" w14:textId="77777777" w:rsidR="00FB2B6E" w:rsidRPr="00A0517F" w:rsidRDefault="00FB2B6E" w:rsidP="00263C26">
            <w:pPr>
              <w:pStyle w:val="Tabletext"/>
              <w:numPr>
                <w:ilvl w:val="0"/>
                <w:numId w:val="48"/>
              </w:numPr>
              <w:ind w:left="431"/>
            </w:pPr>
            <w:r w:rsidRPr="00D81EEF">
              <w:rPr>
                <w:rFonts w:cstheme="minorHAnsi"/>
              </w:rPr>
              <w:t>over-reliance on a single reversibility test may be misleading unless the change in FEV</w:t>
            </w:r>
            <w:r w:rsidRPr="00FB2B6E">
              <w:rPr>
                <w:rFonts w:cstheme="minorHAnsi"/>
              </w:rPr>
              <w:t>1</w:t>
            </w:r>
            <w:r w:rsidRPr="00D81EEF">
              <w:rPr>
                <w:rFonts w:cstheme="minorHAnsi"/>
              </w:rPr>
              <w:t xml:space="preserve"> is greater than 400 ml</w:t>
            </w:r>
          </w:p>
        </w:tc>
        <w:tc>
          <w:tcPr>
            <w:tcW w:w="1695" w:type="dxa"/>
            <w:tcBorders>
              <w:top w:val="single" w:sz="4" w:space="0" w:color="auto"/>
              <w:left w:val="single" w:sz="4" w:space="0" w:color="auto"/>
              <w:bottom w:val="single" w:sz="4" w:space="0" w:color="auto"/>
              <w:right w:val="single" w:sz="4" w:space="0" w:color="auto"/>
            </w:tcBorders>
          </w:tcPr>
          <w:p w14:paraId="7A39324E" w14:textId="77777777" w:rsidR="00FB2B6E" w:rsidRPr="002C4407" w:rsidRDefault="00FB2B6E" w:rsidP="00FB2B6E">
            <w:pPr>
              <w:pStyle w:val="Tabletext"/>
              <w:rPr>
                <w:highlight w:val="yellow"/>
              </w:rPr>
            </w:pPr>
            <w:r w:rsidRPr="00D81EEF">
              <w:rPr>
                <w:rFonts w:cstheme="minorHAnsi"/>
              </w:rPr>
              <w:t>B</w:t>
            </w:r>
          </w:p>
        </w:tc>
      </w:tr>
      <w:tr w:rsidR="00FB2B6E" w:rsidRPr="00A0517F" w14:paraId="4312A665" w14:textId="77777777" w:rsidTr="00E56D39">
        <w:tc>
          <w:tcPr>
            <w:tcW w:w="562" w:type="dxa"/>
            <w:vMerge/>
            <w:tcBorders>
              <w:left w:val="single" w:sz="4" w:space="0" w:color="auto"/>
              <w:right w:val="single" w:sz="4" w:space="0" w:color="auto"/>
            </w:tcBorders>
          </w:tcPr>
          <w:p w14:paraId="19F7E9E2" w14:textId="77777777" w:rsidR="00FB2B6E" w:rsidRPr="00A0517F" w:rsidRDefault="00FB2B6E" w:rsidP="00D81EEF">
            <w:pPr>
              <w:pStyle w:val="Tabletext"/>
            </w:pPr>
          </w:p>
        </w:tc>
        <w:tc>
          <w:tcPr>
            <w:tcW w:w="6804" w:type="dxa"/>
            <w:tcBorders>
              <w:top w:val="single" w:sz="4" w:space="0" w:color="auto"/>
              <w:left w:val="single" w:sz="4" w:space="0" w:color="auto"/>
              <w:bottom w:val="single" w:sz="4" w:space="0" w:color="auto"/>
              <w:right w:val="single" w:sz="4" w:space="0" w:color="auto"/>
            </w:tcBorders>
          </w:tcPr>
          <w:p w14:paraId="56D43F45" w14:textId="77777777" w:rsidR="00FB2B6E" w:rsidRPr="00A0517F" w:rsidRDefault="00FB2B6E" w:rsidP="00263C26">
            <w:pPr>
              <w:pStyle w:val="Tabletext"/>
              <w:numPr>
                <w:ilvl w:val="0"/>
                <w:numId w:val="48"/>
              </w:numPr>
              <w:ind w:left="431"/>
            </w:pPr>
            <w:r w:rsidRPr="00D81EEF">
              <w:rPr>
                <w:rFonts w:cstheme="minorHAnsi"/>
              </w:rPr>
              <w:t>the definition of the magnitude of a significant change is purely arbitrary</w:t>
            </w:r>
          </w:p>
        </w:tc>
        <w:tc>
          <w:tcPr>
            <w:tcW w:w="1695" w:type="dxa"/>
            <w:tcBorders>
              <w:top w:val="single" w:sz="4" w:space="0" w:color="auto"/>
              <w:left w:val="single" w:sz="4" w:space="0" w:color="auto"/>
              <w:bottom w:val="single" w:sz="4" w:space="0" w:color="auto"/>
              <w:right w:val="single" w:sz="4" w:space="0" w:color="auto"/>
            </w:tcBorders>
          </w:tcPr>
          <w:p w14:paraId="278C0E70" w14:textId="77777777" w:rsidR="00FB2B6E" w:rsidRPr="00FB2B6E" w:rsidRDefault="00FB2B6E" w:rsidP="00FB2B6E">
            <w:pPr>
              <w:pStyle w:val="Tabletext"/>
              <w:rPr>
                <w:rFonts w:cstheme="minorHAnsi"/>
              </w:rPr>
            </w:pPr>
            <w:r w:rsidRPr="00D81EEF">
              <w:rPr>
                <w:rFonts w:cstheme="minorHAnsi"/>
              </w:rPr>
              <w:t>B</w:t>
            </w:r>
          </w:p>
        </w:tc>
      </w:tr>
      <w:tr w:rsidR="00FB2B6E" w:rsidRPr="00A0517F" w14:paraId="232FAE9E" w14:textId="77777777" w:rsidTr="00E56D39">
        <w:trPr>
          <w:trHeight w:val="627"/>
        </w:trPr>
        <w:tc>
          <w:tcPr>
            <w:tcW w:w="562" w:type="dxa"/>
            <w:vMerge/>
            <w:tcBorders>
              <w:left w:val="single" w:sz="4" w:space="0" w:color="auto"/>
              <w:right w:val="single" w:sz="4" w:space="0" w:color="auto"/>
            </w:tcBorders>
          </w:tcPr>
          <w:p w14:paraId="3D864403" w14:textId="77777777" w:rsidR="00FB2B6E" w:rsidRPr="00A0517F" w:rsidRDefault="00FB2B6E" w:rsidP="00D81EEF">
            <w:pPr>
              <w:pStyle w:val="Tabletext"/>
            </w:pPr>
          </w:p>
        </w:tc>
        <w:tc>
          <w:tcPr>
            <w:tcW w:w="6804" w:type="dxa"/>
            <w:tcBorders>
              <w:top w:val="single" w:sz="4" w:space="0" w:color="auto"/>
              <w:left w:val="single" w:sz="4" w:space="0" w:color="auto"/>
              <w:right w:val="single" w:sz="4" w:space="0" w:color="auto"/>
            </w:tcBorders>
          </w:tcPr>
          <w:p w14:paraId="62EC0054" w14:textId="77777777" w:rsidR="00FB2B6E" w:rsidRPr="00A0517F" w:rsidRDefault="00FB2B6E" w:rsidP="00263C26">
            <w:pPr>
              <w:pStyle w:val="Tabletext"/>
              <w:numPr>
                <w:ilvl w:val="0"/>
                <w:numId w:val="48"/>
              </w:numPr>
              <w:ind w:left="431"/>
            </w:pPr>
            <w:r w:rsidRPr="00E36131">
              <w:rPr>
                <w:rFonts w:cstheme="minorHAnsi"/>
              </w:rPr>
              <w:t>response to long-term therapy is not predicted by acute reversibility testing.</w:t>
            </w:r>
          </w:p>
        </w:tc>
        <w:tc>
          <w:tcPr>
            <w:tcW w:w="1695" w:type="dxa"/>
            <w:tcBorders>
              <w:top w:val="single" w:sz="4" w:space="0" w:color="auto"/>
              <w:left w:val="single" w:sz="4" w:space="0" w:color="auto"/>
              <w:right w:val="single" w:sz="4" w:space="0" w:color="auto"/>
            </w:tcBorders>
          </w:tcPr>
          <w:p w14:paraId="12D57D2C" w14:textId="77777777" w:rsidR="00FB2B6E" w:rsidRPr="002C4407" w:rsidRDefault="00FB2B6E" w:rsidP="00FB2B6E">
            <w:pPr>
              <w:pStyle w:val="Tabletext"/>
              <w:rPr>
                <w:highlight w:val="yellow"/>
              </w:rPr>
            </w:pPr>
            <w:r w:rsidRPr="00D81EEF">
              <w:rPr>
                <w:rFonts w:cstheme="minorHAnsi"/>
              </w:rPr>
              <w:t>A</w:t>
            </w:r>
          </w:p>
        </w:tc>
      </w:tr>
      <w:tr w:rsidR="008B1C85" w:rsidRPr="00A0517F" w14:paraId="60A35E1F" w14:textId="77777777" w:rsidTr="008B1C85">
        <w:tc>
          <w:tcPr>
            <w:tcW w:w="562" w:type="dxa"/>
            <w:tcBorders>
              <w:top w:val="single" w:sz="4" w:space="0" w:color="auto"/>
              <w:left w:val="single" w:sz="4" w:space="0" w:color="auto"/>
              <w:bottom w:val="single" w:sz="4" w:space="0" w:color="auto"/>
              <w:right w:val="single" w:sz="4" w:space="0" w:color="auto"/>
            </w:tcBorders>
          </w:tcPr>
          <w:p w14:paraId="774AAEA0" w14:textId="77777777" w:rsidR="008B1C85" w:rsidRPr="00A0517F" w:rsidRDefault="008B1C85" w:rsidP="00D81EEF">
            <w:pPr>
              <w:pStyle w:val="Tabletext"/>
            </w:pPr>
            <w:r w:rsidRPr="00A0517F">
              <w:t>R13</w:t>
            </w:r>
          </w:p>
        </w:tc>
        <w:tc>
          <w:tcPr>
            <w:tcW w:w="6804" w:type="dxa"/>
            <w:tcBorders>
              <w:top w:val="single" w:sz="4" w:space="0" w:color="auto"/>
              <w:left w:val="single" w:sz="4" w:space="0" w:color="auto"/>
              <w:bottom w:val="single" w:sz="4" w:space="0" w:color="auto"/>
              <w:right w:val="single" w:sz="4" w:space="0" w:color="auto"/>
            </w:tcBorders>
          </w:tcPr>
          <w:p w14:paraId="071A180E" w14:textId="77777777" w:rsidR="008B1C85" w:rsidRPr="00A0517F" w:rsidRDefault="00E56454" w:rsidP="00D81EEF">
            <w:pPr>
              <w:pStyle w:val="Tabletext"/>
            </w:pPr>
            <w:r w:rsidRPr="00E56454">
              <w:t>COPD and asthma are frequently distinguishable on the basis of history (and examination) in untreated patients presenting for the first time. Features from the history and examination should be used to differentiate COPD from asthma whenever possible.</w:t>
            </w:r>
          </w:p>
        </w:tc>
        <w:tc>
          <w:tcPr>
            <w:tcW w:w="1695" w:type="dxa"/>
            <w:tcBorders>
              <w:top w:val="single" w:sz="4" w:space="0" w:color="auto"/>
              <w:left w:val="single" w:sz="4" w:space="0" w:color="auto"/>
              <w:bottom w:val="single" w:sz="4" w:space="0" w:color="auto"/>
              <w:right w:val="single" w:sz="4" w:space="0" w:color="auto"/>
            </w:tcBorders>
          </w:tcPr>
          <w:p w14:paraId="0F19822B" w14:textId="77777777" w:rsidR="008B1C85" w:rsidRPr="00A0517F" w:rsidRDefault="008B1C85" w:rsidP="00FB2B6E">
            <w:pPr>
              <w:pStyle w:val="Tabletext"/>
            </w:pPr>
            <w:r w:rsidRPr="00A0517F">
              <w:t>D</w:t>
            </w:r>
          </w:p>
        </w:tc>
      </w:tr>
      <w:tr w:rsidR="008B1C85" w:rsidRPr="00A0517F" w14:paraId="326D1150" w14:textId="77777777" w:rsidTr="008B1C85">
        <w:tc>
          <w:tcPr>
            <w:tcW w:w="562" w:type="dxa"/>
            <w:tcBorders>
              <w:top w:val="single" w:sz="4" w:space="0" w:color="auto"/>
              <w:left w:val="single" w:sz="4" w:space="0" w:color="auto"/>
              <w:bottom w:val="single" w:sz="4" w:space="0" w:color="auto"/>
              <w:right w:val="single" w:sz="4" w:space="0" w:color="auto"/>
            </w:tcBorders>
          </w:tcPr>
          <w:p w14:paraId="765EB56F" w14:textId="77777777" w:rsidR="008B1C85" w:rsidRPr="00A0517F" w:rsidRDefault="008B1C85" w:rsidP="00D81EEF">
            <w:pPr>
              <w:pStyle w:val="Tabletext"/>
            </w:pPr>
            <w:r w:rsidRPr="00A0517F">
              <w:t>R14</w:t>
            </w:r>
          </w:p>
        </w:tc>
        <w:tc>
          <w:tcPr>
            <w:tcW w:w="6804" w:type="dxa"/>
            <w:tcBorders>
              <w:top w:val="single" w:sz="4" w:space="0" w:color="auto"/>
              <w:left w:val="single" w:sz="4" w:space="0" w:color="auto"/>
              <w:bottom w:val="single" w:sz="4" w:space="0" w:color="auto"/>
              <w:right w:val="single" w:sz="4" w:space="0" w:color="auto"/>
            </w:tcBorders>
          </w:tcPr>
          <w:p w14:paraId="2A634BED" w14:textId="77777777" w:rsidR="008B1C85" w:rsidRPr="00A0517F" w:rsidRDefault="00E56454" w:rsidP="00D81EEF">
            <w:pPr>
              <w:pStyle w:val="Tabletext"/>
            </w:pPr>
            <w:r w:rsidRPr="00E56454">
              <w:t>Longitudinal observation of patients (whether using spirometry, peak flow or symptoms) should also be used to help differentiate COPD from asthma.</w:t>
            </w:r>
          </w:p>
        </w:tc>
        <w:tc>
          <w:tcPr>
            <w:tcW w:w="1695" w:type="dxa"/>
            <w:tcBorders>
              <w:top w:val="single" w:sz="4" w:space="0" w:color="auto"/>
              <w:left w:val="single" w:sz="4" w:space="0" w:color="auto"/>
              <w:bottom w:val="single" w:sz="4" w:space="0" w:color="auto"/>
              <w:right w:val="single" w:sz="4" w:space="0" w:color="auto"/>
            </w:tcBorders>
          </w:tcPr>
          <w:p w14:paraId="3E648C74" w14:textId="77777777" w:rsidR="008B1C85" w:rsidRPr="00A0517F" w:rsidRDefault="008B1C85" w:rsidP="00FB2B6E">
            <w:pPr>
              <w:pStyle w:val="Tabletext"/>
            </w:pPr>
            <w:r w:rsidRPr="00A0517F">
              <w:t>D</w:t>
            </w:r>
          </w:p>
        </w:tc>
      </w:tr>
      <w:tr w:rsidR="008B1C85" w:rsidRPr="00A0517F" w14:paraId="7DC6E4D7" w14:textId="77777777" w:rsidTr="008B1C85">
        <w:tc>
          <w:tcPr>
            <w:tcW w:w="562" w:type="dxa"/>
            <w:tcBorders>
              <w:top w:val="single" w:sz="4" w:space="0" w:color="auto"/>
              <w:left w:val="single" w:sz="4" w:space="0" w:color="auto"/>
              <w:bottom w:val="single" w:sz="4" w:space="0" w:color="auto"/>
              <w:right w:val="single" w:sz="4" w:space="0" w:color="auto"/>
            </w:tcBorders>
          </w:tcPr>
          <w:p w14:paraId="1D3DF55E" w14:textId="77777777" w:rsidR="008B1C85" w:rsidRPr="00A0517F" w:rsidRDefault="008B1C85" w:rsidP="00D81EEF">
            <w:pPr>
              <w:pStyle w:val="Tabletext"/>
            </w:pPr>
            <w:r w:rsidRPr="00A0517F">
              <w:t>R15</w:t>
            </w:r>
          </w:p>
        </w:tc>
        <w:tc>
          <w:tcPr>
            <w:tcW w:w="6804" w:type="dxa"/>
            <w:tcBorders>
              <w:top w:val="single" w:sz="4" w:space="0" w:color="auto"/>
              <w:left w:val="single" w:sz="4" w:space="0" w:color="auto"/>
              <w:bottom w:val="single" w:sz="4" w:space="0" w:color="auto"/>
              <w:right w:val="single" w:sz="4" w:space="0" w:color="auto"/>
            </w:tcBorders>
          </w:tcPr>
          <w:p w14:paraId="6CFADFAD" w14:textId="77777777" w:rsidR="00E56454" w:rsidRPr="00E56454" w:rsidRDefault="00E56454" w:rsidP="00E56454">
            <w:pPr>
              <w:pStyle w:val="Tabletext"/>
            </w:pPr>
            <w:r w:rsidRPr="00E56454">
              <w:t>To help resolve cases where diagnostic doubt remains, or both COPD and asthma are present, the following findings should be used to help identify asthma:</w:t>
            </w:r>
          </w:p>
          <w:p w14:paraId="6F63E974" w14:textId="77777777" w:rsidR="00E56454" w:rsidRPr="00E56454" w:rsidRDefault="00E56454" w:rsidP="00263C26">
            <w:pPr>
              <w:pStyle w:val="Tabletext"/>
              <w:numPr>
                <w:ilvl w:val="0"/>
                <w:numId w:val="48"/>
              </w:numPr>
              <w:ind w:left="431"/>
              <w:rPr>
                <w:rFonts w:cstheme="minorHAnsi"/>
              </w:rPr>
            </w:pPr>
            <w:r w:rsidRPr="00E56454">
              <w:rPr>
                <w:rFonts w:cstheme="minorHAnsi"/>
              </w:rPr>
              <w:t>a large (&gt;400 ml) response to bronchodilators</w:t>
            </w:r>
          </w:p>
          <w:p w14:paraId="66FFFFD9" w14:textId="77777777" w:rsidR="00E56454" w:rsidRPr="00E56454" w:rsidRDefault="00E56454" w:rsidP="00263C26">
            <w:pPr>
              <w:pStyle w:val="Tabletext"/>
              <w:numPr>
                <w:ilvl w:val="0"/>
                <w:numId w:val="48"/>
              </w:numPr>
              <w:ind w:left="431"/>
            </w:pPr>
            <w:r w:rsidRPr="00E56454">
              <w:t>a large (&gt;400 ml) response to 30 mg oral prednisolone daily for 2 weeks</w:t>
            </w:r>
          </w:p>
          <w:p w14:paraId="060719A7" w14:textId="77777777" w:rsidR="00E56454" w:rsidRPr="00E56454" w:rsidRDefault="00E56454" w:rsidP="00263C26">
            <w:pPr>
              <w:pStyle w:val="Tabletext"/>
              <w:numPr>
                <w:ilvl w:val="0"/>
                <w:numId w:val="48"/>
              </w:numPr>
              <w:ind w:left="431"/>
            </w:pPr>
            <w:r w:rsidRPr="00EB5EA3">
              <w:t>serial peak flow measurements showing 20% or greater diurnal or day-to-day variability</w:t>
            </w:r>
            <w:r w:rsidRPr="00E56454">
              <w:t>.</w:t>
            </w:r>
          </w:p>
          <w:p w14:paraId="596FCBC5" w14:textId="77777777" w:rsidR="008B1C85" w:rsidRPr="00A0517F" w:rsidRDefault="008B1C85" w:rsidP="00FB2B6E">
            <w:pPr>
              <w:pStyle w:val="Tabletext"/>
            </w:pPr>
            <w:r w:rsidRPr="00A0517F">
              <w:t>Clinically significant COPD is not present if the FEV</w:t>
            </w:r>
            <w:r w:rsidRPr="00A0517F">
              <w:rPr>
                <w:vertAlign w:val="subscript"/>
              </w:rPr>
              <w:t xml:space="preserve">1 </w:t>
            </w:r>
            <w:r w:rsidRPr="00A0517F">
              <w:t>and FEV</w:t>
            </w:r>
            <w:r w:rsidRPr="00A0517F">
              <w:rPr>
                <w:vertAlign w:val="subscript"/>
              </w:rPr>
              <w:t>1</w:t>
            </w:r>
            <w:r w:rsidRPr="00A0517F">
              <w:t>/FVC ratio return to normal with drug therapy.</w:t>
            </w:r>
          </w:p>
        </w:tc>
        <w:tc>
          <w:tcPr>
            <w:tcW w:w="1695" w:type="dxa"/>
            <w:tcBorders>
              <w:top w:val="single" w:sz="4" w:space="0" w:color="auto"/>
              <w:left w:val="single" w:sz="4" w:space="0" w:color="auto"/>
              <w:bottom w:val="single" w:sz="4" w:space="0" w:color="auto"/>
              <w:right w:val="single" w:sz="4" w:space="0" w:color="auto"/>
            </w:tcBorders>
          </w:tcPr>
          <w:p w14:paraId="30E935EF" w14:textId="77777777" w:rsidR="008B1C85" w:rsidRPr="00A0517F" w:rsidRDefault="008B1C85" w:rsidP="00FB2B6E">
            <w:pPr>
              <w:pStyle w:val="Tabletext"/>
            </w:pPr>
            <w:r w:rsidRPr="00A0517F">
              <w:t>D</w:t>
            </w:r>
          </w:p>
        </w:tc>
      </w:tr>
      <w:tr w:rsidR="008B1C85" w:rsidRPr="00A0517F" w14:paraId="25E5F5CD" w14:textId="77777777" w:rsidTr="008B1C85">
        <w:tc>
          <w:tcPr>
            <w:tcW w:w="562" w:type="dxa"/>
            <w:tcBorders>
              <w:top w:val="single" w:sz="4" w:space="0" w:color="auto"/>
              <w:left w:val="single" w:sz="4" w:space="0" w:color="auto"/>
              <w:bottom w:val="single" w:sz="4" w:space="0" w:color="auto"/>
              <w:right w:val="single" w:sz="4" w:space="0" w:color="auto"/>
            </w:tcBorders>
          </w:tcPr>
          <w:p w14:paraId="52461633" w14:textId="77777777" w:rsidR="008B1C85" w:rsidRPr="00A0517F" w:rsidRDefault="008B1C85" w:rsidP="00D81EEF">
            <w:pPr>
              <w:pStyle w:val="Tabletext"/>
            </w:pPr>
            <w:r w:rsidRPr="00A0517F">
              <w:t>R16</w:t>
            </w:r>
          </w:p>
        </w:tc>
        <w:tc>
          <w:tcPr>
            <w:tcW w:w="6804" w:type="dxa"/>
            <w:tcBorders>
              <w:top w:val="single" w:sz="4" w:space="0" w:color="auto"/>
              <w:left w:val="single" w:sz="4" w:space="0" w:color="auto"/>
              <w:bottom w:val="single" w:sz="4" w:space="0" w:color="auto"/>
              <w:right w:val="single" w:sz="4" w:space="0" w:color="auto"/>
            </w:tcBorders>
          </w:tcPr>
          <w:p w14:paraId="65CE735F" w14:textId="77777777" w:rsidR="008B1C85" w:rsidRPr="00A0517F" w:rsidRDefault="00E56454" w:rsidP="00D81EEF">
            <w:pPr>
              <w:pStyle w:val="Tabletext"/>
            </w:pPr>
            <w:r w:rsidRPr="00E56454">
              <w:t>If diagnostic uncertainty remains, referral for more detailed investigations, including imaging and measurement of T</w:t>
            </w:r>
            <w:r w:rsidRPr="00E56454">
              <w:rPr>
                <w:vertAlign w:val="subscript"/>
              </w:rPr>
              <w:t>L</w:t>
            </w:r>
            <w:r w:rsidRPr="00E56454">
              <w:t>CO, should be considered.</w:t>
            </w:r>
          </w:p>
        </w:tc>
        <w:tc>
          <w:tcPr>
            <w:tcW w:w="1695" w:type="dxa"/>
            <w:tcBorders>
              <w:top w:val="single" w:sz="4" w:space="0" w:color="auto"/>
              <w:left w:val="single" w:sz="4" w:space="0" w:color="auto"/>
              <w:bottom w:val="single" w:sz="4" w:space="0" w:color="auto"/>
              <w:right w:val="single" w:sz="4" w:space="0" w:color="auto"/>
            </w:tcBorders>
          </w:tcPr>
          <w:p w14:paraId="3C2D0357" w14:textId="77777777" w:rsidR="008B1C85" w:rsidRPr="00A0517F" w:rsidRDefault="008B1C85" w:rsidP="00FB2B6E">
            <w:pPr>
              <w:pStyle w:val="Tabletext"/>
            </w:pPr>
            <w:r w:rsidRPr="00A0517F">
              <w:t>D</w:t>
            </w:r>
          </w:p>
        </w:tc>
      </w:tr>
      <w:tr w:rsidR="008B1C85" w:rsidRPr="00A0517F" w14:paraId="352591E5" w14:textId="77777777" w:rsidTr="008B1C85">
        <w:tc>
          <w:tcPr>
            <w:tcW w:w="562" w:type="dxa"/>
            <w:tcBorders>
              <w:top w:val="single" w:sz="4" w:space="0" w:color="auto"/>
              <w:left w:val="single" w:sz="4" w:space="0" w:color="auto"/>
              <w:bottom w:val="single" w:sz="4" w:space="0" w:color="auto"/>
              <w:right w:val="single" w:sz="4" w:space="0" w:color="auto"/>
            </w:tcBorders>
          </w:tcPr>
          <w:p w14:paraId="0213811C" w14:textId="77777777" w:rsidR="008B1C85" w:rsidRPr="00A0517F" w:rsidRDefault="008B1C85" w:rsidP="00D81EEF">
            <w:pPr>
              <w:pStyle w:val="Tabletext"/>
            </w:pPr>
            <w:r w:rsidRPr="00A0517F">
              <w:t>R17</w:t>
            </w:r>
          </w:p>
        </w:tc>
        <w:tc>
          <w:tcPr>
            <w:tcW w:w="6804" w:type="dxa"/>
            <w:tcBorders>
              <w:top w:val="single" w:sz="4" w:space="0" w:color="auto"/>
              <w:left w:val="single" w:sz="4" w:space="0" w:color="auto"/>
              <w:bottom w:val="single" w:sz="4" w:space="0" w:color="auto"/>
              <w:right w:val="single" w:sz="4" w:space="0" w:color="auto"/>
            </w:tcBorders>
          </w:tcPr>
          <w:p w14:paraId="414CB529" w14:textId="77777777" w:rsidR="008B1C85" w:rsidRPr="00A0517F" w:rsidRDefault="00EB5EA3" w:rsidP="00D81EEF">
            <w:pPr>
              <w:pStyle w:val="Tabletext"/>
            </w:pPr>
            <w:r w:rsidRPr="00EB5EA3">
              <w:t>If patients report a marked improvement in symptoms in response to inhaled therapy, the diagnosis of COPD should be reconsidered.</w:t>
            </w:r>
          </w:p>
        </w:tc>
        <w:tc>
          <w:tcPr>
            <w:tcW w:w="1695" w:type="dxa"/>
            <w:tcBorders>
              <w:top w:val="single" w:sz="4" w:space="0" w:color="auto"/>
              <w:left w:val="single" w:sz="4" w:space="0" w:color="auto"/>
              <w:bottom w:val="single" w:sz="4" w:space="0" w:color="auto"/>
              <w:right w:val="single" w:sz="4" w:space="0" w:color="auto"/>
            </w:tcBorders>
          </w:tcPr>
          <w:p w14:paraId="36CEC342" w14:textId="77777777" w:rsidR="008B1C85" w:rsidRPr="00A0517F" w:rsidRDefault="008B1C85" w:rsidP="00FB2B6E">
            <w:pPr>
              <w:pStyle w:val="Tabletext"/>
            </w:pPr>
            <w:r w:rsidRPr="00A0517F">
              <w:t>D</w:t>
            </w:r>
          </w:p>
        </w:tc>
      </w:tr>
    </w:tbl>
    <w:p w14:paraId="7D5ACCA3" w14:textId="77777777" w:rsidR="008B1C85" w:rsidRDefault="008B1C85" w:rsidP="008B1C85">
      <w:pPr>
        <w:pStyle w:val="08Tablefootnotes"/>
      </w:pPr>
      <w:r>
        <w:t>Note: Grade A = Based on hierarchy I evidence (systematic review or meta-analysis of RCTs or evidence from at least one RCT); Grade B = Based on hierarchy II evidence (at least one controlled study without randomisation or at least one other type of quasi experimental study) or extrapolated from hierarchy I evidence. Grade D = Directly based on hierarchy IV evidence (evidence from expert committee reports or opinions) or extrapolated from hierarchy I, II or III evidence.</w:t>
      </w:r>
    </w:p>
    <w:p w14:paraId="1F69903D" w14:textId="77777777" w:rsidR="008B1C85" w:rsidRDefault="008B1C85" w:rsidP="008B1C85">
      <w:pPr>
        <w:pStyle w:val="09Tablefootnoteslast-nostick"/>
      </w:pPr>
      <w:r>
        <w:t xml:space="preserve">Abbreviations: COPD, chronic obstructive pulmonary disease; FEV, forced expiratory volume; FVC, forced vital capacity; NGCG, National Clinical Guideline Centre; R, recommendation; </w:t>
      </w:r>
      <w:r w:rsidRPr="00EC4625">
        <w:t>T</w:t>
      </w:r>
      <w:r w:rsidRPr="00F13F03">
        <w:rPr>
          <w:vertAlign w:val="subscript"/>
        </w:rPr>
        <w:t>L</w:t>
      </w:r>
      <w:r w:rsidRPr="00EC4625">
        <w:t>CO</w:t>
      </w:r>
      <w:r>
        <w:t>, transfer factor for carbon monoxide.</w:t>
      </w:r>
    </w:p>
    <w:p w14:paraId="2FCF33ED" w14:textId="77777777" w:rsidR="008B1C85" w:rsidRPr="00CB24CB" w:rsidRDefault="008B1C85" w:rsidP="00CB5570">
      <w:pPr>
        <w:pStyle w:val="AttHeading4"/>
      </w:pPr>
      <w:r w:rsidRPr="00CB24CB">
        <w:t>Asthma-COPD Overlap Syndrome (ACOS)</w:t>
      </w:r>
    </w:p>
    <w:p w14:paraId="3B07D4AE" w14:textId="77777777" w:rsidR="008B1C85" w:rsidRPr="00FE05D1" w:rsidRDefault="008B1C85" w:rsidP="00B50F00">
      <w:r w:rsidRPr="00FE05D1">
        <w:t xml:space="preserve">Several of the guidelines summarised in Section </w:t>
      </w:r>
      <w:r w:rsidR="00EB5EA3">
        <w:t>2.4.2</w:t>
      </w:r>
      <w:r w:rsidRPr="00FE05D1">
        <w:t xml:space="preserve"> note that asthma and COPD frequently coexist, particularly in patients aged 55 years and over with a history of smoking (NAC 2015).</w:t>
      </w:r>
    </w:p>
    <w:p w14:paraId="3676D8ED" w14:textId="77777777" w:rsidR="008B1C85" w:rsidRPr="00CB24CB" w:rsidRDefault="008B1C85" w:rsidP="00CB5570">
      <w:pPr>
        <w:pStyle w:val="AttHeading5"/>
      </w:pPr>
      <w:r w:rsidRPr="00CB24CB">
        <w:t>National Asthma Council Australia (2015)</w:t>
      </w:r>
    </w:p>
    <w:p w14:paraId="086CBB0B" w14:textId="77777777" w:rsidR="008B1C85" w:rsidRPr="00FE05D1" w:rsidRDefault="008B1C85" w:rsidP="00B50F00">
      <w:r w:rsidRPr="00FE05D1">
        <w:t xml:space="preserve">The </w:t>
      </w:r>
      <w:r w:rsidRPr="00FE05D1">
        <w:rPr>
          <w:i/>
        </w:rPr>
        <w:t xml:space="preserve">Australian Asthma Handbook </w:t>
      </w:r>
      <w:r w:rsidRPr="00FE05D1">
        <w:t>emphasises the fact that coexisting COPD and asthma should be considered a possibility in patients with respiratory symptoms and any of the following risk factors:</w:t>
      </w:r>
    </w:p>
    <w:p w14:paraId="4E503849" w14:textId="77777777" w:rsidR="008B1C85" w:rsidRPr="00FE05D1" w:rsidRDefault="008B1C85" w:rsidP="007802D7">
      <w:pPr>
        <w:pStyle w:val="NormalBulleted"/>
        <w:numPr>
          <w:ilvl w:val="0"/>
          <w:numId w:val="49"/>
        </w:numPr>
      </w:pPr>
      <w:r w:rsidRPr="00FE05D1">
        <w:t>current smoking or history of smoking and age 35 years and over;</w:t>
      </w:r>
    </w:p>
    <w:p w14:paraId="768C378F" w14:textId="77777777" w:rsidR="008B1C85" w:rsidRPr="00FE05D1" w:rsidRDefault="008B1C85" w:rsidP="007802D7">
      <w:pPr>
        <w:pStyle w:val="NormalBulleted"/>
        <w:numPr>
          <w:ilvl w:val="0"/>
          <w:numId w:val="49"/>
        </w:numPr>
      </w:pPr>
      <w:r w:rsidRPr="00FE05D1">
        <w:t>exposure to environmental tobacco smoke or other smoke;</w:t>
      </w:r>
    </w:p>
    <w:p w14:paraId="7C3C707E" w14:textId="77777777" w:rsidR="008B1C85" w:rsidRPr="00FE05D1" w:rsidRDefault="008B1C85" w:rsidP="007802D7">
      <w:pPr>
        <w:pStyle w:val="NormalBulleted"/>
        <w:numPr>
          <w:ilvl w:val="0"/>
          <w:numId w:val="49"/>
        </w:numPr>
      </w:pPr>
      <w:r w:rsidRPr="00FE05D1">
        <w:lastRenderedPageBreak/>
        <w:t>age 55 years and over; or</w:t>
      </w:r>
    </w:p>
    <w:p w14:paraId="35B4823E" w14:textId="77777777" w:rsidR="008B1C85" w:rsidRPr="00FE05D1" w:rsidRDefault="008B1C85" w:rsidP="007802D7">
      <w:pPr>
        <w:pStyle w:val="NormalBulleted"/>
        <w:numPr>
          <w:ilvl w:val="0"/>
          <w:numId w:val="49"/>
        </w:numPr>
      </w:pPr>
      <w:r w:rsidRPr="00FE05D1">
        <w:t>longstanding asthma.</w:t>
      </w:r>
    </w:p>
    <w:p w14:paraId="68F550B9" w14:textId="6CBAB7F8" w:rsidR="008B1C85" w:rsidRDefault="0063592C" w:rsidP="00DF3A06">
      <w:pPr>
        <w:pStyle w:val="Appcaption"/>
      </w:pPr>
      <w:r>
        <w:t xml:space="preserve">Table </w:t>
      </w:r>
      <w:fldSimple w:instr=" SEQ Title \* ARABIC ">
        <w:r w:rsidR="00F2203C">
          <w:rPr>
            <w:noProof/>
          </w:rPr>
          <w:t>26</w:t>
        </w:r>
      </w:fldSimple>
      <w:r w:rsidR="008B1C85">
        <w:rPr>
          <w:noProof/>
        </w:rPr>
        <w:tab/>
        <w:t>NAC (2015):</w:t>
      </w:r>
      <w:r w:rsidR="008B1C85">
        <w:t xml:space="preserve"> Diagnostic considerations when COPD is a possibility</w:t>
      </w:r>
    </w:p>
    <w:tbl>
      <w:tblPr>
        <w:tblStyle w:val="TableGrid"/>
        <w:tblW w:w="0" w:type="auto"/>
        <w:tblLook w:val="04A0" w:firstRow="1" w:lastRow="0" w:firstColumn="1" w:lastColumn="0" w:noHBand="0" w:noVBand="1"/>
        <w:tblDescription w:val="Appendix C table 25 list the 2015 National Asthma Council (NAC) diagnostic considerations.  This table contains 2 column headings: 1. Recommendations and 2. Type of recommendations when Chronic Obstructive Pulmonary Disease (COPD) is possible."/>
      </w:tblPr>
      <w:tblGrid>
        <w:gridCol w:w="7409"/>
        <w:gridCol w:w="1652"/>
      </w:tblGrid>
      <w:tr w:rsidR="008B1C85" w14:paraId="5F16B683" w14:textId="77777777" w:rsidTr="00FF6AB5">
        <w:trPr>
          <w:tblHeader/>
        </w:trPr>
        <w:tc>
          <w:tcPr>
            <w:tcW w:w="7508" w:type="dxa"/>
            <w:tcBorders>
              <w:top w:val="single" w:sz="4" w:space="0" w:color="auto"/>
              <w:left w:val="single" w:sz="4" w:space="0" w:color="auto"/>
              <w:bottom w:val="single" w:sz="4" w:space="0" w:color="auto"/>
              <w:right w:val="single" w:sz="4" w:space="0" w:color="auto"/>
            </w:tcBorders>
          </w:tcPr>
          <w:p w14:paraId="2626BEFF" w14:textId="77777777" w:rsidR="008B1C85" w:rsidRPr="004C005F" w:rsidRDefault="008B1C85" w:rsidP="00134608">
            <w:pPr>
              <w:pStyle w:val="Tableheading"/>
            </w:pPr>
            <w:r w:rsidRPr="004C005F">
              <w:t>Recommendations</w:t>
            </w:r>
          </w:p>
        </w:tc>
        <w:tc>
          <w:tcPr>
            <w:tcW w:w="1553" w:type="dxa"/>
            <w:tcBorders>
              <w:top w:val="single" w:sz="4" w:space="0" w:color="auto"/>
              <w:left w:val="single" w:sz="4" w:space="0" w:color="auto"/>
              <w:bottom w:val="single" w:sz="4" w:space="0" w:color="auto"/>
              <w:right w:val="single" w:sz="4" w:space="0" w:color="auto"/>
            </w:tcBorders>
          </w:tcPr>
          <w:p w14:paraId="377A04CB" w14:textId="77777777" w:rsidR="008B1C85" w:rsidRPr="004C005F" w:rsidRDefault="008B1C85" w:rsidP="00134608">
            <w:pPr>
              <w:pStyle w:val="Tableheading"/>
            </w:pPr>
            <w:r w:rsidRPr="004C005F">
              <w:t>Type of recommendation</w:t>
            </w:r>
          </w:p>
        </w:tc>
      </w:tr>
      <w:tr w:rsidR="008B1C85" w14:paraId="6A053337" w14:textId="77777777" w:rsidTr="00BA05B4">
        <w:trPr>
          <w:trHeight w:val="953"/>
        </w:trPr>
        <w:tc>
          <w:tcPr>
            <w:tcW w:w="7508" w:type="dxa"/>
            <w:tcBorders>
              <w:top w:val="single" w:sz="4" w:space="0" w:color="auto"/>
              <w:left w:val="single" w:sz="4" w:space="0" w:color="auto"/>
              <w:bottom w:val="single" w:sz="4" w:space="0" w:color="auto"/>
              <w:right w:val="single" w:sz="4" w:space="0" w:color="auto"/>
            </w:tcBorders>
          </w:tcPr>
          <w:p w14:paraId="0564A678" w14:textId="77777777" w:rsidR="008B1C85" w:rsidRPr="00103C98" w:rsidRDefault="008B1C85" w:rsidP="00E359E9">
            <w:pPr>
              <w:pStyle w:val="Tabletext"/>
            </w:pPr>
            <w:r w:rsidRPr="00847268">
              <w:t>If spirometry before and after bronchodilator demonstrates airflow limitation that is not completely reversible in an adult with risk factors for COPD, consider the possibility of COPD, even if the person has never smoked.</w:t>
            </w:r>
          </w:p>
        </w:tc>
        <w:tc>
          <w:tcPr>
            <w:tcW w:w="1553" w:type="dxa"/>
            <w:tcBorders>
              <w:top w:val="single" w:sz="4" w:space="0" w:color="auto"/>
              <w:left w:val="single" w:sz="4" w:space="0" w:color="auto"/>
              <w:bottom w:val="single" w:sz="4" w:space="0" w:color="auto"/>
              <w:right w:val="single" w:sz="4" w:space="0" w:color="auto"/>
            </w:tcBorders>
          </w:tcPr>
          <w:p w14:paraId="01530C22" w14:textId="77777777" w:rsidR="008B1C85" w:rsidRPr="00B37174" w:rsidRDefault="008B1C85" w:rsidP="00E359E9">
            <w:pPr>
              <w:pStyle w:val="Tabletext"/>
            </w:pPr>
            <w:r>
              <w:t>Consensus recommendation with reference to named sources</w:t>
            </w:r>
            <w:r>
              <w:rPr>
                <w:vertAlign w:val="superscript"/>
              </w:rPr>
              <w:t>a</w:t>
            </w:r>
          </w:p>
        </w:tc>
      </w:tr>
      <w:tr w:rsidR="008B1C85" w14:paraId="5DA54822" w14:textId="77777777" w:rsidTr="008B1C85">
        <w:tc>
          <w:tcPr>
            <w:tcW w:w="7508" w:type="dxa"/>
            <w:tcBorders>
              <w:top w:val="single" w:sz="4" w:space="0" w:color="auto"/>
              <w:left w:val="single" w:sz="4" w:space="0" w:color="auto"/>
              <w:bottom w:val="single" w:sz="4" w:space="0" w:color="auto"/>
              <w:right w:val="single" w:sz="4" w:space="0" w:color="auto"/>
            </w:tcBorders>
          </w:tcPr>
          <w:p w14:paraId="648AAE07" w14:textId="77777777" w:rsidR="008B1C85" w:rsidRPr="00847268" w:rsidRDefault="008B1C85" w:rsidP="00E359E9">
            <w:pPr>
              <w:pStyle w:val="Tabletext"/>
            </w:pPr>
            <w:r>
              <w:t>If an adult has risk factors for COPD, spirometry before and after bronchodilator demonstrates airflow limitation that is not completely reversible, and other diagnostic tests do not confirm asthma, start a treatment trial with an inhaled corticosteroid and repeat spirometry 6–8 weeks later.</w:t>
            </w:r>
          </w:p>
          <w:p w14:paraId="3743412C" w14:textId="77777777" w:rsidR="008B1C85" w:rsidRPr="00847268" w:rsidRDefault="008B1C85" w:rsidP="00E359E9">
            <w:pPr>
              <w:pStyle w:val="Tabletext"/>
            </w:pPr>
            <w:r>
              <w:t>After the trial of inhaled corticosteroid treatment, the diagnosis of asthma is supported if pre-bronchodilator spirometry shows that airflow limitation has resolved, or if spirometry before and after bronchodilator demonstrates airflow limitation that is fully reversible.</w:t>
            </w:r>
          </w:p>
        </w:tc>
        <w:tc>
          <w:tcPr>
            <w:tcW w:w="1553" w:type="dxa"/>
            <w:tcBorders>
              <w:top w:val="single" w:sz="4" w:space="0" w:color="auto"/>
              <w:left w:val="single" w:sz="4" w:space="0" w:color="auto"/>
              <w:bottom w:val="single" w:sz="4" w:space="0" w:color="auto"/>
              <w:right w:val="single" w:sz="4" w:space="0" w:color="auto"/>
            </w:tcBorders>
          </w:tcPr>
          <w:p w14:paraId="2A280DC7" w14:textId="77777777" w:rsidR="008B1C85" w:rsidRDefault="008B1C85" w:rsidP="00E359E9">
            <w:pPr>
              <w:pStyle w:val="Tabletext"/>
            </w:pPr>
            <w:r>
              <w:t>Consensus recommendation</w:t>
            </w:r>
          </w:p>
        </w:tc>
      </w:tr>
    </w:tbl>
    <w:p w14:paraId="28CD2D13" w14:textId="77777777" w:rsidR="008B1C85" w:rsidRPr="00FB0681" w:rsidRDefault="008B1C85" w:rsidP="008B1C85">
      <w:pPr>
        <w:pStyle w:val="08Tablefootnotes"/>
      </w:pPr>
      <w:r w:rsidRPr="00FB0681">
        <w:t>Source:</w:t>
      </w:r>
      <w:r>
        <w:t xml:space="preserve"> NAC (2015). Available at</w:t>
      </w:r>
      <w:r w:rsidRPr="00F239F1">
        <w:t xml:space="preserve">: </w:t>
      </w:r>
      <w:hyperlink r:id="rId19" w:tooltip="This link goes to the Australian Asthma Handbook website" w:history="1">
        <w:r w:rsidRPr="00F239F1">
          <w:rPr>
            <w:rStyle w:val="Hyperlink"/>
          </w:rPr>
          <w:t>http://www.asthmahandbook.org.au/clinical-issues/copd/diagnostic-considerations</w:t>
        </w:r>
      </w:hyperlink>
      <w:r>
        <w:t xml:space="preserve">. </w:t>
      </w:r>
    </w:p>
    <w:p w14:paraId="6246FAE1" w14:textId="77777777" w:rsidR="008B1C85" w:rsidRDefault="008B1C85" w:rsidP="008B1C85">
      <w:pPr>
        <w:pStyle w:val="08Tablefootnotes"/>
        <w:rPr>
          <w:b/>
        </w:rPr>
      </w:pPr>
      <w:r>
        <w:t>Abbreviations: COPD, chronic obstructive pulmonary disease</w:t>
      </w:r>
      <w:r w:rsidRPr="00961EA1">
        <w:t>.</w:t>
      </w:r>
    </w:p>
    <w:p w14:paraId="581386CB" w14:textId="77777777" w:rsidR="008B1C85" w:rsidRPr="00847268" w:rsidRDefault="008B1C85" w:rsidP="008B1C85">
      <w:pPr>
        <w:pStyle w:val="09Tablefootnoteslast-nostick"/>
      </w:pPr>
      <w:r>
        <w:rPr>
          <w:b/>
        </w:rPr>
        <w:t>a</w:t>
      </w:r>
      <w:r>
        <w:t xml:space="preserve"> Abramson et al (2012).</w:t>
      </w:r>
    </w:p>
    <w:p w14:paraId="0026F9A9" w14:textId="77777777" w:rsidR="008B1C85" w:rsidRPr="00CB24CB" w:rsidRDefault="008B1C85" w:rsidP="00CB5570">
      <w:pPr>
        <w:pStyle w:val="AttHeading5"/>
      </w:pPr>
      <w:r w:rsidRPr="00CB24CB">
        <w:t xml:space="preserve">Global Initiative for Chronic Obstructive Lung Disease (2016) / Global Initiative for Asthma (2015) </w:t>
      </w:r>
    </w:p>
    <w:p w14:paraId="724468B0" w14:textId="77777777" w:rsidR="008B1C85" w:rsidRDefault="008B1C85" w:rsidP="008B1C85">
      <w:r w:rsidRPr="0074784D">
        <w:t xml:space="preserve">Recent versions of the GINA and GOLD reports have incorporated joint guidance on the diagnosis of ACOS. </w:t>
      </w:r>
      <w:r>
        <w:t>According to this guidance, the presence of a chronic airways disease should be confirmed through a detailed medical history and physical examination. A comparison of features favouring asthma or COPD should be undertaken based on age, symptoms and exposure to risk factors. If those factors do not clearly favour asthma or COPD, ACOS should be considered.</w:t>
      </w:r>
    </w:p>
    <w:p w14:paraId="45710CCB" w14:textId="77777777" w:rsidR="00C7379F" w:rsidRDefault="008B1C85" w:rsidP="008B1C85">
      <w:r>
        <w:t>According to GINA/GOLD guidance, spirometry is essential for the confirmation of chronic airflow limitation; however, its value in distinguishing between asthma with fixed airflow obstruction, COPD and ACOS is limited.</w:t>
      </w:r>
      <w:r w:rsidR="0063592C">
        <w:t xml:space="preserve"> Table 27</w:t>
      </w:r>
      <w:r>
        <w:t xml:space="preserve"> shows a range of spirometric results with the corresponding interpretations of those results in the context of asthma, COPD and ACOS.</w:t>
      </w:r>
      <w:r w:rsidR="00C7379F">
        <w:br w:type="page"/>
      </w:r>
    </w:p>
    <w:p w14:paraId="1D049C58" w14:textId="539BFED3" w:rsidR="008B1C85" w:rsidRPr="0074784D" w:rsidRDefault="0063592C" w:rsidP="00DF3A06">
      <w:pPr>
        <w:pStyle w:val="Appcaption"/>
      </w:pPr>
      <w:r>
        <w:lastRenderedPageBreak/>
        <w:t xml:space="preserve">Table </w:t>
      </w:r>
      <w:fldSimple w:instr=" SEQ Title \* ARABIC ">
        <w:r w:rsidR="00F2203C">
          <w:rPr>
            <w:noProof/>
          </w:rPr>
          <w:t>27</w:t>
        </w:r>
      </w:fldSimple>
      <w:r w:rsidR="008B1C85">
        <w:rPr>
          <w:noProof/>
        </w:rPr>
        <w:tab/>
        <w:t>GOLD (2016):</w:t>
      </w:r>
      <w:r w:rsidR="008B1C85" w:rsidRPr="0074784D">
        <w:t xml:space="preserve"> Spirometric measures in asthma, COPD and ACOS</w:t>
      </w:r>
    </w:p>
    <w:tbl>
      <w:tblPr>
        <w:tblStyle w:val="TableGrid"/>
        <w:tblW w:w="0" w:type="auto"/>
        <w:tblLook w:val="04A0" w:firstRow="1" w:lastRow="0" w:firstColumn="1" w:lastColumn="0" w:noHBand="0" w:noVBand="1"/>
        <w:tblDescription w:val="Appendix C table 26 list the 2016 Global Initiative for Chronic Obstructive Lung Disease (GOLD) spirometric measures in asthma. This table contains 4 column headings: 1. Spirometric variable, 2. Asthma, 3. Chronic Obstructive Pulmonary Disease (COPD) and  Asthma-COPD Overlap Syndrome (ACOS)."/>
      </w:tblPr>
      <w:tblGrid>
        <w:gridCol w:w="2405"/>
        <w:gridCol w:w="2218"/>
        <w:gridCol w:w="2219"/>
        <w:gridCol w:w="2219"/>
      </w:tblGrid>
      <w:tr w:rsidR="008B1C85" w:rsidRPr="0074784D" w14:paraId="3F4D696C" w14:textId="77777777" w:rsidTr="00FF6AB5">
        <w:trPr>
          <w:tblHeader/>
        </w:trPr>
        <w:tc>
          <w:tcPr>
            <w:tcW w:w="2405" w:type="dxa"/>
            <w:tcBorders>
              <w:top w:val="single" w:sz="4" w:space="0" w:color="auto"/>
              <w:left w:val="single" w:sz="4" w:space="0" w:color="auto"/>
              <w:bottom w:val="single" w:sz="4" w:space="0" w:color="auto"/>
              <w:right w:val="single" w:sz="4" w:space="0" w:color="auto"/>
            </w:tcBorders>
          </w:tcPr>
          <w:p w14:paraId="54EE9237" w14:textId="77777777" w:rsidR="008B1C85" w:rsidRPr="004C005F" w:rsidRDefault="008B1C85" w:rsidP="00A403FC">
            <w:pPr>
              <w:pStyle w:val="Tableheading"/>
            </w:pPr>
            <w:r w:rsidRPr="004C005F">
              <w:t>Spirometric variable</w:t>
            </w:r>
          </w:p>
        </w:tc>
        <w:tc>
          <w:tcPr>
            <w:tcW w:w="2218" w:type="dxa"/>
            <w:tcBorders>
              <w:top w:val="single" w:sz="4" w:space="0" w:color="auto"/>
              <w:left w:val="single" w:sz="4" w:space="0" w:color="auto"/>
              <w:bottom w:val="single" w:sz="4" w:space="0" w:color="auto"/>
              <w:right w:val="single" w:sz="4" w:space="0" w:color="auto"/>
            </w:tcBorders>
          </w:tcPr>
          <w:p w14:paraId="5F6C354D" w14:textId="77777777" w:rsidR="008B1C85" w:rsidRPr="004C005F" w:rsidRDefault="008B1C85" w:rsidP="00A403FC">
            <w:pPr>
              <w:pStyle w:val="Tableheading"/>
            </w:pPr>
            <w:r w:rsidRPr="004C005F">
              <w:t>Asthma</w:t>
            </w:r>
          </w:p>
        </w:tc>
        <w:tc>
          <w:tcPr>
            <w:tcW w:w="2219" w:type="dxa"/>
            <w:tcBorders>
              <w:top w:val="single" w:sz="4" w:space="0" w:color="auto"/>
              <w:left w:val="single" w:sz="4" w:space="0" w:color="auto"/>
              <w:bottom w:val="single" w:sz="4" w:space="0" w:color="auto"/>
              <w:right w:val="single" w:sz="4" w:space="0" w:color="auto"/>
            </w:tcBorders>
          </w:tcPr>
          <w:p w14:paraId="5545A556" w14:textId="77777777" w:rsidR="008B1C85" w:rsidRPr="004C005F" w:rsidRDefault="008B1C85" w:rsidP="00A403FC">
            <w:pPr>
              <w:pStyle w:val="Tableheading"/>
            </w:pPr>
            <w:r w:rsidRPr="004C005F">
              <w:t>COPD</w:t>
            </w:r>
          </w:p>
        </w:tc>
        <w:tc>
          <w:tcPr>
            <w:tcW w:w="2219" w:type="dxa"/>
            <w:tcBorders>
              <w:top w:val="single" w:sz="4" w:space="0" w:color="auto"/>
              <w:left w:val="single" w:sz="4" w:space="0" w:color="auto"/>
              <w:bottom w:val="single" w:sz="4" w:space="0" w:color="auto"/>
              <w:right w:val="single" w:sz="4" w:space="0" w:color="auto"/>
            </w:tcBorders>
          </w:tcPr>
          <w:p w14:paraId="6BE4B054" w14:textId="77777777" w:rsidR="008B1C85" w:rsidRPr="004C005F" w:rsidRDefault="008B1C85" w:rsidP="00A403FC">
            <w:pPr>
              <w:pStyle w:val="Tableheading"/>
            </w:pPr>
            <w:r w:rsidRPr="004C005F">
              <w:t>ACOS</w:t>
            </w:r>
          </w:p>
        </w:tc>
      </w:tr>
      <w:tr w:rsidR="008B1C85" w:rsidRPr="0074784D" w14:paraId="1BF37CCE" w14:textId="77777777" w:rsidTr="008B1C85">
        <w:tc>
          <w:tcPr>
            <w:tcW w:w="2405" w:type="dxa"/>
            <w:tcBorders>
              <w:top w:val="single" w:sz="4" w:space="0" w:color="auto"/>
              <w:left w:val="single" w:sz="4" w:space="0" w:color="auto"/>
              <w:bottom w:val="single" w:sz="4" w:space="0" w:color="auto"/>
              <w:right w:val="single" w:sz="4" w:space="0" w:color="auto"/>
            </w:tcBorders>
          </w:tcPr>
          <w:p w14:paraId="17D22516" w14:textId="77777777" w:rsidR="008B1C85" w:rsidRPr="0074784D" w:rsidRDefault="008B1C85" w:rsidP="008B1C85">
            <w:pPr>
              <w:pStyle w:val="Tabletext"/>
            </w:pPr>
            <w:r w:rsidRPr="0074784D">
              <w:t>Normal FEV</w:t>
            </w:r>
            <w:r w:rsidRPr="0074784D">
              <w:rPr>
                <w:vertAlign w:val="subscript"/>
              </w:rPr>
              <w:t>1</w:t>
            </w:r>
            <w:r w:rsidRPr="0074784D">
              <w:t>/FVC pre- or post</w:t>
            </w:r>
            <w:r>
              <w:t>-</w:t>
            </w:r>
            <w:r w:rsidRPr="0074784D">
              <w:t>BD</w:t>
            </w:r>
          </w:p>
        </w:tc>
        <w:tc>
          <w:tcPr>
            <w:tcW w:w="2218" w:type="dxa"/>
            <w:tcBorders>
              <w:top w:val="single" w:sz="4" w:space="0" w:color="auto"/>
              <w:left w:val="single" w:sz="4" w:space="0" w:color="auto"/>
              <w:bottom w:val="single" w:sz="4" w:space="0" w:color="auto"/>
              <w:right w:val="single" w:sz="4" w:space="0" w:color="auto"/>
            </w:tcBorders>
          </w:tcPr>
          <w:p w14:paraId="73E57017" w14:textId="77777777" w:rsidR="008B1C85" w:rsidRPr="0074784D" w:rsidRDefault="008B1C85" w:rsidP="008B1C85">
            <w:pPr>
              <w:pStyle w:val="Tabletext"/>
            </w:pPr>
            <w:r w:rsidRPr="0074784D">
              <w:t>Compatible with diagnosis</w:t>
            </w:r>
          </w:p>
        </w:tc>
        <w:tc>
          <w:tcPr>
            <w:tcW w:w="2219" w:type="dxa"/>
            <w:tcBorders>
              <w:top w:val="single" w:sz="4" w:space="0" w:color="auto"/>
              <w:left w:val="single" w:sz="4" w:space="0" w:color="auto"/>
              <w:bottom w:val="single" w:sz="4" w:space="0" w:color="auto"/>
              <w:right w:val="single" w:sz="4" w:space="0" w:color="auto"/>
            </w:tcBorders>
          </w:tcPr>
          <w:p w14:paraId="440A1DEA" w14:textId="77777777" w:rsidR="008B1C85" w:rsidRPr="0074784D" w:rsidRDefault="008B1C85" w:rsidP="008B1C85">
            <w:pPr>
              <w:pStyle w:val="Tabletext"/>
            </w:pPr>
            <w:r w:rsidRPr="0074784D">
              <w:t>Not compatible with diagnosis</w:t>
            </w:r>
          </w:p>
        </w:tc>
        <w:tc>
          <w:tcPr>
            <w:tcW w:w="2219" w:type="dxa"/>
            <w:tcBorders>
              <w:top w:val="single" w:sz="4" w:space="0" w:color="auto"/>
              <w:left w:val="single" w:sz="4" w:space="0" w:color="auto"/>
              <w:bottom w:val="single" w:sz="4" w:space="0" w:color="auto"/>
              <w:right w:val="single" w:sz="4" w:space="0" w:color="auto"/>
            </w:tcBorders>
          </w:tcPr>
          <w:p w14:paraId="532A61B7" w14:textId="77777777" w:rsidR="008B1C85" w:rsidRPr="0074784D" w:rsidRDefault="008B1C85" w:rsidP="008B1C85">
            <w:pPr>
              <w:pStyle w:val="Tabletext"/>
            </w:pPr>
            <w:r w:rsidRPr="0074784D">
              <w:t>Not compatible unless other evidence of chronic airflow limitation</w:t>
            </w:r>
          </w:p>
        </w:tc>
      </w:tr>
      <w:tr w:rsidR="008B1C85" w:rsidRPr="0074784D" w14:paraId="0B380310" w14:textId="77777777" w:rsidTr="008B1C85">
        <w:tc>
          <w:tcPr>
            <w:tcW w:w="2405" w:type="dxa"/>
            <w:tcBorders>
              <w:top w:val="single" w:sz="4" w:space="0" w:color="auto"/>
              <w:left w:val="single" w:sz="4" w:space="0" w:color="auto"/>
              <w:bottom w:val="single" w:sz="4" w:space="0" w:color="auto"/>
              <w:right w:val="single" w:sz="4" w:space="0" w:color="auto"/>
            </w:tcBorders>
          </w:tcPr>
          <w:p w14:paraId="67079DB6" w14:textId="77777777" w:rsidR="008B1C85" w:rsidRPr="0074784D" w:rsidRDefault="008B1C85" w:rsidP="008B1C85">
            <w:pPr>
              <w:pStyle w:val="Tabletext"/>
            </w:pPr>
            <w:r w:rsidRPr="0074784D">
              <w:t>Post-BD FEV</w:t>
            </w:r>
            <w:r w:rsidRPr="0074784D">
              <w:rPr>
                <w:vertAlign w:val="subscript"/>
              </w:rPr>
              <w:t>1</w:t>
            </w:r>
            <w:r w:rsidRPr="0074784D">
              <w:t>/FVC &lt;0.7</w:t>
            </w:r>
          </w:p>
        </w:tc>
        <w:tc>
          <w:tcPr>
            <w:tcW w:w="2218" w:type="dxa"/>
            <w:tcBorders>
              <w:top w:val="single" w:sz="4" w:space="0" w:color="auto"/>
              <w:left w:val="single" w:sz="4" w:space="0" w:color="auto"/>
              <w:bottom w:val="single" w:sz="4" w:space="0" w:color="auto"/>
              <w:right w:val="single" w:sz="4" w:space="0" w:color="auto"/>
            </w:tcBorders>
          </w:tcPr>
          <w:p w14:paraId="2A3A35C5" w14:textId="77777777" w:rsidR="008B1C85" w:rsidRPr="0074784D" w:rsidRDefault="008B1C85" w:rsidP="008B1C85">
            <w:pPr>
              <w:pStyle w:val="Tabletext"/>
            </w:pPr>
            <w:r w:rsidRPr="0074784D">
              <w:t>Indicates airflow limitation but may improve spontaneously or on treatment</w:t>
            </w:r>
          </w:p>
        </w:tc>
        <w:tc>
          <w:tcPr>
            <w:tcW w:w="2219" w:type="dxa"/>
            <w:tcBorders>
              <w:top w:val="single" w:sz="4" w:space="0" w:color="auto"/>
              <w:left w:val="single" w:sz="4" w:space="0" w:color="auto"/>
              <w:bottom w:val="single" w:sz="4" w:space="0" w:color="auto"/>
              <w:right w:val="single" w:sz="4" w:space="0" w:color="auto"/>
            </w:tcBorders>
          </w:tcPr>
          <w:p w14:paraId="162D9A90" w14:textId="77777777" w:rsidR="008B1C85" w:rsidRPr="0074784D" w:rsidRDefault="008B1C85" w:rsidP="008B1C85">
            <w:pPr>
              <w:pStyle w:val="Tabletext"/>
            </w:pPr>
            <w:r w:rsidRPr="0074784D">
              <w:t>Required for diagnosis (GOLD)</w:t>
            </w:r>
          </w:p>
        </w:tc>
        <w:tc>
          <w:tcPr>
            <w:tcW w:w="2219" w:type="dxa"/>
            <w:tcBorders>
              <w:top w:val="single" w:sz="4" w:space="0" w:color="auto"/>
              <w:left w:val="single" w:sz="4" w:space="0" w:color="auto"/>
              <w:bottom w:val="single" w:sz="4" w:space="0" w:color="auto"/>
              <w:right w:val="single" w:sz="4" w:space="0" w:color="auto"/>
            </w:tcBorders>
          </w:tcPr>
          <w:p w14:paraId="6E8F518A" w14:textId="77777777" w:rsidR="008B1C85" w:rsidRPr="0074784D" w:rsidRDefault="008B1C85" w:rsidP="008B1C85">
            <w:pPr>
              <w:pStyle w:val="Tabletext"/>
            </w:pPr>
            <w:r w:rsidRPr="0074784D">
              <w:t>Usually present</w:t>
            </w:r>
          </w:p>
        </w:tc>
      </w:tr>
      <w:tr w:rsidR="008B1C85" w:rsidRPr="0074784D" w14:paraId="20956916" w14:textId="77777777" w:rsidTr="008B1C85">
        <w:tc>
          <w:tcPr>
            <w:tcW w:w="2405" w:type="dxa"/>
            <w:tcBorders>
              <w:top w:val="single" w:sz="4" w:space="0" w:color="auto"/>
              <w:left w:val="single" w:sz="4" w:space="0" w:color="auto"/>
              <w:bottom w:val="single" w:sz="4" w:space="0" w:color="auto"/>
              <w:right w:val="single" w:sz="4" w:space="0" w:color="auto"/>
            </w:tcBorders>
          </w:tcPr>
          <w:p w14:paraId="7EDA2DE3" w14:textId="77777777" w:rsidR="008B1C85" w:rsidRPr="0074784D" w:rsidRDefault="008B1C85" w:rsidP="008B1C85">
            <w:pPr>
              <w:pStyle w:val="Tabletext"/>
            </w:pPr>
            <w:r w:rsidRPr="0074784D">
              <w:t>FEV</w:t>
            </w:r>
            <w:r w:rsidRPr="0074784D">
              <w:rPr>
                <w:vertAlign w:val="subscript"/>
              </w:rPr>
              <w:t>1</w:t>
            </w:r>
            <w:r w:rsidRPr="0074784D">
              <w:t xml:space="preserve"> ≥80% predicted</w:t>
            </w:r>
          </w:p>
        </w:tc>
        <w:tc>
          <w:tcPr>
            <w:tcW w:w="2218" w:type="dxa"/>
            <w:tcBorders>
              <w:top w:val="single" w:sz="4" w:space="0" w:color="auto"/>
              <w:left w:val="single" w:sz="4" w:space="0" w:color="auto"/>
              <w:bottom w:val="single" w:sz="4" w:space="0" w:color="auto"/>
              <w:right w:val="single" w:sz="4" w:space="0" w:color="auto"/>
            </w:tcBorders>
          </w:tcPr>
          <w:p w14:paraId="131F5CB2" w14:textId="77777777" w:rsidR="008B1C85" w:rsidRPr="0074784D" w:rsidRDefault="008B1C85" w:rsidP="008B1C85">
            <w:pPr>
              <w:pStyle w:val="Tabletext"/>
            </w:pPr>
            <w:r w:rsidRPr="0074784D">
              <w:t>Compatible with diagnosis (good asthma control or interval between symptoms)</w:t>
            </w:r>
          </w:p>
        </w:tc>
        <w:tc>
          <w:tcPr>
            <w:tcW w:w="2219" w:type="dxa"/>
            <w:tcBorders>
              <w:top w:val="single" w:sz="4" w:space="0" w:color="auto"/>
              <w:left w:val="single" w:sz="4" w:space="0" w:color="auto"/>
              <w:bottom w:val="single" w:sz="4" w:space="0" w:color="auto"/>
              <w:right w:val="single" w:sz="4" w:space="0" w:color="auto"/>
            </w:tcBorders>
          </w:tcPr>
          <w:p w14:paraId="3533DCA0" w14:textId="77777777" w:rsidR="008B1C85" w:rsidRPr="0074784D" w:rsidRDefault="008B1C85" w:rsidP="008B1C85">
            <w:pPr>
              <w:pStyle w:val="Tabletext"/>
            </w:pPr>
            <w:r w:rsidRPr="0074784D">
              <w:t>Compatible with GOLD classification of mild airflow limitation (categories A or B) if post-BD FEV</w:t>
            </w:r>
            <w:r w:rsidRPr="0074784D">
              <w:rPr>
                <w:vertAlign w:val="subscript"/>
              </w:rPr>
              <w:t>1</w:t>
            </w:r>
            <w:r w:rsidRPr="0074784D">
              <w:t>/FVC &lt;0.7</w:t>
            </w:r>
          </w:p>
        </w:tc>
        <w:tc>
          <w:tcPr>
            <w:tcW w:w="2219" w:type="dxa"/>
            <w:tcBorders>
              <w:top w:val="single" w:sz="4" w:space="0" w:color="auto"/>
              <w:left w:val="single" w:sz="4" w:space="0" w:color="auto"/>
              <w:bottom w:val="single" w:sz="4" w:space="0" w:color="auto"/>
              <w:right w:val="single" w:sz="4" w:space="0" w:color="auto"/>
            </w:tcBorders>
          </w:tcPr>
          <w:p w14:paraId="21A3B64D" w14:textId="77777777" w:rsidR="008B1C85" w:rsidRPr="0074784D" w:rsidRDefault="008B1C85" w:rsidP="008B1C85">
            <w:pPr>
              <w:pStyle w:val="Tabletext"/>
            </w:pPr>
            <w:r w:rsidRPr="0074784D">
              <w:t>Compatible with diagnosis of mild ACOS</w:t>
            </w:r>
          </w:p>
        </w:tc>
      </w:tr>
      <w:tr w:rsidR="008B1C85" w:rsidRPr="0074784D" w14:paraId="0AA7A372" w14:textId="77777777" w:rsidTr="008B1C85">
        <w:tc>
          <w:tcPr>
            <w:tcW w:w="2405" w:type="dxa"/>
            <w:tcBorders>
              <w:top w:val="single" w:sz="4" w:space="0" w:color="auto"/>
              <w:left w:val="single" w:sz="4" w:space="0" w:color="auto"/>
              <w:bottom w:val="single" w:sz="4" w:space="0" w:color="auto"/>
              <w:right w:val="single" w:sz="4" w:space="0" w:color="auto"/>
            </w:tcBorders>
          </w:tcPr>
          <w:p w14:paraId="1EED44EA" w14:textId="77777777" w:rsidR="008B1C85" w:rsidRPr="0074784D" w:rsidRDefault="008B1C85" w:rsidP="008B1C85">
            <w:pPr>
              <w:pStyle w:val="Tabletext"/>
            </w:pPr>
            <w:r w:rsidRPr="0074784D">
              <w:t>FEV</w:t>
            </w:r>
            <w:r w:rsidRPr="0074784D">
              <w:rPr>
                <w:vertAlign w:val="subscript"/>
              </w:rPr>
              <w:t>1</w:t>
            </w:r>
            <w:r w:rsidRPr="0074784D">
              <w:t xml:space="preserve"> &lt;80% predicted</w:t>
            </w:r>
          </w:p>
        </w:tc>
        <w:tc>
          <w:tcPr>
            <w:tcW w:w="2218" w:type="dxa"/>
            <w:tcBorders>
              <w:top w:val="single" w:sz="4" w:space="0" w:color="auto"/>
              <w:left w:val="single" w:sz="4" w:space="0" w:color="auto"/>
              <w:bottom w:val="single" w:sz="4" w:space="0" w:color="auto"/>
              <w:right w:val="single" w:sz="4" w:space="0" w:color="auto"/>
            </w:tcBorders>
          </w:tcPr>
          <w:p w14:paraId="0F798945" w14:textId="77777777" w:rsidR="008B1C85" w:rsidRPr="0074784D" w:rsidRDefault="008B1C85" w:rsidP="008B1C85">
            <w:pPr>
              <w:pStyle w:val="Tabletext"/>
            </w:pPr>
            <w:r w:rsidRPr="0074784D">
              <w:t>Compatible with diagnosis. Risk factor for asthma exacerbations</w:t>
            </w:r>
          </w:p>
        </w:tc>
        <w:tc>
          <w:tcPr>
            <w:tcW w:w="2219" w:type="dxa"/>
            <w:tcBorders>
              <w:top w:val="single" w:sz="4" w:space="0" w:color="auto"/>
              <w:left w:val="single" w:sz="4" w:space="0" w:color="auto"/>
              <w:bottom w:val="single" w:sz="4" w:space="0" w:color="auto"/>
              <w:right w:val="single" w:sz="4" w:space="0" w:color="auto"/>
            </w:tcBorders>
          </w:tcPr>
          <w:p w14:paraId="4493E1C0" w14:textId="77777777" w:rsidR="008B1C85" w:rsidRPr="0074784D" w:rsidRDefault="008B1C85" w:rsidP="008B1C85">
            <w:pPr>
              <w:pStyle w:val="Tabletext"/>
            </w:pPr>
            <w:r w:rsidRPr="0074784D">
              <w:t>An indicator of severity of airflow limitation and risk of future events (e.g. mortality and COPD exacerbations)</w:t>
            </w:r>
          </w:p>
        </w:tc>
        <w:tc>
          <w:tcPr>
            <w:tcW w:w="2219" w:type="dxa"/>
            <w:tcBorders>
              <w:top w:val="single" w:sz="4" w:space="0" w:color="auto"/>
              <w:left w:val="single" w:sz="4" w:space="0" w:color="auto"/>
              <w:bottom w:val="single" w:sz="4" w:space="0" w:color="auto"/>
              <w:right w:val="single" w:sz="4" w:space="0" w:color="auto"/>
            </w:tcBorders>
          </w:tcPr>
          <w:p w14:paraId="784859BD" w14:textId="77777777" w:rsidR="008B1C85" w:rsidRPr="0074784D" w:rsidRDefault="008B1C85" w:rsidP="008B1C85">
            <w:pPr>
              <w:pStyle w:val="Tabletext"/>
            </w:pPr>
            <w:r w:rsidRPr="0074784D">
              <w:t>An indicator of severity of airflow limitation and risk of future events (e.g. mortality and exacerbations)</w:t>
            </w:r>
          </w:p>
        </w:tc>
      </w:tr>
      <w:tr w:rsidR="008B1C85" w:rsidRPr="0074784D" w14:paraId="5F7D3D1F" w14:textId="77777777" w:rsidTr="008B1C85">
        <w:tc>
          <w:tcPr>
            <w:tcW w:w="2405" w:type="dxa"/>
            <w:tcBorders>
              <w:top w:val="single" w:sz="4" w:space="0" w:color="auto"/>
              <w:left w:val="single" w:sz="4" w:space="0" w:color="auto"/>
              <w:bottom w:val="single" w:sz="4" w:space="0" w:color="auto"/>
              <w:right w:val="single" w:sz="4" w:space="0" w:color="auto"/>
            </w:tcBorders>
          </w:tcPr>
          <w:p w14:paraId="5C360296" w14:textId="77777777" w:rsidR="008B1C85" w:rsidRPr="0074784D" w:rsidRDefault="008B1C85" w:rsidP="008B1C85">
            <w:pPr>
              <w:pStyle w:val="Tabletext"/>
            </w:pPr>
            <w:r w:rsidRPr="0074784D">
              <w:t>Post-BD increase in FEV</w:t>
            </w:r>
            <w:r w:rsidRPr="0074784D">
              <w:rPr>
                <w:vertAlign w:val="subscript"/>
              </w:rPr>
              <w:t>1</w:t>
            </w:r>
            <w:r w:rsidRPr="0074784D">
              <w:t xml:space="preserve"> &gt;12% and 200 ml from baseline (reversible airflow limitation)</w:t>
            </w:r>
          </w:p>
        </w:tc>
        <w:tc>
          <w:tcPr>
            <w:tcW w:w="2218" w:type="dxa"/>
            <w:tcBorders>
              <w:top w:val="single" w:sz="4" w:space="0" w:color="auto"/>
              <w:left w:val="single" w:sz="4" w:space="0" w:color="auto"/>
              <w:bottom w:val="single" w:sz="4" w:space="0" w:color="auto"/>
              <w:right w:val="single" w:sz="4" w:space="0" w:color="auto"/>
            </w:tcBorders>
          </w:tcPr>
          <w:p w14:paraId="1F0E1AD9" w14:textId="77777777" w:rsidR="008B1C85" w:rsidRPr="0074784D" w:rsidRDefault="008B1C85" w:rsidP="008B1C85">
            <w:pPr>
              <w:pStyle w:val="Tabletext"/>
            </w:pPr>
            <w:r w:rsidRPr="0074784D">
              <w:t>Usual at some time in course of asthma, but may not be present when well-controlled or on controllers</w:t>
            </w:r>
          </w:p>
        </w:tc>
        <w:tc>
          <w:tcPr>
            <w:tcW w:w="2219" w:type="dxa"/>
            <w:tcBorders>
              <w:top w:val="single" w:sz="4" w:space="0" w:color="auto"/>
              <w:left w:val="single" w:sz="4" w:space="0" w:color="auto"/>
              <w:bottom w:val="single" w:sz="4" w:space="0" w:color="auto"/>
              <w:right w:val="single" w:sz="4" w:space="0" w:color="auto"/>
            </w:tcBorders>
          </w:tcPr>
          <w:p w14:paraId="7B28AEF3" w14:textId="77777777" w:rsidR="008B1C85" w:rsidRPr="0074784D" w:rsidRDefault="008B1C85" w:rsidP="008B1C85">
            <w:pPr>
              <w:pStyle w:val="Tabletext"/>
            </w:pPr>
            <w:r w:rsidRPr="0074784D">
              <w:t>Common and is more likely when FEV</w:t>
            </w:r>
            <w:r w:rsidRPr="0074784D">
              <w:rPr>
                <w:vertAlign w:val="subscript"/>
              </w:rPr>
              <w:t>1</w:t>
            </w:r>
            <w:r w:rsidRPr="0074784D">
              <w:t xml:space="preserve"> is low, but ACOS should also be considered</w:t>
            </w:r>
          </w:p>
        </w:tc>
        <w:tc>
          <w:tcPr>
            <w:tcW w:w="2219" w:type="dxa"/>
            <w:tcBorders>
              <w:top w:val="single" w:sz="4" w:space="0" w:color="auto"/>
              <w:left w:val="single" w:sz="4" w:space="0" w:color="auto"/>
              <w:bottom w:val="single" w:sz="4" w:space="0" w:color="auto"/>
              <w:right w:val="single" w:sz="4" w:space="0" w:color="auto"/>
            </w:tcBorders>
          </w:tcPr>
          <w:p w14:paraId="62CCA25A" w14:textId="77777777" w:rsidR="008B1C85" w:rsidRPr="0074784D" w:rsidRDefault="008B1C85" w:rsidP="008B1C85">
            <w:pPr>
              <w:pStyle w:val="Tabletext"/>
            </w:pPr>
            <w:r w:rsidRPr="0074784D">
              <w:t>Common and more likely when FEV</w:t>
            </w:r>
            <w:r w:rsidRPr="0074784D">
              <w:rPr>
                <w:vertAlign w:val="subscript"/>
              </w:rPr>
              <w:t>1</w:t>
            </w:r>
            <w:r w:rsidRPr="0074784D">
              <w:t xml:space="preserve"> is low, but ACOS should also be considered</w:t>
            </w:r>
          </w:p>
        </w:tc>
      </w:tr>
      <w:tr w:rsidR="008B1C85" w:rsidRPr="0074784D" w14:paraId="7D20681E" w14:textId="77777777" w:rsidTr="008B1C85">
        <w:tc>
          <w:tcPr>
            <w:tcW w:w="2405" w:type="dxa"/>
            <w:tcBorders>
              <w:top w:val="single" w:sz="4" w:space="0" w:color="auto"/>
              <w:left w:val="single" w:sz="4" w:space="0" w:color="auto"/>
              <w:bottom w:val="single" w:sz="4" w:space="0" w:color="auto"/>
              <w:right w:val="single" w:sz="4" w:space="0" w:color="auto"/>
            </w:tcBorders>
          </w:tcPr>
          <w:p w14:paraId="629EB3B6" w14:textId="77777777" w:rsidR="008B1C85" w:rsidRPr="0074784D" w:rsidRDefault="008B1C85" w:rsidP="008B1C85">
            <w:pPr>
              <w:pStyle w:val="Tabletext"/>
            </w:pPr>
            <w:r w:rsidRPr="0074784D">
              <w:t>Post-BD increase in FEV</w:t>
            </w:r>
            <w:r w:rsidRPr="0074784D">
              <w:rPr>
                <w:vertAlign w:val="subscript"/>
              </w:rPr>
              <w:t>1</w:t>
            </w:r>
            <w:r w:rsidRPr="0074784D">
              <w:t xml:space="preserve"> &gt;12% and 400 ml from baseline (marked reversibility)</w:t>
            </w:r>
          </w:p>
        </w:tc>
        <w:tc>
          <w:tcPr>
            <w:tcW w:w="2218" w:type="dxa"/>
            <w:tcBorders>
              <w:top w:val="single" w:sz="4" w:space="0" w:color="auto"/>
              <w:left w:val="single" w:sz="4" w:space="0" w:color="auto"/>
              <w:bottom w:val="single" w:sz="4" w:space="0" w:color="auto"/>
              <w:right w:val="single" w:sz="4" w:space="0" w:color="auto"/>
            </w:tcBorders>
          </w:tcPr>
          <w:p w14:paraId="7D614B11" w14:textId="77777777" w:rsidR="008B1C85" w:rsidRPr="0074784D" w:rsidRDefault="008B1C85" w:rsidP="008B1C85">
            <w:pPr>
              <w:pStyle w:val="Tabletext"/>
            </w:pPr>
            <w:r w:rsidRPr="0074784D">
              <w:t>High probability of asthma</w:t>
            </w:r>
          </w:p>
        </w:tc>
        <w:tc>
          <w:tcPr>
            <w:tcW w:w="2219" w:type="dxa"/>
            <w:tcBorders>
              <w:top w:val="single" w:sz="4" w:space="0" w:color="auto"/>
              <w:left w:val="single" w:sz="4" w:space="0" w:color="auto"/>
              <w:bottom w:val="single" w:sz="4" w:space="0" w:color="auto"/>
              <w:right w:val="single" w:sz="4" w:space="0" w:color="auto"/>
            </w:tcBorders>
          </w:tcPr>
          <w:p w14:paraId="1889D858" w14:textId="77777777" w:rsidR="008B1C85" w:rsidRPr="0074784D" w:rsidRDefault="008B1C85" w:rsidP="008B1C85">
            <w:pPr>
              <w:pStyle w:val="Tabletext"/>
            </w:pPr>
            <w:r w:rsidRPr="0074784D">
              <w:t>Unusual in COPD. Consider ACOS</w:t>
            </w:r>
          </w:p>
        </w:tc>
        <w:tc>
          <w:tcPr>
            <w:tcW w:w="2219" w:type="dxa"/>
            <w:tcBorders>
              <w:top w:val="single" w:sz="4" w:space="0" w:color="auto"/>
              <w:left w:val="single" w:sz="4" w:space="0" w:color="auto"/>
              <w:bottom w:val="single" w:sz="4" w:space="0" w:color="auto"/>
              <w:right w:val="single" w:sz="4" w:space="0" w:color="auto"/>
            </w:tcBorders>
          </w:tcPr>
          <w:p w14:paraId="7B3D6389" w14:textId="77777777" w:rsidR="008B1C85" w:rsidRPr="0074784D" w:rsidRDefault="008B1C85" w:rsidP="008B1C85">
            <w:pPr>
              <w:pStyle w:val="Tabletext"/>
            </w:pPr>
            <w:r w:rsidRPr="0074784D">
              <w:t>Compatible with diagnosis of ACOS</w:t>
            </w:r>
          </w:p>
        </w:tc>
      </w:tr>
    </w:tbl>
    <w:p w14:paraId="5F472FB9" w14:textId="77777777" w:rsidR="008B1C85" w:rsidRPr="0074784D" w:rsidRDefault="008B1C85" w:rsidP="008B1C85">
      <w:pPr>
        <w:pStyle w:val="08Tablefootnotes"/>
      </w:pPr>
      <w:r w:rsidRPr="00CE2202">
        <w:t>Source</w:t>
      </w:r>
      <w:r>
        <w:t>: GOLD 2016; Appendix p.A6</w:t>
      </w:r>
      <w:r w:rsidRPr="0074784D">
        <w:t>.</w:t>
      </w:r>
    </w:p>
    <w:p w14:paraId="48FEAA8B" w14:textId="77777777" w:rsidR="008B1C85" w:rsidRPr="0074784D" w:rsidRDefault="008B1C85" w:rsidP="008B1C85">
      <w:pPr>
        <w:pStyle w:val="09Tablefootnoteslast-nostick"/>
      </w:pPr>
      <w:r w:rsidRPr="0074784D">
        <w:t xml:space="preserve">Abbreviations: ACOS, asthma-COPD overlap syndrome; BD, bronchodilator; </w:t>
      </w:r>
      <w:r>
        <w:t xml:space="preserve">COPD, chronic obstructive pulmonary disease; </w:t>
      </w:r>
      <w:r w:rsidRPr="0074784D">
        <w:t>FEV</w:t>
      </w:r>
      <w:r w:rsidRPr="0074784D">
        <w:rPr>
          <w:vertAlign w:val="subscript"/>
        </w:rPr>
        <w:t>1</w:t>
      </w:r>
      <w:r w:rsidRPr="0074784D">
        <w:t xml:space="preserve">, forced expiratory volume in 1 second; FVC, forced vital capacity; GOLD, Global Initiative for </w:t>
      </w:r>
      <w:r>
        <w:t xml:space="preserve">Chronic </w:t>
      </w:r>
      <w:r w:rsidRPr="0074784D">
        <w:t>Obstructive Lung Disease.</w:t>
      </w:r>
    </w:p>
    <w:p w14:paraId="6CE16445" w14:textId="77777777" w:rsidR="008B1C85" w:rsidRPr="00A0517F" w:rsidRDefault="008B1C85" w:rsidP="00CB5570">
      <w:pPr>
        <w:pStyle w:val="AttHeading4"/>
      </w:pPr>
      <w:r w:rsidRPr="00A0517F">
        <w:t>Summary</w:t>
      </w:r>
    </w:p>
    <w:p w14:paraId="1DD099BD" w14:textId="77777777" w:rsidR="008B1C85" w:rsidRDefault="008B1C85" w:rsidP="00B50F00">
      <w:r>
        <w:t>All of the included guidelines indicate that spirometry plays a vital role in the diagnosis of asthma, COPD and ACOS in adults and children aged approximately 6 years and older.</w:t>
      </w:r>
    </w:p>
    <w:p w14:paraId="66A6A613" w14:textId="77777777" w:rsidR="008B1C85" w:rsidRDefault="0063592C" w:rsidP="00B50F00">
      <w:r>
        <w:t xml:space="preserve">Table 28 </w:t>
      </w:r>
      <w:r w:rsidR="008B1C85">
        <w:t xml:space="preserve">provides collated guidance from the 11 CPGs that were </w:t>
      </w:r>
      <w:r w:rsidR="008B1C85" w:rsidRPr="00B9210B">
        <w:t xml:space="preserve">summarised in Section </w:t>
      </w:r>
      <w:r w:rsidR="00EB5EA3">
        <w:t>2.4.2</w:t>
      </w:r>
      <w:r w:rsidR="008B1C85" w:rsidRPr="00B9210B">
        <w:t xml:space="preserve">. For the diagnosis of asthma, there is complete consensus </w:t>
      </w:r>
      <w:r w:rsidR="008B1C85">
        <w:t xml:space="preserve">among the guidelines that bronchodilator reversibility testing should be undertaken. Of particular importance, </w:t>
      </w:r>
      <w:r w:rsidR="008B1C85" w:rsidRPr="004A4D18">
        <w:t>several key asthma guidelines (BTS/SIGN 2014; NCGC 2016</w:t>
      </w:r>
      <w:r w:rsidR="008B1C85">
        <w:t>) advise that spirometry should first be undertaken to measure airflow limitation; a</w:t>
      </w:r>
      <w:r w:rsidR="008B1C85" w:rsidRPr="004A4D18">
        <w:t xml:space="preserve"> subsequent</w:t>
      </w:r>
      <w:r w:rsidR="008B1C85">
        <w:t xml:space="preserve"> (consensus-based) </w:t>
      </w:r>
      <w:r w:rsidR="008B1C85" w:rsidRPr="004A4D18">
        <w:t>recommendation</w:t>
      </w:r>
      <w:r w:rsidR="008B1C85">
        <w:t xml:space="preserve"> </w:t>
      </w:r>
      <w:r w:rsidR="008B1C85" w:rsidRPr="004A4D18">
        <w:t xml:space="preserve">advocates the measurement of bronchodilator reversibility in patients with evidence of </w:t>
      </w:r>
      <w:r w:rsidR="008B1C85">
        <w:t>airflow limitation/obstruction.</w:t>
      </w:r>
    </w:p>
    <w:p w14:paraId="223E0C82" w14:textId="77777777" w:rsidR="008B1C85" w:rsidRPr="00A6099F" w:rsidRDefault="008B1C85" w:rsidP="00B50F00">
      <w:r w:rsidRPr="00A6099F">
        <w:t xml:space="preserve">Consistent with international guidance, the NAC (2015) advocates the use of bronchodilator reversibility testing; however, </w:t>
      </w:r>
      <w:r>
        <w:t xml:space="preserve">the Australian guidance does not explicitly mention that bronchodilator reversibility should only be measured in those </w:t>
      </w:r>
      <w:r w:rsidRPr="00A6099F">
        <w:t>patients who have demonstrated airflow limitation</w:t>
      </w:r>
      <w:r>
        <w:t xml:space="preserve"> on pre-bronchodilator spirometry</w:t>
      </w:r>
      <w:r w:rsidRPr="00A6099F">
        <w:t>.</w:t>
      </w:r>
    </w:p>
    <w:p w14:paraId="41729664" w14:textId="77777777" w:rsidR="008B1C85" w:rsidRPr="004A4D18" w:rsidRDefault="008B1C85" w:rsidP="00B50F00">
      <w:r w:rsidRPr="00A6099F">
        <w:lastRenderedPageBreak/>
        <w:t>The advice from current COPD guidelines is more varied about the use of spirometry for</w:t>
      </w:r>
      <w:r>
        <w:t xml:space="preserve"> diagnosis. Three CPGs advise that COPD should be diagnosed based on post-bronchodilator spirometry alone; </w:t>
      </w:r>
      <w:r w:rsidRPr="005751A2">
        <w:t>two (both from Australia) advocated</w:t>
      </w:r>
      <w:r>
        <w:t xml:space="preserve"> the use of reversibility testing; and one, while recommending the use of spirometry, was not explicit about the necessity of pre-bronchodilator measurements.</w:t>
      </w:r>
    </w:p>
    <w:p w14:paraId="640058E3" w14:textId="3C9B667A" w:rsidR="008B1C85" w:rsidRPr="006B6E93" w:rsidRDefault="0063592C" w:rsidP="00DF3A06">
      <w:pPr>
        <w:pStyle w:val="Appcaption"/>
      </w:pPr>
      <w:r w:rsidRPr="00CD7DEB">
        <w:t xml:space="preserve">Table </w:t>
      </w:r>
      <w:fldSimple w:instr=" SEQ Title \* ARABIC ">
        <w:r w:rsidR="00F2203C">
          <w:rPr>
            <w:noProof/>
          </w:rPr>
          <w:t>28</w:t>
        </w:r>
      </w:fldSimple>
      <w:r w:rsidRPr="00CD7DEB">
        <w:rPr>
          <w:noProof/>
        </w:rPr>
        <w:t xml:space="preserve"> </w:t>
      </w:r>
      <w:r w:rsidR="008B1C85" w:rsidRPr="00CD7DEB">
        <w:t>Summary of guidance from current CPGs relating to the diagnosis of asthma, COPD and ACOS</w:t>
      </w:r>
    </w:p>
    <w:tbl>
      <w:tblPr>
        <w:tblStyle w:val="TableGrid"/>
        <w:tblW w:w="0" w:type="auto"/>
        <w:tblCellMar>
          <w:left w:w="28" w:type="dxa"/>
          <w:right w:w="28" w:type="dxa"/>
        </w:tblCellMar>
        <w:tblLook w:val="04A0" w:firstRow="1" w:lastRow="0" w:firstColumn="1" w:lastColumn="0" w:noHBand="0" w:noVBand="1"/>
        <w:tblDescription w:val="Appendix C table 27 is a summary of Clinical Practice Guidelines (CPG) for the diagnosis of asthma. This table contains 8 column headings: 1. Condition/s, 2. Guideline/s, 3. Population, 4.Pre bronchodilator (BD) spirometry, 5 Post bronchodilator (BD)  spirometry, 6. Pre and post bronchodilator (BD) spirometry (reversibility), 7. Spirometry recommended, but timing not specified and 8. Source of guidance for asthma, Chronic Obstructive Pulmonary Disease (COPD) and  Asthma-COPD Overlap Syndrome (ACOS)."/>
      </w:tblPr>
      <w:tblGrid>
        <w:gridCol w:w="867"/>
        <w:gridCol w:w="1069"/>
        <w:gridCol w:w="1019"/>
        <w:gridCol w:w="970"/>
        <w:gridCol w:w="1070"/>
        <w:gridCol w:w="1261"/>
        <w:gridCol w:w="1320"/>
        <w:gridCol w:w="1238"/>
      </w:tblGrid>
      <w:tr w:rsidR="00E359E9" w:rsidRPr="006B6E93" w14:paraId="5874277E" w14:textId="77777777" w:rsidTr="0099709F">
        <w:trPr>
          <w:tblHeader/>
        </w:trPr>
        <w:tc>
          <w:tcPr>
            <w:tcW w:w="867" w:type="dxa"/>
            <w:tcBorders>
              <w:top w:val="single" w:sz="4" w:space="0" w:color="auto"/>
              <w:left w:val="single" w:sz="4" w:space="0" w:color="auto"/>
              <w:bottom w:val="single" w:sz="4" w:space="0" w:color="auto"/>
              <w:right w:val="single" w:sz="4" w:space="0" w:color="auto"/>
            </w:tcBorders>
          </w:tcPr>
          <w:p w14:paraId="7C5EDF24" w14:textId="77777777" w:rsidR="00E359E9" w:rsidRPr="004C005F" w:rsidRDefault="00C7379F" w:rsidP="00D112A3">
            <w:pPr>
              <w:pStyle w:val="Tableheading"/>
            </w:pPr>
            <w:r>
              <w:t>Condition</w:t>
            </w:r>
          </w:p>
        </w:tc>
        <w:tc>
          <w:tcPr>
            <w:tcW w:w="1069" w:type="dxa"/>
            <w:tcBorders>
              <w:top w:val="single" w:sz="4" w:space="0" w:color="auto"/>
              <w:left w:val="single" w:sz="4" w:space="0" w:color="auto"/>
              <w:bottom w:val="single" w:sz="4" w:space="0" w:color="auto"/>
              <w:right w:val="single" w:sz="4" w:space="0" w:color="auto"/>
            </w:tcBorders>
          </w:tcPr>
          <w:p w14:paraId="5EA370BF" w14:textId="77777777" w:rsidR="00E359E9" w:rsidRPr="004C005F" w:rsidRDefault="00E359E9" w:rsidP="00D112A3">
            <w:pPr>
              <w:pStyle w:val="Tableheading"/>
            </w:pPr>
            <w:r w:rsidRPr="004C005F">
              <w:t>Guideline</w:t>
            </w:r>
          </w:p>
        </w:tc>
        <w:tc>
          <w:tcPr>
            <w:tcW w:w="1019" w:type="dxa"/>
            <w:tcBorders>
              <w:top w:val="single" w:sz="4" w:space="0" w:color="auto"/>
              <w:left w:val="single" w:sz="4" w:space="0" w:color="auto"/>
              <w:bottom w:val="single" w:sz="4" w:space="0" w:color="auto"/>
              <w:right w:val="single" w:sz="4" w:space="0" w:color="auto"/>
            </w:tcBorders>
          </w:tcPr>
          <w:p w14:paraId="3F293537" w14:textId="77777777" w:rsidR="00E359E9" w:rsidRPr="004C005F" w:rsidRDefault="00E359E9" w:rsidP="0099709F">
            <w:pPr>
              <w:pStyle w:val="Tableheading"/>
            </w:pPr>
            <w:r w:rsidRPr="004C005F">
              <w:t>Population</w:t>
            </w:r>
          </w:p>
        </w:tc>
        <w:tc>
          <w:tcPr>
            <w:tcW w:w="970" w:type="dxa"/>
            <w:tcBorders>
              <w:top w:val="single" w:sz="4" w:space="0" w:color="auto"/>
              <w:left w:val="single" w:sz="4" w:space="0" w:color="auto"/>
              <w:bottom w:val="single" w:sz="4" w:space="0" w:color="auto"/>
              <w:right w:val="single" w:sz="4" w:space="0" w:color="auto"/>
            </w:tcBorders>
          </w:tcPr>
          <w:p w14:paraId="2AEB530D" w14:textId="77777777" w:rsidR="00E359E9" w:rsidRPr="004C005F" w:rsidRDefault="00E359E9" w:rsidP="00D112A3">
            <w:pPr>
              <w:pStyle w:val="Tableheading"/>
            </w:pPr>
            <w:r w:rsidRPr="004C005F">
              <w:t>Pre</w:t>
            </w:r>
            <w:r w:rsidR="00D112A3" w:rsidRPr="004C005F" w:rsidDel="00D112A3">
              <w:t xml:space="preserve"> </w:t>
            </w:r>
            <w:r w:rsidRPr="00A403FC">
              <w:t>-BD</w:t>
            </w:r>
            <w:r w:rsidR="00D112A3" w:rsidRPr="004C005F">
              <w:t xml:space="preserve"> spirometry</w:t>
            </w:r>
          </w:p>
        </w:tc>
        <w:tc>
          <w:tcPr>
            <w:tcW w:w="1070" w:type="dxa"/>
            <w:tcBorders>
              <w:top w:val="single" w:sz="4" w:space="0" w:color="auto"/>
              <w:left w:val="single" w:sz="4" w:space="0" w:color="auto"/>
              <w:bottom w:val="single" w:sz="4" w:space="0" w:color="auto"/>
              <w:right w:val="single" w:sz="4" w:space="0" w:color="auto"/>
            </w:tcBorders>
          </w:tcPr>
          <w:p w14:paraId="20DDEBEC" w14:textId="77777777" w:rsidR="00E359E9" w:rsidRPr="004C005F" w:rsidRDefault="00D112A3" w:rsidP="00D112A3">
            <w:pPr>
              <w:pStyle w:val="Tableheading"/>
            </w:pPr>
            <w:r w:rsidRPr="004C005F">
              <w:t>P</w:t>
            </w:r>
            <w:r>
              <w:t>ost</w:t>
            </w:r>
            <w:r w:rsidRPr="004C005F" w:rsidDel="00D112A3">
              <w:t xml:space="preserve"> </w:t>
            </w:r>
            <w:r w:rsidRPr="00A403FC">
              <w:t>-BD</w:t>
            </w:r>
            <w:r w:rsidRPr="004C005F">
              <w:t xml:space="preserve"> spirometry</w:t>
            </w:r>
            <w:r w:rsidRPr="004C005F" w:rsidDel="00D112A3">
              <w:t xml:space="preserve"> </w:t>
            </w:r>
          </w:p>
        </w:tc>
        <w:tc>
          <w:tcPr>
            <w:tcW w:w="1261" w:type="dxa"/>
            <w:tcBorders>
              <w:top w:val="single" w:sz="4" w:space="0" w:color="auto"/>
              <w:left w:val="single" w:sz="4" w:space="0" w:color="auto"/>
              <w:bottom w:val="single" w:sz="4" w:space="0" w:color="auto"/>
              <w:right w:val="single" w:sz="4" w:space="0" w:color="auto"/>
            </w:tcBorders>
          </w:tcPr>
          <w:p w14:paraId="7CB07A2C" w14:textId="77777777" w:rsidR="00E359E9" w:rsidRPr="004C005F" w:rsidRDefault="00E359E9" w:rsidP="00D112A3">
            <w:pPr>
              <w:pStyle w:val="Tableheading"/>
            </w:pPr>
            <w:r w:rsidRPr="004C005F">
              <w:t xml:space="preserve">Pre- </w:t>
            </w:r>
            <w:r w:rsidRPr="004C005F">
              <w:rPr>
                <w:u w:val="single"/>
              </w:rPr>
              <w:t>and</w:t>
            </w:r>
            <w:r w:rsidRPr="00A403FC">
              <w:t xml:space="preserve"> post-BD spirometry (reversibility)</w:t>
            </w:r>
          </w:p>
        </w:tc>
        <w:tc>
          <w:tcPr>
            <w:tcW w:w="1320" w:type="dxa"/>
            <w:tcBorders>
              <w:top w:val="single" w:sz="4" w:space="0" w:color="auto"/>
              <w:left w:val="single" w:sz="4" w:space="0" w:color="auto"/>
              <w:bottom w:val="single" w:sz="4" w:space="0" w:color="auto"/>
              <w:right w:val="single" w:sz="4" w:space="0" w:color="auto"/>
            </w:tcBorders>
          </w:tcPr>
          <w:p w14:paraId="194BE817" w14:textId="77777777" w:rsidR="00E359E9" w:rsidRPr="004C005F" w:rsidRDefault="00E359E9" w:rsidP="0099709F">
            <w:pPr>
              <w:pStyle w:val="Tableheading"/>
            </w:pPr>
            <w:r w:rsidRPr="004C005F">
              <w:t>Spirometry recommended, but timing not specified</w:t>
            </w:r>
          </w:p>
        </w:tc>
        <w:tc>
          <w:tcPr>
            <w:tcW w:w="1238" w:type="dxa"/>
            <w:tcBorders>
              <w:top w:val="single" w:sz="4" w:space="0" w:color="auto"/>
              <w:left w:val="single" w:sz="4" w:space="0" w:color="auto"/>
              <w:bottom w:val="single" w:sz="4" w:space="0" w:color="auto"/>
              <w:right w:val="single" w:sz="4" w:space="0" w:color="auto"/>
            </w:tcBorders>
          </w:tcPr>
          <w:p w14:paraId="101388CF" w14:textId="77777777" w:rsidR="00E359E9" w:rsidRPr="004C005F" w:rsidRDefault="00E359E9" w:rsidP="0099709F">
            <w:pPr>
              <w:pStyle w:val="Tableheading"/>
            </w:pPr>
            <w:r w:rsidRPr="004C005F">
              <w:t>Source of guidance</w:t>
            </w:r>
          </w:p>
        </w:tc>
      </w:tr>
      <w:tr w:rsidR="00CD7DEB" w:rsidRPr="006B6E93" w14:paraId="39553F63" w14:textId="77777777" w:rsidTr="0099709F">
        <w:trPr>
          <w:trHeight w:val="326"/>
        </w:trPr>
        <w:tc>
          <w:tcPr>
            <w:tcW w:w="867" w:type="dxa"/>
            <w:vMerge w:val="restart"/>
            <w:tcBorders>
              <w:top w:val="single" w:sz="4" w:space="0" w:color="auto"/>
              <w:left w:val="single" w:sz="4" w:space="0" w:color="auto"/>
              <w:right w:val="single" w:sz="4" w:space="0" w:color="auto"/>
            </w:tcBorders>
          </w:tcPr>
          <w:p w14:paraId="7B1BF2BF" w14:textId="77777777" w:rsidR="00CD7DEB" w:rsidRDefault="00CD7DEB" w:rsidP="008B1C85">
            <w:pPr>
              <w:pStyle w:val="Tabletext"/>
            </w:pPr>
            <w:r>
              <w:t>Asthma</w:t>
            </w:r>
          </w:p>
        </w:tc>
        <w:tc>
          <w:tcPr>
            <w:tcW w:w="1069" w:type="dxa"/>
            <w:vMerge w:val="restart"/>
            <w:tcBorders>
              <w:top w:val="single" w:sz="4" w:space="0" w:color="auto"/>
              <w:left w:val="single" w:sz="4" w:space="0" w:color="auto"/>
              <w:right w:val="single" w:sz="4" w:space="0" w:color="auto"/>
            </w:tcBorders>
            <w:shd w:val="clear" w:color="auto" w:fill="auto"/>
          </w:tcPr>
          <w:p w14:paraId="7A3C91C1" w14:textId="77777777" w:rsidR="00CD7DEB" w:rsidRPr="006B6E93" w:rsidRDefault="00CD7DEB" w:rsidP="008B1C85">
            <w:pPr>
              <w:pStyle w:val="Tabletext"/>
            </w:pPr>
            <w:r>
              <w:t>NAC (2015)</w:t>
            </w:r>
          </w:p>
        </w:tc>
        <w:tc>
          <w:tcPr>
            <w:tcW w:w="1019" w:type="dxa"/>
            <w:tcBorders>
              <w:top w:val="single" w:sz="4" w:space="0" w:color="auto"/>
              <w:left w:val="single" w:sz="4" w:space="0" w:color="auto"/>
              <w:bottom w:val="single" w:sz="4" w:space="0" w:color="auto"/>
              <w:right w:val="single" w:sz="4" w:space="0" w:color="auto"/>
            </w:tcBorders>
            <w:shd w:val="clear" w:color="auto" w:fill="auto"/>
          </w:tcPr>
          <w:p w14:paraId="00B0896F" w14:textId="77777777" w:rsidR="00CD7DEB" w:rsidRPr="00142C5D" w:rsidRDefault="00CD7DEB" w:rsidP="0099709F">
            <w:pPr>
              <w:pStyle w:val="Tabletext"/>
            </w:pPr>
            <w:r w:rsidRPr="00AB180E">
              <w:t>Adults</w:t>
            </w:r>
          </w:p>
        </w:tc>
        <w:tc>
          <w:tcPr>
            <w:tcW w:w="970" w:type="dxa"/>
            <w:tcBorders>
              <w:top w:val="single" w:sz="4" w:space="0" w:color="auto"/>
              <w:left w:val="single" w:sz="4" w:space="0" w:color="auto"/>
              <w:right w:val="single" w:sz="4" w:space="0" w:color="auto"/>
            </w:tcBorders>
            <w:shd w:val="clear" w:color="auto" w:fill="auto"/>
          </w:tcPr>
          <w:p w14:paraId="0F952598" w14:textId="77777777" w:rsidR="00CD7DEB" w:rsidRPr="00C40B14" w:rsidRDefault="00326F6E" w:rsidP="0099709F">
            <w:pPr>
              <w:pStyle w:val="Tabletext"/>
              <w:jc w:val="center"/>
            </w:pPr>
            <w:r>
              <w:t>NA</w:t>
            </w:r>
          </w:p>
        </w:tc>
        <w:tc>
          <w:tcPr>
            <w:tcW w:w="1070" w:type="dxa"/>
            <w:tcBorders>
              <w:top w:val="single" w:sz="4" w:space="0" w:color="auto"/>
              <w:left w:val="single" w:sz="4" w:space="0" w:color="auto"/>
              <w:right w:val="single" w:sz="4" w:space="0" w:color="auto"/>
            </w:tcBorders>
            <w:shd w:val="clear" w:color="auto" w:fill="auto"/>
          </w:tcPr>
          <w:p w14:paraId="67CFE985" w14:textId="77777777" w:rsidR="00CD7DEB" w:rsidRPr="00C40B14" w:rsidRDefault="00E56D39" w:rsidP="00326F6E">
            <w:pPr>
              <w:pStyle w:val="Tabletext"/>
              <w:jc w:val="center"/>
            </w:pPr>
            <w:r>
              <w:t>N</w:t>
            </w:r>
            <w:r w:rsidR="00326F6E">
              <w:t>A</w:t>
            </w:r>
            <w:r>
              <w:t xml:space="preserve"> </w:t>
            </w:r>
          </w:p>
        </w:tc>
        <w:tc>
          <w:tcPr>
            <w:tcW w:w="1261" w:type="dxa"/>
            <w:tcBorders>
              <w:top w:val="single" w:sz="4" w:space="0" w:color="auto"/>
              <w:left w:val="single" w:sz="4" w:space="0" w:color="auto"/>
              <w:right w:val="single" w:sz="4" w:space="0" w:color="auto"/>
            </w:tcBorders>
            <w:shd w:val="clear" w:color="auto" w:fill="auto"/>
          </w:tcPr>
          <w:p w14:paraId="2E3E8C97" w14:textId="77777777" w:rsidR="00CD7DEB" w:rsidRPr="001648C4" w:rsidRDefault="00CD7DEB" w:rsidP="0099709F">
            <w:pPr>
              <w:pStyle w:val="Tabletext"/>
              <w:jc w:val="center"/>
            </w:pPr>
            <w:r>
              <w:t>Yes</w:t>
            </w:r>
          </w:p>
        </w:tc>
        <w:tc>
          <w:tcPr>
            <w:tcW w:w="1320" w:type="dxa"/>
            <w:tcBorders>
              <w:top w:val="single" w:sz="4" w:space="0" w:color="auto"/>
              <w:left w:val="single" w:sz="4" w:space="0" w:color="auto"/>
              <w:right w:val="single" w:sz="4" w:space="0" w:color="auto"/>
            </w:tcBorders>
            <w:shd w:val="clear" w:color="auto" w:fill="auto"/>
          </w:tcPr>
          <w:p w14:paraId="30A442FD" w14:textId="77777777" w:rsidR="00CD7DEB" w:rsidRPr="00C40B14" w:rsidRDefault="00E56D39" w:rsidP="00326F6E">
            <w:pPr>
              <w:pStyle w:val="Tabletext"/>
              <w:jc w:val="center"/>
            </w:pPr>
            <w:r>
              <w:t>N</w:t>
            </w:r>
            <w:r w:rsidR="00326F6E">
              <w:t>A</w:t>
            </w:r>
          </w:p>
        </w:tc>
        <w:tc>
          <w:tcPr>
            <w:tcW w:w="1238" w:type="dxa"/>
            <w:tcBorders>
              <w:top w:val="single" w:sz="4" w:space="0" w:color="auto"/>
              <w:left w:val="single" w:sz="4" w:space="0" w:color="auto"/>
              <w:right w:val="single" w:sz="4" w:space="0" w:color="auto"/>
            </w:tcBorders>
            <w:shd w:val="clear" w:color="auto" w:fill="auto"/>
          </w:tcPr>
          <w:p w14:paraId="28AABE5A" w14:textId="77777777" w:rsidR="00CD7DEB" w:rsidRPr="00CD7DEB" w:rsidRDefault="00CD7DEB" w:rsidP="0099709F">
            <w:pPr>
              <w:pStyle w:val="Tabletext"/>
            </w:pPr>
            <w:r w:rsidRPr="00CD7DEB">
              <w:t>Consensus</w:t>
            </w:r>
          </w:p>
        </w:tc>
      </w:tr>
      <w:tr w:rsidR="00CD7DEB" w:rsidRPr="006B6E93" w14:paraId="406326A3" w14:textId="77777777" w:rsidTr="0099709F">
        <w:trPr>
          <w:trHeight w:val="325"/>
        </w:trPr>
        <w:tc>
          <w:tcPr>
            <w:tcW w:w="867" w:type="dxa"/>
            <w:vMerge/>
            <w:tcBorders>
              <w:left w:val="single" w:sz="4" w:space="0" w:color="auto"/>
              <w:right w:val="single" w:sz="4" w:space="0" w:color="auto"/>
            </w:tcBorders>
          </w:tcPr>
          <w:p w14:paraId="166D97C1" w14:textId="77777777" w:rsidR="00CD7DEB" w:rsidRDefault="00CD7DEB" w:rsidP="008B1C85">
            <w:pPr>
              <w:pStyle w:val="Tabletext"/>
            </w:pPr>
          </w:p>
        </w:tc>
        <w:tc>
          <w:tcPr>
            <w:tcW w:w="1069" w:type="dxa"/>
            <w:vMerge/>
            <w:tcBorders>
              <w:left w:val="single" w:sz="4" w:space="0" w:color="auto"/>
              <w:bottom w:val="single" w:sz="4" w:space="0" w:color="auto"/>
              <w:right w:val="single" w:sz="4" w:space="0" w:color="auto"/>
            </w:tcBorders>
            <w:shd w:val="clear" w:color="auto" w:fill="auto"/>
          </w:tcPr>
          <w:p w14:paraId="056371FA" w14:textId="77777777" w:rsidR="00CD7DEB" w:rsidRDefault="00CD7DEB" w:rsidP="008B1C85">
            <w:pPr>
              <w:pStyle w:val="Tabletext"/>
            </w:pPr>
          </w:p>
        </w:tc>
        <w:tc>
          <w:tcPr>
            <w:tcW w:w="1019" w:type="dxa"/>
            <w:tcBorders>
              <w:top w:val="single" w:sz="4" w:space="0" w:color="auto"/>
              <w:left w:val="single" w:sz="4" w:space="0" w:color="auto"/>
              <w:bottom w:val="single" w:sz="4" w:space="0" w:color="auto"/>
              <w:right w:val="single" w:sz="4" w:space="0" w:color="auto"/>
            </w:tcBorders>
            <w:shd w:val="clear" w:color="auto" w:fill="auto"/>
          </w:tcPr>
          <w:p w14:paraId="53183366" w14:textId="77777777" w:rsidR="00CD7DEB" w:rsidRPr="00AB180E" w:rsidRDefault="00CD7DEB" w:rsidP="00E359E9">
            <w:pPr>
              <w:pStyle w:val="Tabletext"/>
            </w:pPr>
            <w:r>
              <w:t>Children ≥6 yrs</w:t>
            </w:r>
          </w:p>
        </w:tc>
        <w:tc>
          <w:tcPr>
            <w:tcW w:w="970" w:type="dxa"/>
            <w:tcBorders>
              <w:left w:val="single" w:sz="4" w:space="0" w:color="auto"/>
              <w:bottom w:val="single" w:sz="4" w:space="0" w:color="auto"/>
              <w:right w:val="single" w:sz="4" w:space="0" w:color="auto"/>
            </w:tcBorders>
            <w:shd w:val="clear" w:color="auto" w:fill="auto"/>
          </w:tcPr>
          <w:p w14:paraId="6278B701" w14:textId="77777777" w:rsidR="00CD7DEB" w:rsidRDefault="00E56D39" w:rsidP="00326F6E">
            <w:pPr>
              <w:pStyle w:val="Tabletext"/>
              <w:jc w:val="center"/>
            </w:pPr>
            <w:r>
              <w:t>N</w:t>
            </w:r>
            <w:r w:rsidR="00326F6E">
              <w:t>A</w:t>
            </w:r>
          </w:p>
        </w:tc>
        <w:tc>
          <w:tcPr>
            <w:tcW w:w="1070" w:type="dxa"/>
            <w:tcBorders>
              <w:left w:val="single" w:sz="4" w:space="0" w:color="auto"/>
              <w:bottom w:val="single" w:sz="4" w:space="0" w:color="auto"/>
              <w:right w:val="single" w:sz="4" w:space="0" w:color="auto"/>
            </w:tcBorders>
            <w:shd w:val="clear" w:color="auto" w:fill="auto"/>
          </w:tcPr>
          <w:p w14:paraId="4C11913B" w14:textId="77777777" w:rsidR="00CD7DEB" w:rsidRDefault="00E56D39" w:rsidP="00326F6E">
            <w:pPr>
              <w:pStyle w:val="Tabletext"/>
              <w:jc w:val="center"/>
            </w:pPr>
            <w:r>
              <w:t>N</w:t>
            </w:r>
            <w:r w:rsidR="00326F6E">
              <w:t>A</w:t>
            </w:r>
          </w:p>
        </w:tc>
        <w:tc>
          <w:tcPr>
            <w:tcW w:w="1261" w:type="dxa"/>
            <w:tcBorders>
              <w:left w:val="single" w:sz="4" w:space="0" w:color="auto"/>
              <w:bottom w:val="single" w:sz="4" w:space="0" w:color="auto"/>
              <w:right w:val="single" w:sz="4" w:space="0" w:color="auto"/>
            </w:tcBorders>
            <w:shd w:val="clear" w:color="auto" w:fill="auto"/>
          </w:tcPr>
          <w:p w14:paraId="58FD658A" w14:textId="77777777" w:rsidR="00CD7DEB" w:rsidRPr="006B6E93" w:rsidRDefault="00CD7DEB" w:rsidP="008B1C85">
            <w:pPr>
              <w:pStyle w:val="Tabletext"/>
              <w:jc w:val="center"/>
            </w:pPr>
            <w:r>
              <w:t>Yes</w:t>
            </w:r>
          </w:p>
        </w:tc>
        <w:tc>
          <w:tcPr>
            <w:tcW w:w="1320" w:type="dxa"/>
            <w:tcBorders>
              <w:left w:val="single" w:sz="4" w:space="0" w:color="auto"/>
              <w:bottom w:val="single" w:sz="4" w:space="0" w:color="auto"/>
              <w:right w:val="single" w:sz="4" w:space="0" w:color="auto"/>
            </w:tcBorders>
            <w:shd w:val="clear" w:color="auto" w:fill="auto"/>
          </w:tcPr>
          <w:p w14:paraId="0C2D488F" w14:textId="77777777" w:rsidR="00CD7DEB" w:rsidRDefault="00E56D39" w:rsidP="00326F6E">
            <w:pPr>
              <w:pStyle w:val="Tabletext"/>
              <w:jc w:val="center"/>
            </w:pPr>
            <w:r>
              <w:t>N</w:t>
            </w:r>
            <w:r w:rsidR="00326F6E">
              <w:t>A</w:t>
            </w:r>
          </w:p>
        </w:tc>
        <w:tc>
          <w:tcPr>
            <w:tcW w:w="1238" w:type="dxa"/>
            <w:tcBorders>
              <w:left w:val="single" w:sz="4" w:space="0" w:color="auto"/>
              <w:bottom w:val="single" w:sz="4" w:space="0" w:color="auto"/>
              <w:right w:val="single" w:sz="4" w:space="0" w:color="auto"/>
            </w:tcBorders>
            <w:shd w:val="clear" w:color="auto" w:fill="auto"/>
          </w:tcPr>
          <w:p w14:paraId="40455F3B" w14:textId="77777777" w:rsidR="00CD7DEB" w:rsidRPr="00CD7DEB" w:rsidRDefault="00CD7DEB" w:rsidP="0099709F">
            <w:pPr>
              <w:pStyle w:val="Tabletext"/>
            </w:pPr>
            <w:r w:rsidRPr="00CD7DEB">
              <w:t>Consensus</w:t>
            </w:r>
          </w:p>
        </w:tc>
      </w:tr>
      <w:tr w:rsidR="00CD7DEB" w:rsidRPr="006B6E93" w14:paraId="10DCCC13" w14:textId="77777777" w:rsidTr="0099709F">
        <w:tc>
          <w:tcPr>
            <w:tcW w:w="867" w:type="dxa"/>
            <w:vMerge/>
            <w:tcBorders>
              <w:left w:val="single" w:sz="4" w:space="0" w:color="auto"/>
              <w:right w:val="single" w:sz="4" w:space="0" w:color="auto"/>
            </w:tcBorders>
          </w:tcPr>
          <w:p w14:paraId="36CE0AA4" w14:textId="77777777" w:rsidR="00CD7DEB" w:rsidRDefault="00CD7DEB" w:rsidP="008B1C85">
            <w:pPr>
              <w:pStyle w:val="Tabletext"/>
            </w:pP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97AFDBD" w14:textId="77777777" w:rsidR="00CD7DEB" w:rsidRPr="006B6E93" w:rsidRDefault="00CD7DEB" w:rsidP="008B1C85">
            <w:pPr>
              <w:pStyle w:val="Tabletext"/>
            </w:pPr>
            <w:r>
              <w:t>NAC (2013)</w:t>
            </w:r>
          </w:p>
        </w:tc>
        <w:tc>
          <w:tcPr>
            <w:tcW w:w="1019" w:type="dxa"/>
            <w:tcBorders>
              <w:top w:val="single" w:sz="4" w:space="0" w:color="auto"/>
              <w:left w:val="single" w:sz="4" w:space="0" w:color="auto"/>
              <w:bottom w:val="single" w:sz="4" w:space="0" w:color="auto"/>
              <w:right w:val="single" w:sz="4" w:space="0" w:color="auto"/>
            </w:tcBorders>
            <w:shd w:val="clear" w:color="auto" w:fill="auto"/>
          </w:tcPr>
          <w:p w14:paraId="1E64EC11" w14:textId="77777777" w:rsidR="00CD7DEB" w:rsidRPr="001648C4" w:rsidRDefault="00CD7DEB" w:rsidP="008B1C85">
            <w:pPr>
              <w:pStyle w:val="Tabletext"/>
            </w:pPr>
            <w:r>
              <w:t>Adults &gt;65 yrs</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20C108B1" w14:textId="77777777" w:rsidR="00CD7DEB" w:rsidRPr="006B6E93" w:rsidRDefault="00E56D39" w:rsidP="00326F6E">
            <w:pPr>
              <w:pStyle w:val="Tabletext"/>
              <w:jc w:val="center"/>
            </w:pPr>
            <w:r>
              <w:t>N</w:t>
            </w:r>
            <w:r w:rsidR="00326F6E">
              <w:t>A</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287730D7" w14:textId="77777777" w:rsidR="00CD7DEB" w:rsidRPr="006B6E93" w:rsidRDefault="00E56D39" w:rsidP="00326F6E">
            <w:pPr>
              <w:pStyle w:val="Tabletext"/>
              <w:jc w:val="center"/>
            </w:pPr>
            <w:r>
              <w:t>N</w:t>
            </w:r>
            <w:r w:rsidR="00326F6E">
              <w:t>A</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7F9966F7" w14:textId="77777777" w:rsidR="00CD7DEB" w:rsidRPr="006B6E93" w:rsidRDefault="00CD7DEB" w:rsidP="008B1C85">
            <w:pPr>
              <w:pStyle w:val="Tabletext"/>
              <w:jc w:val="center"/>
            </w:pPr>
            <w:r>
              <w:t>Yes</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3B102125" w14:textId="77777777" w:rsidR="00CD7DEB" w:rsidRPr="006B6E93" w:rsidRDefault="00E56D39" w:rsidP="00326F6E">
            <w:pPr>
              <w:pStyle w:val="Tabletext"/>
              <w:jc w:val="center"/>
            </w:pPr>
            <w:r>
              <w:t>N</w:t>
            </w:r>
            <w:r w:rsidR="00326F6E">
              <w:t>A</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74D45564" w14:textId="77777777" w:rsidR="00CD7DEB" w:rsidRPr="00CD7DEB" w:rsidRDefault="00CD7DEB" w:rsidP="0099709F">
            <w:pPr>
              <w:pStyle w:val="Tabletext"/>
            </w:pPr>
            <w:r w:rsidRPr="00CD7DEB">
              <w:t>Unclear</w:t>
            </w:r>
          </w:p>
        </w:tc>
      </w:tr>
      <w:tr w:rsidR="00CD7DEB" w:rsidRPr="006B6E93" w14:paraId="2A8DF13E" w14:textId="77777777" w:rsidTr="0099709F">
        <w:trPr>
          <w:trHeight w:val="353"/>
        </w:trPr>
        <w:tc>
          <w:tcPr>
            <w:tcW w:w="867" w:type="dxa"/>
            <w:vMerge/>
            <w:tcBorders>
              <w:left w:val="single" w:sz="4" w:space="0" w:color="auto"/>
              <w:right w:val="single" w:sz="4" w:space="0" w:color="auto"/>
            </w:tcBorders>
          </w:tcPr>
          <w:p w14:paraId="018DBA5D" w14:textId="77777777" w:rsidR="00CD7DEB" w:rsidRDefault="00CD7DEB" w:rsidP="008B1C85">
            <w:pPr>
              <w:pStyle w:val="Tabletext"/>
            </w:pPr>
          </w:p>
        </w:tc>
        <w:tc>
          <w:tcPr>
            <w:tcW w:w="1069" w:type="dxa"/>
            <w:vMerge w:val="restart"/>
            <w:tcBorders>
              <w:top w:val="single" w:sz="4" w:space="0" w:color="auto"/>
              <w:left w:val="single" w:sz="4" w:space="0" w:color="auto"/>
              <w:right w:val="single" w:sz="4" w:space="0" w:color="auto"/>
            </w:tcBorders>
          </w:tcPr>
          <w:p w14:paraId="353343DF" w14:textId="77777777" w:rsidR="00CD7DEB" w:rsidRPr="006B6E93" w:rsidRDefault="00CD7DEB" w:rsidP="008B1C85">
            <w:pPr>
              <w:pStyle w:val="Tabletext"/>
            </w:pPr>
            <w:r>
              <w:t>NCGC (2016)</w:t>
            </w:r>
          </w:p>
        </w:tc>
        <w:tc>
          <w:tcPr>
            <w:tcW w:w="1019" w:type="dxa"/>
            <w:tcBorders>
              <w:top w:val="single" w:sz="4" w:space="0" w:color="auto"/>
              <w:left w:val="single" w:sz="4" w:space="0" w:color="auto"/>
              <w:bottom w:val="single" w:sz="4" w:space="0" w:color="auto"/>
              <w:right w:val="single" w:sz="4" w:space="0" w:color="auto"/>
            </w:tcBorders>
          </w:tcPr>
          <w:p w14:paraId="0ABFA3CC" w14:textId="77777777" w:rsidR="00CD7DEB" w:rsidRPr="00CE3683" w:rsidRDefault="00CD7DEB" w:rsidP="00CD7DEB">
            <w:pPr>
              <w:pStyle w:val="Tabletext"/>
            </w:pPr>
            <w:r>
              <w:t>Adults</w:t>
            </w:r>
          </w:p>
        </w:tc>
        <w:tc>
          <w:tcPr>
            <w:tcW w:w="970" w:type="dxa"/>
            <w:tcBorders>
              <w:top w:val="single" w:sz="4" w:space="0" w:color="auto"/>
              <w:left w:val="single" w:sz="4" w:space="0" w:color="auto"/>
              <w:right w:val="single" w:sz="4" w:space="0" w:color="auto"/>
            </w:tcBorders>
          </w:tcPr>
          <w:p w14:paraId="74FB89A8" w14:textId="77777777" w:rsidR="00CD7DEB" w:rsidRPr="003C1942" w:rsidRDefault="00E56D39" w:rsidP="00326F6E">
            <w:pPr>
              <w:pStyle w:val="Tabletext"/>
              <w:jc w:val="center"/>
            </w:pPr>
            <w:r>
              <w:t>N</w:t>
            </w:r>
            <w:r w:rsidR="00326F6E">
              <w:t>A</w:t>
            </w:r>
          </w:p>
        </w:tc>
        <w:tc>
          <w:tcPr>
            <w:tcW w:w="1070" w:type="dxa"/>
            <w:tcBorders>
              <w:top w:val="single" w:sz="4" w:space="0" w:color="auto"/>
              <w:left w:val="single" w:sz="4" w:space="0" w:color="auto"/>
              <w:right w:val="single" w:sz="4" w:space="0" w:color="auto"/>
            </w:tcBorders>
          </w:tcPr>
          <w:p w14:paraId="70DCF198" w14:textId="77777777" w:rsidR="00CD7DEB" w:rsidRPr="003C1942" w:rsidRDefault="00E56D39" w:rsidP="00326F6E">
            <w:pPr>
              <w:pStyle w:val="Tabletext"/>
              <w:jc w:val="center"/>
            </w:pPr>
            <w:r>
              <w:t>N</w:t>
            </w:r>
            <w:r w:rsidR="00326F6E">
              <w:t>A</w:t>
            </w:r>
          </w:p>
        </w:tc>
        <w:tc>
          <w:tcPr>
            <w:tcW w:w="1261" w:type="dxa"/>
            <w:tcBorders>
              <w:top w:val="single" w:sz="4" w:space="0" w:color="auto"/>
              <w:left w:val="single" w:sz="4" w:space="0" w:color="auto"/>
              <w:right w:val="single" w:sz="4" w:space="0" w:color="auto"/>
            </w:tcBorders>
          </w:tcPr>
          <w:p w14:paraId="672D4AAE" w14:textId="77777777" w:rsidR="00CD7DEB" w:rsidRPr="006B6E93" w:rsidRDefault="00CD7DEB" w:rsidP="00CD7DEB">
            <w:pPr>
              <w:pStyle w:val="Tabletext"/>
              <w:jc w:val="center"/>
            </w:pPr>
            <w:r>
              <w:t>Yes</w:t>
            </w:r>
          </w:p>
        </w:tc>
        <w:tc>
          <w:tcPr>
            <w:tcW w:w="1320" w:type="dxa"/>
            <w:tcBorders>
              <w:top w:val="single" w:sz="4" w:space="0" w:color="auto"/>
              <w:left w:val="single" w:sz="4" w:space="0" w:color="auto"/>
              <w:right w:val="single" w:sz="4" w:space="0" w:color="auto"/>
            </w:tcBorders>
          </w:tcPr>
          <w:p w14:paraId="4F96D5CB" w14:textId="77777777" w:rsidR="00CD7DEB" w:rsidRPr="003C1942" w:rsidRDefault="00E56D39" w:rsidP="00326F6E">
            <w:pPr>
              <w:pStyle w:val="Tabletext"/>
              <w:jc w:val="center"/>
            </w:pPr>
            <w:r>
              <w:t>N</w:t>
            </w:r>
            <w:r w:rsidR="00326F6E">
              <w:t>A</w:t>
            </w:r>
          </w:p>
        </w:tc>
        <w:tc>
          <w:tcPr>
            <w:tcW w:w="1238" w:type="dxa"/>
            <w:tcBorders>
              <w:top w:val="single" w:sz="4" w:space="0" w:color="auto"/>
              <w:left w:val="single" w:sz="4" w:space="0" w:color="auto"/>
              <w:right w:val="single" w:sz="4" w:space="0" w:color="auto"/>
            </w:tcBorders>
          </w:tcPr>
          <w:p w14:paraId="6894ABC1" w14:textId="77777777" w:rsidR="00CD7DEB" w:rsidRPr="00CD7DEB" w:rsidRDefault="00CD7DEB" w:rsidP="0099709F">
            <w:pPr>
              <w:pStyle w:val="Tabletext"/>
            </w:pPr>
            <w:r w:rsidRPr="00CD7DEB">
              <w:t>Evidence</w:t>
            </w:r>
          </w:p>
        </w:tc>
      </w:tr>
      <w:tr w:rsidR="00CD7DEB" w:rsidRPr="006B6E93" w14:paraId="0FA2FDC9" w14:textId="77777777" w:rsidTr="0099709F">
        <w:trPr>
          <w:trHeight w:val="353"/>
        </w:trPr>
        <w:tc>
          <w:tcPr>
            <w:tcW w:w="867" w:type="dxa"/>
            <w:vMerge/>
            <w:tcBorders>
              <w:left w:val="single" w:sz="4" w:space="0" w:color="auto"/>
              <w:right w:val="single" w:sz="4" w:space="0" w:color="auto"/>
            </w:tcBorders>
          </w:tcPr>
          <w:p w14:paraId="226CA11B" w14:textId="77777777" w:rsidR="00CD7DEB" w:rsidRDefault="00CD7DEB" w:rsidP="008B1C85">
            <w:pPr>
              <w:pStyle w:val="Tabletext"/>
            </w:pPr>
          </w:p>
        </w:tc>
        <w:tc>
          <w:tcPr>
            <w:tcW w:w="1069" w:type="dxa"/>
            <w:vMerge/>
            <w:tcBorders>
              <w:left w:val="single" w:sz="4" w:space="0" w:color="auto"/>
              <w:bottom w:val="single" w:sz="4" w:space="0" w:color="auto"/>
              <w:right w:val="single" w:sz="4" w:space="0" w:color="auto"/>
            </w:tcBorders>
          </w:tcPr>
          <w:p w14:paraId="3C6D4A85" w14:textId="77777777" w:rsidR="00CD7DEB" w:rsidRDefault="00CD7DEB" w:rsidP="008B1C85">
            <w:pPr>
              <w:pStyle w:val="Tabletext"/>
            </w:pPr>
          </w:p>
        </w:tc>
        <w:tc>
          <w:tcPr>
            <w:tcW w:w="1019" w:type="dxa"/>
            <w:tcBorders>
              <w:top w:val="single" w:sz="4" w:space="0" w:color="auto"/>
              <w:left w:val="single" w:sz="4" w:space="0" w:color="auto"/>
              <w:bottom w:val="single" w:sz="4" w:space="0" w:color="auto"/>
              <w:right w:val="single" w:sz="4" w:space="0" w:color="auto"/>
            </w:tcBorders>
          </w:tcPr>
          <w:p w14:paraId="47D0B59F" w14:textId="77777777" w:rsidR="00CD7DEB" w:rsidRDefault="00CD7DEB" w:rsidP="008B1C85">
            <w:pPr>
              <w:pStyle w:val="Tabletext"/>
            </w:pPr>
            <w:r>
              <w:t>Children ≥5 yrs</w:t>
            </w:r>
          </w:p>
        </w:tc>
        <w:tc>
          <w:tcPr>
            <w:tcW w:w="970" w:type="dxa"/>
            <w:tcBorders>
              <w:left w:val="single" w:sz="4" w:space="0" w:color="auto"/>
              <w:bottom w:val="single" w:sz="4" w:space="0" w:color="auto"/>
              <w:right w:val="single" w:sz="4" w:space="0" w:color="auto"/>
            </w:tcBorders>
          </w:tcPr>
          <w:p w14:paraId="2CD45E6B" w14:textId="77777777" w:rsidR="00CD7DEB" w:rsidRDefault="00E56D39" w:rsidP="00326F6E">
            <w:pPr>
              <w:pStyle w:val="Tabletext"/>
              <w:jc w:val="center"/>
            </w:pPr>
            <w:r>
              <w:t>N</w:t>
            </w:r>
            <w:r w:rsidR="00326F6E">
              <w:t>A</w:t>
            </w:r>
          </w:p>
        </w:tc>
        <w:tc>
          <w:tcPr>
            <w:tcW w:w="1070" w:type="dxa"/>
            <w:tcBorders>
              <w:left w:val="single" w:sz="4" w:space="0" w:color="auto"/>
              <w:bottom w:val="single" w:sz="4" w:space="0" w:color="auto"/>
              <w:right w:val="single" w:sz="4" w:space="0" w:color="auto"/>
            </w:tcBorders>
          </w:tcPr>
          <w:p w14:paraId="6A36F78D" w14:textId="77777777" w:rsidR="00CD7DEB" w:rsidRDefault="00E56D39" w:rsidP="00326F6E">
            <w:pPr>
              <w:pStyle w:val="Tabletext"/>
              <w:jc w:val="center"/>
            </w:pPr>
            <w:r>
              <w:t>N</w:t>
            </w:r>
            <w:r w:rsidR="00326F6E">
              <w:t>A</w:t>
            </w:r>
          </w:p>
        </w:tc>
        <w:tc>
          <w:tcPr>
            <w:tcW w:w="1261" w:type="dxa"/>
            <w:tcBorders>
              <w:left w:val="single" w:sz="4" w:space="0" w:color="auto"/>
              <w:bottom w:val="single" w:sz="4" w:space="0" w:color="auto"/>
              <w:right w:val="single" w:sz="4" w:space="0" w:color="auto"/>
            </w:tcBorders>
          </w:tcPr>
          <w:p w14:paraId="59C3BD67" w14:textId="77777777" w:rsidR="00CD7DEB" w:rsidRPr="006B6E93" w:rsidRDefault="00CD7DEB" w:rsidP="008B1C85">
            <w:pPr>
              <w:pStyle w:val="Tabletext"/>
              <w:jc w:val="center"/>
            </w:pPr>
            <w:r>
              <w:t>Yes</w:t>
            </w:r>
          </w:p>
        </w:tc>
        <w:tc>
          <w:tcPr>
            <w:tcW w:w="1320" w:type="dxa"/>
            <w:tcBorders>
              <w:left w:val="single" w:sz="4" w:space="0" w:color="auto"/>
              <w:bottom w:val="single" w:sz="4" w:space="0" w:color="auto"/>
              <w:right w:val="single" w:sz="4" w:space="0" w:color="auto"/>
            </w:tcBorders>
          </w:tcPr>
          <w:p w14:paraId="454608CF" w14:textId="77777777" w:rsidR="00CD7DEB" w:rsidRDefault="00E56D39" w:rsidP="00326F6E">
            <w:pPr>
              <w:pStyle w:val="Tabletext"/>
              <w:jc w:val="center"/>
            </w:pPr>
            <w:r>
              <w:t>N</w:t>
            </w:r>
            <w:r w:rsidR="00326F6E">
              <w:t>A</w:t>
            </w:r>
          </w:p>
        </w:tc>
        <w:tc>
          <w:tcPr>
            <w:tcW w:w="1238" w:type="dxa"/>
            <w:tcBorders>
              <w:left w:val="single" w:sz="4" w:space="0" w:color="auto"/>
              <w:bottom w:val="single" w:sz="4" w:space="0" w:color="auto"/>
              <w:right w:val="single" w:sz="4" w:space="0" w:color="auto"/>
            </w:tcBorders>
          </w:tcPr>
          <w:p w14:paraId="2ACCD8B9" w14:textId="77777777" w:rsidR="00CD7DEB" w:rsidRPr="00CD7DEB" w:rsidRDefault="00CD7DEB" w:rsidP="0099709F">
            <w:pPr>
              <w:pStyle w:val="Tabletext"/>
            </w:pPr>
            <w:r w:rsidRPr="00CD7DEB">
              <w:t>Evidence</w:t>
            </w:r>
          </w:p>
        </w:tc>
      </w:tr>
      <w:tr w:rsidR="00CD7DEB" w:rsidRPr="006B6E93" w14:paraId="4621C9AA" w14:textId="77777777" w:rsidTr="00903D95">
        <w:trPr>
          <w:trHeight w:val="353"/>
        </w:trPr>
        <w:tc>
          <w:tcPr>
            <w:tcW w:w="867" w:type="dxa"/>
            <w:vMerge/>
            <w:tcBorders>
              <w:left w:val="single" w:sz="4" w:space="0" w:color="auto"/>
              <w:right w:val="single" w:sz="4" w:space="0" w:color="auto"/>
            </w:tcBorders>
          </w:tcPr>
          <w:p w14:paraId="7AEED3EB" w14:textId="77777777" w:rsidR="00CD7DEB" w:rsidRDefault="00CD7DEB" w:rsidP="008B1C85">
            <w:pPr>
              <w:pStyle w:val="Tabletext"/>
            </w:pPr>
          </w:p>
        </w:tc>
        <w:tc>
          <w:tcPr>
            <w:tcW w:w="1069" w:type="dxa"/>
            <w:vMerge w:val="restart"/>
            <w:tcBorders>
              <w:top w:val="single" w:sz="4" w:space="0" w:color="auto"/>
              <w:left w:val="single" w:sz="4" w:space="0" w:color="auto"/>
              <w:right w:val="single" w:sz="4" w:space="0" w:color="auto"/>
            </w:tcBorders>
            <w:shd w:val="clear" w:color="auto" w:fill="FFFFFF" w:themeFill="background1"/>
          </w:tcPr>
          <w:p w14:paraId="3744DEA6" w14:textId="77777777" w:rsidR="00CD7DEB" w:rsidRPr="00903D95" w:rsidRDefault="00CD7DEB" w:rsidP="008B1C85">
            <w:pPr>
              <w:pStyle w:val="Tabletext"/>
            </w:pPr>
            <w:r w:rsidRPr="00903D95">
              <w:t>GINA (2015)</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14:paraId="681E5EF1" w14:textId="77777777" w:rsidR="00CD7DEB" w:rsidRPr="00903D95" w:rsidRDefault="00CD7DEB" w:rsidP="0099709F">
            <w:pPr>
              <w:pStyle w:val="Tabletext"/>
            </w:pPr>
            <w:r w:rsidRPr="00903D95">
              <w:t>Adults</w:t>
            </w:r>
          </w:p>
        </w:tc>
        <w:tc>
          <w:tcPr>
            <w:tcW w:w="970" w:type="dxa"/>
            <w:tcBorders>
              <w:top w:val="single" w:sz="4" w:space="0" w:color="auto"/>
              <w:left w:val="single" w:sz="4" w:space="0" w:color="auto"/>
              <w:right w:val="single" w:sz="4" w:space="0" w:color="auto"/>
            </w:tcBorders>
            <w:shd w:val="clear" w:color="auto" w:fill="FFFFFF" w:themeFill="background1"/>
          </w:tcPr>
          <w:p w14:paraId="702D3F2E" w14:textId="77777777" w:rsidR="00CD7DEB" w:rsidRPr="00903D95" w:rsidRDefault="00E56D39" w:rsidP="00326F6E">
            <w:pPr>
              <w:pStyle w:val="Tabletext"/>
              <w:jc w:val="center"/>
            </w:pPr>
            <w:r w:rsidRPr="00903D95">
              <w:t>N</w:t>
            </w:r>
            <w:r w:rsidR="00326F6E">
              <w:t>A</w:t>
            </w:r>
          </w:p>
        </w:tc>
        <w:tc>
          <w:tcPr>
            <w:tcW w:w="1070" w:type="dxa"/>
            <w:tcBorders>
              <w:top w:val="single" w:sz="4" w:space="0" w:color="auto"/>
              <w:left w:val="single" w:sz="4" w:space="0" w:color="auto"/>
              <w:right w:val="single" w:sz="4" w:space="0" w:color="auto"/>
            </w:tcBorders>
            <w:shd w:val="clear" w:color="auto" w:fill="FFFFFF" w:themeFill="background1"/>
          </w:tcPr>
          <w:p w14:paraId="12DDBCAD" w14:textId="77777777" w:rsidR="00CD7DEB" w:rsidRPr="00903D95" w:rsidRDefault="00E56D39" w:rsidP="00326F6E">
            <w:pPr>
              <w:pStyle w:val="Tabletext"/>
              <w:jc w:val="center"/>
            </w:pPr>
            <w:r w:rsidRPr="00903D95">
              <w:t>N</w:t>
            </w:r>
            <w:r w:rsidR="00326F6E">
              <w:t>A</w:t>
            </w:r>
          </w:p>
        </w:tc>
        <w:tc>
          <w:tcPr>
            <w:tcW w:w="1261" w:type="dxa"/>
            <w:tcBorders>
              <w:top w:val="single" w:sz="4" w:space="0" w:color="auto"/>
              <w:left w:val="single" w:sz="4" w:space="0" w:color="auto"/>
              <w:right w:val="single" w:sz="4" w:space="0" w:color="auto"/>
            </w:tcBorders>
            <w:shd w:val="clear" w:color="auto" w:fill="FFFFFF" w:themeFill="background1"/>
          </w:tcPr>
          <w:p w14:paraId="5F9C0127" w14:textId="77777777" w:rsidR="00CD7DEB" w:rsidRPr="00903D95" w:rsidRDefault="00CD7DEB" w:rsidP="0099709F">
            <w:pPr>
              <w:pStyle w:val="Tabletext"/>
              <w:jc w:val="center"/>
            </w:pPr>
            <w:r w:rsidRPr="00903D95">
              <w:t>Yes</w:t>
            </w:r>
          </w:p>
        </w:tc>
        <w:tc>
          <w:tcPr>
            <w:tcW w:w="1320" w:type="dxa"/>
            <w:tcBorders>
              <w:top w:val="single" w:sz="4" w:space="0" w:color="auto"/>
              <w:left w:val="single" w:sz="4" w:space="0" w:color="auto"/>
              <w:right w:val="single" w:sz="4" w:space="0" w:color="auto"/>
            </w:tcBorders>
            <w:shd w:val="clear" w:color="auto" w:fill="FFFFFF" w:themeFill="background1"/>
          </w:tcPr>
          <w:p w14:paraId="7EE519DE" w14:textId="77777777" w:rsidR="00CD7DEB" w:rsidRPr="00903D95" w:rsidRDefault="00E56D39" w:rsidP="00326F6E">
            <w:pPr>
              <w:pStyle w:val="Tabletext"/>
              <w:jc w:val="center"/>
            </w:pPr>
            <w:r w:rsidRPr="00903D95">
              <w:t>N</w:t>
            </w:r>
            <w:r w:rsidR="00326F6E">
              <w:t>A</w:t>
            </w:r>
          </w:p>
        </w:tc>
        <w:tc>
          <w:tcPr>
            <w:tcW w:w="1238" w:type="dxa"/>
            <w:tcBorders>
              <w:top w:val="single" w:sz="4" w:space="0" w:color="auto"/>
              <w:left w:val="single" w:sz="4" w:space="0" w:color="auto"/>
              <w:right w:val="single" w:sz="4" w:space="0" w:color="auto"/>
            </w:tcBorders>
            <w:shd w:val="clear" w:color="auto" w:fill="FFFFFF" w:themeFill="background1"/>
          </w:tcPr>
          <w:p w14:paraId="361E5EA6" w14:textId="77777777" w:rsidR="00CD7DEB" w:rsidRPr="00903D95" w:rsidRDefault="00CD7DEB" w:rsidP="0099709F">
            <w:pPr>
              <w:pStyle w:val="Tabletext"/>
            </w:pPr>
            <w:r w:rsidRPr="00903D95">
              <w:t>Unclear</w:t>
            </w:r>
          </w:p>
        </w:tc>
      </w:tr>
      <w:tr w:rsidR="00CD7DEB" w:rsidRPr="006B6E93" w14:paraId="7E82201E" w14:textId="77777777" w:rsidTr="00903D95">
        <w:trPr>
          <w:trHeight w:val="353"/>
        </w:trPr>
        <w:tc>
          <w:tcPr>
            <w:tcW w:w="867" w:type="dxa"/>
            <w:vMerge/>
            <w:tcBorders>
              <w:left w:val="single" w:sz="4" w:space="0" w:color="auto"/>
              <w:right w:val="single" w:sz="4" w:space="0" w:color="auto"/>
            </w:tcBorders>
          </w:tcPr>
          <w:p w14:paraId="194263EA" w14:textId="77777777" w:rsidR="00CD7DEB" w:rsidRDefault="00CD7DEB" w:rsidP="008B1C85">
            <w:pPr>
              <w:pStyle w:val="Tabletext"/>
            </w:pPr>
          </w:p>
        </w:tc>
        <w:tc>
          <w:tcPr>
            <w:tcW w:w="1069" w:type="dxa"/>
            <w:vMerge/>
            <w:tcBorders>
              <w:left w:val="single" w:sz="4" w:space="0" w:color="auto"/>
              <w:bottom w:val="single" w:sz="4" w:space="0" w:color="auto"/>
              <w:right w:val="single" w:sz="4" w:space="0" w:color="auto"/>
            </w:tcBorders>
            <w:shd w:val="clear" w:color="auto" w:fill="FFFFFF" w:themeFill="background1"/>
          </w:tcPr>
          <w:p w14:paraId="22FFC3BA" w14:textId="77777777" w:rsidR="00CD7DEB" w:rsidRPr="00903D95" w:rsidRDefault="00CD7DEB" w:rsidP="008B1C85">
            <w:pPr>
              <w:pStyle w:val="Tabletext"/>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14:paraId="4904877E" w14:textId="77777777" w:rsidR="00CD7DEB" w:rsidRPr="00903D95" w:rsidRDefault="00CD7DEB" w:rsidP="008B1C85">
            <w:pPr>
              <w:pStyle w:val="Tabletext"/>
            </w:pPr>
            <w:r w:rsidRPr="00903D95">
              <w:t>Children ≥6 yrs</w:t>
            </w:r>
          </w:p>
        </w:tc>
        <w:tc>
          <w:tcPr>
            <w:tcW w:w="970" w:type="dxa"/>
            <w:tcBorders>
              <w:left w:val="single" w:sz="4" w:space="0" w:color="auto"/>
              <w:bottom w:val="single" w:sz="4" w:space="0" w:color="auto"/>
              <w:right w:val="single" w:sz="4" w:space="0" w:color="auto"/>
            </w:tcBorders>
            <w:shd w:val="clear" w:color="auto" w:fill="FFFFFF" w:themeFill="background1"/>
          </w:tcPr>
          <w:p w14:paraId="4DCECD35" w14:textId="77777777" w:rsidR="00CD7DEB" w:rsidRPr="00903D95" w:rsidRDefault="00E56D39" w:rsidP="00326F6E">
            <w:pPr>
              <w:pStyle w:val="Tabletext"/>
              <w:jc w:val="center"/>
            </w:pPr>
            <w:r w:rsidRPr="00903D95">
              <w:t>N</w:t>
            </w:r>
            <w:r w:rsidR="00326F6E">
              <w:t>A</w:t>
            </w:r>
          </w:p>
        </w:tc>
        <w:tc>
          <w:tcPr>
            <w:tcW w:w="1070" w:type="dxa"/>
            <w:tcBorders>
              <w:left w:val="single" w:sz="4" w:space="0" w:color="auto"/>
              <w:bottom w:val="single" w:sz="4" w:space="0" w:color="auto"/>
              <w:right w:val="single" w:sz="4" w:space="0" w:color="auto"/>
            </w:tcBorders>
            <w:shd w:val="clear" w:color="auto" w:fill="FFFFFF" w:themeFill="background1"/>
          </w:tcPr>
          <w:p w14:paraId="11A33B54" w14:textId="77777777" w:rsidR="00CD7DEB" w:rsidRPr="00903D95" w:rsidRDefault="00E56D39" w:rsidP="00326F6E">
            <w:pPr>
              <w:pStyle w:val="Tabletext"/>
              <w:jc w:val="center"/>
            </w:pPr>
            <w:r w:rsidRPr="00903D95">
              <w:t>N</w:t>
            </w:r>
            <w:r w:rsidR="00326F6E">
              <w:t>A</w:t>
            </w:r>
          </w:p>
        </w:tc>
        <w:tc>
          <w:tcPr>
            <w:tcW w:w="1261" w:type="dxa"/>
            <w:tcBorders>
              <w:left w:val="single" w:sz="4" w:space="0" w:color="auto"/>
              <w:bottom w:val="single" w:sz="4" w:space="0" w:color="auto"/>
              <w:right w:val="single" w:sz="4" w:space="0" w:color="auto"/>
            </w:tcBorders>
            <w:shd w:val="clear" w:color="auto" w:fill="FFFFFF" w:themeFill="background1"/>
          </w:tcPr>
          <w:p w14:paraId="3E27CD86" w14:textId="77777777" w:rsidR="00CD7DEB" w:rsidRPr="00903D95" w:rsidRDefault="00CD7DEB" w:rsidP="008B1C85">
            <w:pPr>
              <w:pStyle w:val="Tabletext"/>
              <w:jc w:val="center"/>
            </w:pPr>
            <w:r w:rsidRPr="00903D95">
              <w:t>Yes</w:t>
            </w:r>
          </w:p>
        </w:tc>
        <w:tc>
          <w:tcPr>
            <w:tcW w:w="1320" w:type="dxa"/>
            <w:tcBorders>
              <w:left w:val="single" w:sz="4" w:space="0" w:color="auto"/>
              <w:bottom w:val="single" w:sz="4" w:space="0" w:color="auto"/>
              <w:right w:val="single" w:sz="4" w:space="0" w:color="auto"/>
            </w:tcBorders>
            <w:shd w:val="clear" w:color="auto" w:fill="FFFFFF" w:themeFill="background1"/>
          </w:tcPr>
          <w:p w14:paraId="18045683" w14:textId="77777777" w:rsidR="00CD7DEB" w:rsidRPr="00903D95" w:rsidRDefault="00E56D39" w:rsidP="00326F6E">
            <w:pPr>
              <w:pStyle w:val="Tabletext"/>
              <w:jc w:val="center"/>
            </w:pPr>
            <w:r w:rsidRPr="00903D95">
              <w:t>N</w:t>
            </w:r>
            <w:r w:rsidR="00326F6E">
              <w:t>A</w:t>
            </w:r>
          </w:p>
        </w:tc>
        <w:tc>
          <w:tcPr>
            <w:tcW w:w="1238" w:type="dxa"/>
            <w:tcBorders>
              <w:left w:val="single" w:sz="4" w:space="0" w:color="auto"/>
              <w:bottom w:val="single" w:sz="4" w:space="0" w:color="auto"/>
              <w:right w:val="single" w:sz="4" w:space="0" w:color="auto"/>
            </w:tcBorders>
            <w:shd w:val="clear" w:color="auto" w:fill="FFFFFF" w:themeFill="background1"/>
          </w:tcPr>
          <w:p w14:paraId="7977A858" w14:textId="77777777" w:rsidR="00CD7DEB" w:rsidRPr="00903D95" w:rsidRDefault="00CD7DEB" w:rsidP="0099709F">
            <w:pPr>
              <w:pStyle w:val="Tabletext"/>
            </w:pPr>
            <w:r w:rsidRPr="00903D95">
              <w:t>Unclear</w:t>
            </w:r>
          </w:p>
        </w:tc>
      </w:tr>
      <w:tr w:rsidR="00CD7DEB" w:rsidRPr="006B6E93" w14:paraId="211FF613" w14:textId="77777777" w:rsidTr="0099709F">
        <w:trPr>
          <w:trHeight w:val="258"/>
        </w:trPr>
        <w:tc>
          <w:tcPr>
            <w:tcW w:w="867" w:type="dxa"/>
            <w:vMerge/>
            <w:tcBorders>
              <w:left w:val="single" w:sz="4" w:space="0" w:color="auto"/>
              <w:right w:val="single" w:sz="4" w:space="0" w:color="auto"/>
            </w:tcBorders>
          </w:tcPr>
          <w:p w14:paraId="61170B51" w14:textId="77777777" w:rsidR="00CD7DEB" w:rsidRDefault="00CD7DEB" w:rsidP="008B1C85">
            <w:pPr>
              <w:pStyle w:val="Tabletext"/>
            </w:pPr>
          </w:p>
        </w:tc>
        <w:tc>
          <w:tcPr>
            <w:tcW w:w="1069" w:type="dxa"/>
            <w:vMerge w:val="restart"/>
            <w:tcBorders>
              <w:top w:val="single" w:sz="4" w:space="0" w:color="auto"/>
              <w:left w:val="single" w:sz="4" w:space="0" w:color="auto"/>
              <w:right w:val="single" w:sz="4" w:space="0" w:color="auto"/>
            </w:tcBorders>
          </w:tcPr>
          <w:p w14:paraId="4C1A1C55" w14:textId="77777777" w:rsidR="00CD7DEB" w:rsidRPr="006B6E93" w:rsidRDefault="00CD7DEB" w:rsidP="008B1C85">
            <w:pPr>
              <w:pStyle w:val="Tabletext"/>
            </w:pPr>
            <w:r>
              <w:t>BTS/SIGN (2014)</w:t>
            </w:r>
          </w:p>
        </w:tc>
        <w:tc>
          <w:tcPr>
            <w:tcW w:w="1019" w:type="dxa"/>
            <w:tcBorders>
              <w:top w:val="single" w:sz="4" w:space="0" w:color="auto"/>
              <w:left w:val="single" w:sz="4" w:space="0" w:color="auto"/>
              <w:bottom w:val="single" w:sz="4" w:space="0" w:color="auto"/>
              <w:right w:val="single" w:sz="4" w:space="0" w:color="auto"/>
            </w:tcBorders>
          </w:tcPr>
          <w:p w14:paraId="20BDD707" w14:textId="77777777" w:rsidR="00CD7DEB" w:rsidRPr="00A23870" w:rsidRDefault="00CD7DEB" w:rsidP="0099709F">
            <w:pPr>
              <w:pStyle w:val="Tabletext"/>
              <w:rPr>
                <w:vertAlign w:val="superscript"/>
              </w:rPr>
            </w:pPr>
            <w:r>
              <w:t>Adults</w:t>
            </w:r>
          </w:p>
        </w:tc>
        <w:tc>
          <w:tcPr>
            <w:tcW w:w="970" w:type="dxa"/>
            <w:tcBorders>
              <w:top w:val="single" w:sz="4" w:space="0" w:color="auto"/>
              <w:left w:val="single" w:sz="4" w:space="0" w:color="auto"/>
              <w:right w:val="single" w:sz="4" w:space="0" w:color="auto"/>
            </w:tcBorders>
          </w:tcPr>
          <w:p w14:paraId="2DEEDB78" w14:textId="77777777" w:rsidR="00CD7DEB" w:rsidRPr="00F57E97" w:rsidRDefault="00E56D39" w:rsidP="00326F6E">
            <w:pPr>
              <w:pStyle w:val="Tabletext"/>
              <w:jc w:val="center"/>
            </w:pPr>
            <w:r>
              <w:t>N</w:t>
            </w:r>
            <w:r w:rsidR="00326F6E">
              <w:t>A</w:t>
            </w:r>
          </w:p>
        </w:tc>
        <w:tc>
          <w:tcPr>
            <w:tcW w:w="1070" w:type="dxa"/>
            <w:tcBorders>
              <w:top w:val="single" w:sz="4" w:space="0" w:color="auto"/>
              <w:left w:val="single" w:sz="4" w:space="0" w:color="auto"/>
              <w:right w:val="single" w:sz="4" w:space="0" w:color="auto"/>
            </w:tcBorders>
          </w:tcPr>
          <w:p w14:paraId="3F665FB6" w14:textId="77777777" w:rsidR="00CD7DEB" w:rsidRPr="00F57E97" w:rsidRDefault="00E56D39" w:rsidP="00326F6E">
            <w:pPr>
              <w:pStyle w:val="Tabletext"/>
              <w:jc w:val="center"/>
            </w:pPr>
            <w:r>
              <w:t>N</w:t>
            </w:r>
            <w:r w:rsidR="00326F6E">
              <w:t>A</w:t>
            </w:r>
          </w:p>
        </w:tc>
        <w:tc>
          <w:tcPr>
            <w:tcW w:w="1261" w:type="dxa"/>
            <w:tcBorders>
              <w:top w:val="single" w:sz="4" w:space="0" w:color="auto"/>
              <w:left w:val="single" w:sz="4" w:space="0" w:color="auto"/>
              <w:right w:val="single" w:sz="4" w:space="0" w:color="auto"/>
            </w:tcBorders>
          </w:tcPr>
          <w:p w14:paraId="5572B025" w14:textId="77777777" w:rsidR="00CD7DEB" w:rsidRPr="00A83758" w:rsidRDefault="00CD7DEB" w:rsidP="0099709F">
            <w:pPr>
              <w:pStyle w:val="Tabletext"/>
              <w:jc w:val="center"/>
              <w:rPr>
                <w:vertAlign w:val="superscript"/>
              </w:rPr>
            </w:pPr>
            <w:r>
              <w:t>Yes</w:t>
            </w:r>
          </w:p>
        </w:tc>
        <w:tc>
          <w:tcPr>
            <w:tcW w:w="1320" w:type="dxa"/>
            <w:tcBorders>
              <w:top w:val="single" w:sz="4" w:space="0" w:color="auto"/>
              <w:left w:val="single" w:sz="4" w:space="0" w:color="auto"/>
              <w:right w:val="single" w:sz="4" w:space="0" w:color="auto"/>
            </w:tcBorders>
          </w:tcPr>
          <w:p w14:paraId="2BDC4BEA" w14:textId="77777777" w:rsidR="00CD7DEB" w:rsidRPr="006B6E93" w:rsidRDefault="00E56D39" w:rsidP="00326F6E">
            <w:pPr>
              <w:pStyle w:val="Tabletext"/>
              <w:jc w:val="center"/>
            </w:pPr>
            <w:r>
              <w:t>N</w:t>
            </w:r>
            <w:r w:rsidR="00326F6E">
              <w:t>A</w:t>
            </w:r>
          </w:p>
        </w:tc>
        <w:tc>
          <w:tcPr>
            <w:tcW w:w="1238" w:type="dxa"/>
            <w:tcBorders>
              <w:top w:val="single" w:sz="4" w:space="0" w:color="auto"/>
              <w:left w:val="single" w:sz="4" w:space="0" w:color="auto"/>
              <w:right w:val="single" w:sz="4" w:space="0" w:color="auto"/>
            </w:tcBorders>
          </w:tcPr>
          <w:p w14:paraId="3D592CFF" w14:textId="77777777" w:rsidR="00CD7DEB" w:rsidRPr="00CD7DEB" w:rsidRDefault="00CD7DEB" w:rsidP="0099709F">
            <w:pPr>
              <w:pStyle w:val="Tabletext"/>
            </w:pPr>
            <w:r w:rsidRPr="00CD7DEB">
              <w:t>Consensus</w:t>
            </w:r>
          </w:p>
        </w:tc>
      </w:tr>
      <w:tr w:rsidR="00CD7DEB" w:rsidRPr="006B6E93" w14:paraId="6BBFDDE1" w14:textId="77777777" w:rsidTr="0099709F">
        <w:trPr>
          <w:trHeight w:val="258"/>
        </w:trPr>
        <w:tc>
          <w:tcPr>
            <w:tcW w:w="867" w:type="dxa"/>
            <w:vMerge/>
            <w:tcBorders>
              <w:left w:val="single" w:sz="4" w:space="0" w:color="auto"/>
              <w:bottom w:val="single" w:sz="4" w:space="0" w:color="auto"/>
              <w:right w:val="single" w:sz="4" w:space="0" w:color="auto"/>
            </w:tcBorders>
          </w:tcPr>
          <w:p w14:paraId="622FFCA9" w14:textId="77777777" w:rsidR="00CD7DEB" w:rsidRDefault="00CD7DEB" w:rsidP="008B1C85">
            <w:pPr>
              <w:pStyle w:val="Tabletext"/>
            </w:pPr>
          </w:p>
        </w:tc>
        <w:tc>
          <w:tcPr>
            <w:tcW w:w="1069" w:type="dxa"/>
            <w:vMerge/>
            <w:tcBorders>
              <w:left w:val="single" w:sz="4" w:space="0" w:color="auto"/>
              <w:bottom w:val="single" w:sz="4" w:space="0" w:color="auto"/>
              <w:right w:val="single" w:sz="4" w:space="0" w:color="auto"/>
            </w:tcBorders>
          </w:tcPr>
          <w:p w14:paraId="65FCBD5A" w14:textId="77777777" w:rsidR="00CD7DEB" w:rsidRDefault="00CD7DEB" w:rsidP="008B1C85">
            <w:pPr>
              <w:pStyle w:val="Tabletext"/>
            </w:pPr>
          </w:p>
        </w:tc>
        <w:tc>
          <w:tcPr>
            <w:tcW w:w="1019" w:type="dxa"/>
            <w:tcBorders>
              <w:top w:val="single" w:sz="4" w:space="0" w:color="auto"/>
              <w:left w:val="single" w:sz="4" w:space="0" w:color="auto"/>
              <w:bottom w:val="single" w:sz="4" w:space="0" w:color="auto"/>
              <w:right w:val="single" w:sz="4" w:space="0" w:color="auto"/>
            </w:tcBorders>
          </w:tcPr>
          <w:p w14:paraId="2BF91D5B" w14:textId="77777777" w:rsidR="00CD7DEB" w:rsidRDefault="00CD7DEB" w:rsidP="008B1C85">
            <w:pPr>
              <w:pStyle w:val="Tabletext"/>
            </w:pPr>
            <w:r>
              <w:t>Children</w:t>
            </w:r>
            <w:r>
              <w:rPr>
                <w:vertAlign w:val="superscript"/>
              </w:rPr>
              <w:t>a</w:t>
            </w:r>
          </w:p>
        </w:tc>
        <w:tc>
          <w:tcPr>
            <w:tcW w:w="970" w:type="dxa"/>
            <w:tcBorders>
              <w:left w:val="single" w:sz="4" w:space="0" w:color="auto"/>
              <w:bottom w:val="single" w:sz="4" w:space="0" w:color="auto"/>
              <w:right w:val="single" w:sz="4" w:space="0" w:color="auto"/>
            </w:tcBorders>
          </w:tcPr>
          <w:p w14:paraId="0EE808F9" w14:textId="77777777" w:rsidR="00CD7DEB" w:rsidRDefault="00E56D39" w:rsidP="00326F6E">
            <w:pPr>
              <w:pStyle w:val="Tabletext"/>
              <w:jc w:val="center"/>
            </w:pPr>
            <w:r>
              <w:t>N</w:t>
            </w:r>
            <w:r w:rsidR="00326F6E">
              <w:t>A</w:t>
            </w:r>
            <w:r>
              <w:t xml:space="preserve"> </w:t>
            </w:r>
          </w:p>
        </w:tc>
        <w:tc>
          <w:tcPr>
            <w:tcW w:w="1070" w:type="dxa"/>
            <w:tcBorders>
              <w:left w:val="single" w:sz="4" w:space="0" w:color="auto"/>
              <w:bottom w:val="single" w:sz="4" w:space="0" w:color="auto"/>
              <w:right w:val="single" w:sz="4" w:space="0" w:color="auto"/>
            </w:tcBorders>
          </w:tcPr>
          <w:p w14:paraId="76ACF4EC" w14:textId="77777777" w:rsidR="00CD7DEB" w:rsidRDefault="00E56D39" w:rsidP="00326F6E">
            <w:pPr>
              <w:pStyle w:val="Tabletext"/>
              <w:jc w:val="center"/>
            </w:pPr>
            <w:r>
              <w:t>N</w:t>
            </w:r>
            <w:r w:rsidR="00326F6E">
              <w:t>A</w:t>
            </w:r>
          </w:p>
        </w:tc>
        <w:tc>
          <w:tcPr>
            <w:tcW w:w="1261" w:type="dxa"/>
            <w:tcBorders>
              <w:left w:val="single" w:sz="4" w:space="0" w:color="auto"/>
              <w:bottom w:val="single" w:sz="4" w:space="0" w:color="auto"/>
              <w:right w:val="single" w:sz="4" w:space="0" w:color="auto"/>
            </w:tcBorders>
          </w:tcPr>
          <w:p w14:paraId="643CF1FA" w14:textId="77777777" w:rsidR="00CD7DEB" w:rsidRPr="006B6E93" w:rsidRDefault="00CD7DEB" w:rsidP="008B1C85">
            <w:pPr>
              <w:pStyle w:val="Tabletext"/>
              <w:jc w:val="center"/>
            </w:pPr>
            <w:r>
              <w:t>Yes</w:t>
            </w:r>
          </w:p>
        </w:tc>
        <w:tc>
          <w:tcPr>
            <w:tcW w:w="1320" w:type="dxa"/>
            <w:tcBorders>
              <w:left w:val="single" w:sz="4" w:space="0" w:color="auto"/>
              <w:bottom w:val="single" w:sz="4" w:space="0" w:color="auto"/>
              <w:right w:val="single" w:sz="4" w:space="0" w:color="auto"/>
            </w:tcBorders>
          </w:tcPr>
          <w:p w14:paraId="111BE18F" w14:textId="77777777" w:rsidR="00CD7DEB" w:rsidRPr="006B6E93" w:rsidRDefault="00E56D39" w:rsidP="00326F6E">
            <w:pPr>
              <w:pStyle w:val="Tabletext"/>
              <w:jc w:val="center"/>
            </w:pPr>
            <w:r>
              <w:t>N</w:t>
            </w:r>
            <w:r w:rsidR="00326F6E">
              <w:t>A</w:t>
            </w:r>
          </w:p>
        </w:tc>
        <w:tc>
          <w:tcPr>
            <w:tcW w:w="1238" w:type="dxa"/>
            <w:tcBorders>
              <w:left w:val="single" w:sz="4" w:space="0" w:color="auto"/>
              <w:bottom w:val="single" w:sz="4" w:space="0" w:color="auto"/>
              <w:right w:val="single" w:sz="4" w:space="0" w:color="auto"/>
            </w:tcBorders>
          </w:tcPr>
          <w:p w14:paraId="75A8E757" w14:textId="77777777" w:rsidR="00CD7DEB" w:rsidRPr="00CD7DEB" w:rsidRDefault="00CD7DEB" w:rsidP="0099709F">
            <w:pPr>
              <w:pStyle w:val="Tabletext"/>
            </w:pPr>
            <w:r w:rsidRPr="00CD7DEB">
              <w:t>Consensus</w:t>
            </w:r>
          </w:p>
        </w:tc>
      </w:tr>
      <w:tr w:rsidR="00E359E9" w:rsidRPr="006B6E93" w14:paraId="020AEF00" w14:textId="77777777" w:rsidTr="0099709F">
        <w:tc>
          <w:tcPr>
            <w:tcW w:w="867" w:type="dxa"/>
            <w:vMerge w:val="restart"/>
            <w:tcBorders>
              <w:top w:val="single" w:sz="4" w:space="0" w:color="auto"/>
              <w:left w:val="single" w:sz="4" w:space="0" w:color="auto"/>
              <w:right w:val="single" w:sz="4" w:space="0" w:color="auto"/>
            </w:tcBorders>
            <w:shd w:val="clear" w:color="auto" w:fill="FFFFFF" w:themeFill="background1"/>
          </w:tcPr>
          <w:p w14:paraId="3AAFE285" w14:textId="77777777" w:rsidR="00E359E9" w:rsidRPr="006B6E93" w:rsidRDefault="00E359E9" w:rsidP="00CD7DEB">
            <w:pPr>
              <w:pStyle w:val="Tabletext"/>
            </w:pPr>
            <w:r>
              <w:t>COPD</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tcPr>
          <w:p w14:paraId="0891E3CF" w14:textId="77777777" w:rsidR="00E359E9" w:rsidRPr="006B6E93" w:rsidRDefault="00E359E9" w:rsidP="008B1C85">
            <w:pPr>
              <w:pStyle w:val="Tabletext"/>
            </w:pPr>
            <w:r w:rsidRPr="006B6E93">
              <w:t>LFA/TSANZ (2015)</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14:paraId="5FDD275B" w14:textId="77777777" w:rsidR="00E359E9" w:rsidRPr="00C40B14" w:rsidRDefault="00E359E9" w:rsidP="008B1C85">
            <w:pPr>
              <w:pStyle w:val="Tabletext"/>
            </w:pPr>
            <w:r>
              <w:t>Adults</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14:paraId="423BBFE0" w14:textId="77777777" w:rsidR="00E359E9" w:rsidRPr="006B6E93" w:rsidRDefault="00E56D39" w:rsidP="00326F6E">
            <w:pPr>
              <w:pStyle w:val="Tabletext"/>
              <w:jc w:val="center"/>
            </w:pPr>
            <w:r>
              <w:t>N</w:t>
            </w:r>
            <w:r w:rsidR="00326F6E">
              <w:t>A</w:t>
            </w:r>
            <w:r w:rsidRPr="006B6E93">
              <w:t xml:space="preserve"> </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93CCAD9" w14:textId="77777777" w:rsidR="00E359E9" w:rsidRPr="006B6E93" w:rsidRDefault="00E56D39" w:rsidP="00326F6E">
            <w:pPr>
              <w:pStyle w:val="Tabletext"/>
              <w:jc w:val="center"/>
            </w:pPr>
            <w:r>
              <w:t>N</w:t>
            </w:r>
            <w:r w:rsidR="00326F6E">
              <w:t>A</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C3E8B78" w14:textId="77777777" w:rsidR="00E359E9" w:rsidRPr="006B6E93" w:rsidRDefault="00CD7DEB" w:rsidP="00CD7DEB">
            <w:pPr>
              <w:pStyle w:val="Tabletext"/>
              <w:jc w:val="center"/>
            </w:pPr>
            <w:r>
              <w:t>Yes</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67973FB" w14:textId="77777777" w:rsidR="00E359E9" w:rsidRPr="006B6E93" w:rsidRDefault="00E56D39" w:rsidP="00326F6E">
            <w:pPr>
              <w:pStyle w:val="Tabletext"/>
              <w:jc w:val="center"/>
            </w:pPr>
            <w:r>
              <w:t>N</w:t>
            </w:r>
            <w:r w:rsidR="00326F6E">
              <w:t>A</w:t>
            </w: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14:paraId="7C63218C" w14:textId="77777777" w:rsidR="00E359E9" w:rsidRPr="00CD7DEB" w:rsidRDefault="00E359E9" w:rsidP="0099709F">
            <w:pPr>
              <w:pStyle w:val="Tabletext"/>
            </w:pPr>
            <w:r w:rsidRPr="00CD7DEB">
              <w:t>Unclear</w:t>
            </w:r>
          </w:p>
        </w:tc>
      </w:tr>
      <w:tr w:rsidR="00E359E9" w:rsidRPr="006B6E93" w14:paraId="24CD1E11" w14:textId="77777777" w:rsidTr="0099709F">
        <w:tc>
          <w:tcPr>
            <w:tcW w:w="867" w:type="dxa"/>
            <w:vMerge/>
            <w:tcBorders>
              <w:left w:val="single" w:sz="4" w:space="0" w:color="auto"/>
              <w:right w:val="single" w:sz="4" w:space="0" w:color="auto"/>
            </w:tcBorders>
            <w:shd w:val="clear" w:color="auto" w:fill="FFFFFF" w:themeFill="background1"/>
          </w:tcPr>
          <w:p w14:paraId="787F7F48" w14:textId="77777777" w:rsidR="00E359E9" w:rsidRPr="006B6E93" w:rsidRDefault="00E359E9" w:rsidP="008B1C85">
            <w:pPr>
              <w:pStyle w:val="Tabletext"/>
            </w:pP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tcPr>
          <w:p w14:paraId="4E42D469" w14:textId="77777777" w:rsidR="00E359E9" w:rsidRPr="006B6E93" w:rsidRDefault="00E359E9" w:rsidP="008B1C85">
            <w:pPr>
              <w:pStyle w:val="Tabletext"/>
            </w:pPr>
            <w:r w:rsidRPr="006B6E93">
              <w:t>Abramson (2014)</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14:paraId="74DB963C" w14:textId="77777777" w:rsidR="00E359E9" w:rsidRPr="00C40B14" w:rsidRDefault="00E359E9" w:rsidP="008B1C85">
            <w:pPr>
              <w:pStyle w:val="Tabletext"/>
            </w:pPr>
            <w:r>
              <w:t>Adults</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14:paraId="271F70B0" w14:textId="77777777" w:rsidR="00E359E9" w:rsidRPr="006B6E93" w:rsidRDefault="00E56D39" w:rsidP="00326F6E">
            <w:pPr>
              <w:pStyle w:val="Tabletext"/>
              <w:jc w:val="center"/>
            </w:pPr>
            <w:r>
              <w:t>N</w:t>
            </w:r>
            <w:r w:rsidR="00326F6E">
              <w:t>A</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132" w14:textId="77777777" w:rsidR="00E359E9" w:rsidRPr="006B6E93" w:rsidRDefault="00E56D39" w:rsidP="00326F6E">
            <w:pPr>
              <w:pStyle w:val="Tabletext"/>
              <w:jc w:val="center"/>
            </w:pPr>
            <w:r>
              <w:t>N</w:t>
            </w:r>
            <w:r w:rsidR="00326F6E">
              <w:t>A</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4907362" w14:textId="77777777" w:rsidR="00E359E9" w:rsidRPr="00680C90" w:rsidRDefault="00CD7DEB" w:rsidP="008B1C85">
            <w:pPr>
              <w:pStyle w:val="Tabletext"/>
              <w:jc w:val="center"/>
              <w:rPr>
                <w:vertAlign w:val="superscript"/>
              </w:rPr>
            </w:pPr>
            <w:r>
              <w:t>Yes</w:t>
            </w:r>
            <w:r w:rsidR="00E359E9">
              <w:rPr>
                <w:vertAlign w:val="superscript"/>
              </w:rPr>
              <w:t>b</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4A75921" w14:textId="77777777" w:rsidR="00E359E9" w:rsidRPr="006B6E93" w:rsidRDefault="00E56D39" w:rsidP="00326F6E">
            <w:pPr>
              <w:pStyle w:val="Tabletext"/>
              <w:jc w:val="center"/>
            </w:pPr>
            <w:r>
              <w:t>N</w:t>
            </w:r>
            <w:r w:rsidR="00326F6E">
              <w:t>A</w:t>
            </w: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14:paraId="531341B8" w14:textId="77777777" w:rsidR="00E359E9" w:rsidRPr="00CD7DEB" w:rsidRDefault="00E3309F" w:rsidP="0099709F">
            <w:pPr>
              <w:pStyle w:val="Tabletext"/>
            </w:pPr>
            <w:r w:rsidRPr="00CD7DEB">
              <w:t>Evidence</w:t>
            </w:r>
            <w:r w:rsidRPr="00E3309F">
              <w:rPr>
                <w:vertAlign w:val="superscript"/>
              </w:rPr>
              <w:t>c</w:t>
            </w:r>
          </w:p>
        </w:tc>
      </w:tr>
      <w:tr w:rsidR="00E359E9" w:rsidRPr="002A50CB" w14:paraId="1D5EF898" w14:textId="77777777" w:rsidTr="0099709F">
        <w:tc>
          <w:tcPr>
            <w:tcW w:w="867" w:type="dxa"/>
            <w:vMerge/>
            <w:tcBorders>
              <w:left w:val="single" w:sz="4" w:space="0" w:color="auto"/>
              <w:right w:val="single" w:sz="4" w:space="0" w:color="auto"/>
            </w:tcBorders>
          </w:tcPr>
          <w:p w14:paraId="6C072D11" w14:textId="77777777" w:rsidR="00E359E9" w:rsidRDefault="00E359E9" w:rsidP="008B1C85">
            <w:pPr>
              <w:pStyle w:val="Tabletext"/>
            </w:pPr>
          </w:p>
        </w:tc>
        <w:tc>
          <w:tcPr>
            <w:tcW w:w="1069" w:type="dxa"/>
            <w:tcBorders>
              <w:top w:val="single" w:sz="4" w:space="0" w:color="auto"/>
              <w:left w:val="single" w:sz="4" w:space="0" w:color="auto"/>
              <w:bottom w:val="single" w:sz="4" w:space="0" w:color="auto"/>
              <w:right w:val="single" w:sz="4" w:space="0" w:color="auto"/>
            </w:tcBorders>
          </w:tcPr>
          <w:p w14:paraId="6A58DC89" w14:textId="77777777" w:rsidR="00E359E9" w:rsidRPr="006B6E93" w:rsidRDefault="00E359E9" w:rsidP="008B1C85">
            <w:pPr>
              <w:pStyle w:val="Tabletext"/>
            </w:pPr>
            <w:r>
              <w:t>GOLD (2016)</w:t>
            </w:r>
          </w:p>
        </w:tc>
        <w:tc>
          <w:tcPr>
            <w:tcW w:w="1019" w:type="dxa"/>
            <w:tcBorders>
              <w:top w:val="single" w:sz="4" w:space="0" w:color="auto"/>
              <w:left w:val="single" w:sz="4" w:space="0" w:color="auto"/>
              <w:bottom w:val="single" w:sz="4" w:space="0" w:color="auto"/>
              <w:right w:val="single" w:sz="4" w:space="0" w:color="auto"/>
            </w:tcBorders>
          </w:tcPr>
          <w:p w14:paraId="6E115B3E" w14:textId="77777777" w:rsidR="00E359E9" w:rsidRPr="00C40B14" w:rsidRDefault="00E359E9" w:rsidP="008B1C85">
            <w:pPr>
              <w:pStyle w:val="Tabletext"/>
            </w:pPr>
            <w:r>
              <w:t>Adults</w:t>
            </w:r>
          </w:p>
        </w:tc>
        <w:tc>
          <w:tcPr>
            <w:tcW w:w="970" w:type="dxa"/>
            <w:tcBorders>
              <w:top w:val="single" w:sz="4" w:space="0" w:color="auto"/>
              <w:left w:val="single" w:sz="4" w:space="0" w:color="auto"/>
              <w:bottom w:val="single" w:sz="4" w:space="0" w:color="auto"/>
              <w:right w:val="single" w:sz="4" w:space="0" w:color="auto"/>
            </w:tcBorders>
          </w:tcPr>
          <w:p w14:paraId="2AE653CF" w14:textId="77777777" w:rsidR="00E359E9" w:rsidRPr="006B6E93" w:rsidRDefault="00E56D39" w:rsidP="00326F6E">
            <w:pPr>
              <w:pStyle w:val="Tabletext"/>
              <w:jc w:val="center"/>
            </w:pPr>
            <w:r>
              <w:t>N</w:t>
            </w:r>
            <w:r w:rsidR="00326F6E">
              <w:t>A</w:t>
            </w:r>
          </w:p>
        </w:tc>
        <w:tc>
          <w:tcPr>
            <w:tcW w:w="1070" w:type="dxa"/>
            <w:tcBorders>
              <w:top w:val="single" w:sz="4" w:space="0" w:color="auto"/>
              <w:left w:val="single" w:sz="4" w:space="0" w:color="auto"/>
              <w:bottom w:val="single" w:sz="4" w:space="0" w:color="auto"/>
              <w:right w:val="single" w:sz="4" w:space="0" w:color="auto"/>
            </w:tcBorders>
          </w:tcPr>
          <w:p w14:paraId="6129F075" w14:textId="77777777" w:rsidR="00E359E9" w:rsidRPr="006B6E93" w:rsidRDefault="00CD7DEB" w:rsidP="008B1C85">
            <w:pPr>
              <w:pStyle w:val="Tabletext"/>
              <w:jc w:val="center"/>
            </w:pPr>
            <w:r>
              <w:t>Yes</w:t>
            </w:r>
          </w:p>
        </w:tc>
        <w:tc>
          <w:tcPr>
            <w:tcW w:w="1261" w:type="dxa"/>
            <w:tcBorders>
              <w:top w:val="single" w:sz="4" w:space="0" w:color="auto"/>
              <w:left w:val="single" w:sz="4" w:space="0" w:color="auto"/>
              <w:bottom w:val="single" w:sz="4" w:space="0" w:color="auto"/>
              <w:right w:val="single" w:sz="4" w:space="0" w:color="auto"/>
            </w:tcBorders>
          </w:tcPr>
          <w:p w14:paraId="20FAA48D" w14:textId="77777777" w:rsidR="00E359E9" w:rsidRPr="006B6E93" w:rsidRDefault="00E56D39" w:rsidP="00326F6E">
            <w:pPr>
              <w:pStyle w:val="Tabletext"/>
              <w:jc w:val="center"/>
            </w:pPr>
            <w:r>
              <w:t>N</w:t>
            </w:r>
            <w:r w:rsidR="00326F6E">
              <w:t>A</w:t>
            </w:r>
          </w:p>
        </w:tc>
        <w:tc>
          <w:tcPr>
            <w:tcW w:w="1320" w:type="dxa"/>
            <w:tcBorders>
              <w:top w:val="single" w:sz="4" w:space="0" w:color="auto"/>
              <w:left w:val="single" w:sz="4" w:space="0" w:color="auto"/>
              <w:bottom w:val="single" w:sz="4" w:space="0" w:color="auto"/>
              <w:right w:val="single" w:sz="4" w:space="0" w:color="auto"/>
            </w:tcBorders>
          </w:tcPr>
          <w:p w14:paraId="4A878C37" w14:textId="77777777" w:rsidR="00E359E9" w:rsidRPr="006B6E93" w:rsidRDefault="00E56D39" w:rsidP="00326F6E">
            <w:pPr>
              <w:pStyle w:val="Tabletext"/>
              <w:jc w:val="center"/>
            </w:pPr>
            <w:r>
              <w:t>N</w:t>
            </w:r>
            <w:r w:rsidR="00326F6E">
              <w:t>A</w:t>
            </w:r>
          </w:p>
        </w:tc>
        <w:tc>
          <w:tcPr>
            <w:tcW w:w="1238" w:type="dxa"/>
            <w:tcBorders>
              <w:top w:val="single" w:sz="4" w:space="0" w:color="auto"/>
              <w:left w:val="single" w:sz="4" w:space="0" w:color="auto"/>
              <w:bottom w:val="single" w:sz="4" w:space="0" w:color="auto"/>
              <w:right w:val="single" w:sz="4" w:space="0" w:color="auto"/>
            </w:tcBorders>
          </w:tcPr>
          <w:p w14:paraId="4D1AEF66" w14:textId="77777777" w:rsidR="00E359E9" w:rsidRPr="00CD7DEB" w:rsidRDefault="00E359E9" w:rsidP="0099709F">
            <w:pPr>
              <w:pStyle w:val="Tabletext"/>
            </w:pPr>
            <w:r w:rsidRPr="00CD7DEB">
              <w:t>Unclear</w:t>
            </w:r>
          </w:p>
        </w:tc>
      </w:tr>
      <w:tr w:rsidR="00E359E9" w:rsidRPr="006B6E93" w14:paraId="729CF5F9" w14:textId="77777777" w:rsidTr="002476AE">
        <w:tc>
          <w:tcPr>
            <w:tcW w:w="867" w:type="dxa"/>
            <w:vMerge/>
            <w:tcBorders>
              <w:left w:val="single" w:sz="4" w:space="0" w:color="auto"/>
              <w:right w:val="single" w:sz="4" w:space="0" w:color="auto"/>
            </w:tcBorders>
            <w:shd w:val="clear" w:color="auto" w:fill="DBE5F1" w:themeFill="accent1" w:themeFillTint="33"/>
          </w:tcPr>
          <w:p w14:paraId="5F739F35" w14:textId="77777777" w:rsidR="00E359E9" w:rsidRDefault="00E359E9" w:rsidP="008B1C85">
            <w:pPr>
              <w:pStyle w:val="Tabletext"/>
            </w:pP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tcPr>
          <w:p w14:paraId="71AF92BC" w14:textId="77777777" w:rsidR="00E359E9" w:rsidRPr="006B6E93" w:rsidRDefault="00E359E9" w:rsidP="008B1C85">
            <w:pPr>
              <w:pStyle w:val="Tabletext"/>
            </w:pPr>
            <w:r>
              <w:t>VA/DoD</w:t>
            </w:r>
            <w:r w:rsidRPr="006B6E93">
              <w:t xml:space="preserve"> (2014)</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14:paraId="779D385F" w14:textId="77777777" w:rsidR="00E359E9" w:rsidRPr="00C40B14" w:rsidRDefault="00E359E9" w:rsidP="008B1C85">
            <w:pPr>
              <w:pStyle w:val="Tabletext"/>
            </w:pPr>
            <w:r>
              <w:t>Adults</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14:paraId="65887AF0" w14:textId="77777777" w:rsidR="00E359E9" w:rsidRPr="006B6E93" w:rsidRDefault="00E56D39" w:rsidP="00326F6E">
            <w:pPr>
              <w:pStyle w:val="Tabletext"/>
              <w:jc w:val="center"/>
            </w:pPr>
            <w:r>
              <w:t>N</w:t>
            </w:r>
            <w:r w:rsidR="00326F6E">
              <w:t>A</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tcPr>
          <w:p w14:paraId="3FE12EB7" w14:textId="77777777" w:rsidR="00E359E9" w:rsidRPr="006B6E93" w:rsidRDefault="00CD7DEB" w:rsidP="008B1C85">
            <w:pPr>
              <w:pStyle w:val="Tabletext"/>
              <w:jc w:val="center"/>
            </w:pPr>
            <w:r>
              <w:t>Yes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CCA010A" w14:textId="77777777" w:rsidR="00E359E9" w:rsidRPr="006B6E93" w:rsidRDefault="00E56D39" w:rsidP="00326F6E">
            <w:pPr>
              <w:pStyle w:val="Tabletext"/>
              <w:jc w:val="center"/>
            </w:pPr>
            <w:r>
              <w:t>N</w:t>
            </w:r>
            <w:r w:rsidR="00326F6E">
              <w:t>A</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C96BF51" w14:textId="77777777" w:rsidR="00E359E9" w:rsidRPr="006B6E93" w:rsidRDefault="00E56D39" w:rsidP="00326F6E">
            <w:pPr>
              <w:pStyle w:val="Tabletext"/>
              <w:jc w:val="center"/>
            </w:pPr>
            <w:r>
              <w:t>N</w:t>
            </w:r>
            <w:r w:rsidR="00326F6E">
              <w:t>A</w:t>
            </w: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14:paraId="2E36425F" w14:textId="77777777" w:rsidR="00E359E9" w:rsidRPr="00CD7DEB" w:rsidRDefault="00E359E9" w:rsidP="0099709F">
            <w:pPr>
              <w:pStyle w:val="Tabletext"/>
            </w:pPr>
            <w:r w:rsidRPr="00CD7DEB">
              <w:t>Evidence</w:t>
            </w:r>
          </w:p>
        </w:tc>
      </w:tr>
      <w:tr w:rsidR="00E359E9" w:rsidRPr="006B6E93" w14:paraId="3669E17F" w14:textId="77777777" w:rsidTr="0099709F">
        <w:tc>
          <w:tcPr>
            <w:tcW w:w="867" w:type="dxa"/>
            <w:vMerge/>
            <w:tcBorders>
              <w:left w:val="single" w:sz="4" w:space="0" w:color="auto"/>
              <w:right w:val="single" w:sz="4" w:space="0" w:color="auto"/>
            </w:tcBorders>
          </w:tcPr>
          <w:p w14:paraId="0A954BE5" w14:textId="77777777" w:rsidR="00E359E9" w:rsidRPr="006B6E93" w:rsidRDefault="00E359E9" w:rsidP="008B1C85">
            <w:pPr>
              <w:pStyle w:val="Tabletext"/>
            </w:pPr>
          </w:p>
        </w:tc>
        <w:tc>
          <w:tcPr>
            <w:tcW w:w="1069" w:type="dxa"/>
            <w:tcBorders>
              <w:top w:val="single" w:sz="4" w:space="0" w:color="auto"/>
              <w:left w:val="single" w:sz="4" w:space="0" w:color="auto"/>
              <w:bottom w:val="single" w:sz="4" w:space="0" w:color="auto"/>
              <w:right w:val="single" w:sz="4" w:space="0" w:color="auto"/>
            </w:tcBorders>
          </w:tcPr>
          <w:p w14:paraId="1C8D3C2D" w14:textId="77777777" w:rsidR="00E359E9" w:rsidRPr="006B6E93" w:rsidRDefault="00E359E9" w:rsidP="008B1C85">
            <w:pPr>
              <w:pStyle w:val="Tabletext"/>
            </w:pPr>
            <w:r w:rsidRPr="006B6E93">
              <w:t>Qaseem (2011)</w:t>
            </w:r>
          </w:p>
        </w:tc>
        <w:tc>
          <w:tcPr>
            <w:tcW w:w="1019" w:type="dxa"/>
            <w:tcBorders>
              <w:top w:val="single" w:sz="4" w:space="0" w:color="auto"/>
              <w:left w:val="single" w:sz="4" w:space="0" w:color="auto"/>
              <w:bottom w:val="single" w:sz="4" w:space="0" w:color="auto"/>
              <w:right w:val="single" w:sz="4" w:space="0" w:color="auto"/>
            </w:tcBorders>
          </w:tcPr>
          <w:p w14:paraId="714A55B9" w14:textId="77777777" w:rsidR="00E359E9" w:rsidRPr="00C40B14" w:rsidRDefault="00E359E9" w:rsidP="008B1C85">
            <w:pPr>
              <w:pStyle w:val="Tabletext"/>
            </w:pPr>
            <w:r>
              <w:t>Adults</w:t>
            </w:r>
          </w:p>
        </w:tc>
        <w:tc>
          <w:tcPr>
            <w:tcW w:w="970" w:type="dxa"/>
            <w:tcBorders>
              <w:top w:val="single" w:sz="4" w:space="0" w:color="auto"/>
              <w:left w:val="single" w:sz="4" w:space="0" w:color="auto"/>
              <w:bottom w:val="single" w:sz="4" w:space="0" w:color="auto"/>
              <w:right w:val="single" w:sz="4" w:space="0" w:color="auto"/>
            </w:tcBorders>
          </w:tcPr>
          <w:p w14:paraId="4BC79012" w14:textId="77777777" w:rsidR="00E359E9" w:rsidRPr="006B6E93" w:rsidRDefault="00E56D39" w:rsidP="00326F6E">
            <w:pPr>
              <w:pStyle w:val="Tabletext"/>
              <w:jc w:val="center"/>
            </w:pPr>
            <w:r>
              <w:t>N</w:t>
            </w:r>
            <w:r w:rsidR="00326F6E">
              <w:t>A</w:t>
            </w:r>
          </w:p>
        </w:tc>
        <w:tc>
          <w:tcPr>
            <w:tcW w:w="1070" w:type="dxa"/>
            <w:tcBorders>
              <w:top w:val="single" w:sz="4" w:space="0" w:color="auto"/>
              <w:left w:val="single" w:sz="4" w:space="0" w:color="auto"/>
              <w:bottom w:val="single" w:sz="4" w:space="0" w:color="auto"/>
              <w:right w:val="single" w:sz="4" w:space="0" w:color="auto"/>
            </w:tcBorders>
          </w:tcPr>
          <w:p w14:paraId="41EED1BD" w14:textId="77777777" w:rsidR="00E359E9" w:rsidRPr="006B6E93" w:rsidRDefault="002476AE" w:rsidP="00326F6E">
            <w:pPr>
              <w:pStyle w:val="Tabletext"/>
              <w:jc w:val="center"/>
            </w:pPr>
            <w:r>
              <w:t>N</w:t>
            </w:r>
            <w:r w:rsidR="00326F6E">
              <w:t>A</w:t>
            </w:r>
          </w:p>
        </w:tc>
        <w:tc>
          <w:tcPr>
            <w:tcW w:w="1261" w:type="dxa"/>
            <w:tcBorders>
              <w:top w:val="single" w:sz="4" w:space="0" w:color="auto"/>
              <w:left w:val="single" w:sz="4" w:space="0" w:color="auto"/>
              <w:bottom w:val="single" w:sz="4" w:space="0" w:color="auto"/>
              <w:right w:val="single" w:sz="4" w:space="0" w:color="auto"/>
            </w:tcBorders>
          </w:tcPr>
          <w:p w14:paraId="01F11947" w14:textId="77777777" w:rsidR="00E359E9" w:rsidRPr="006B6E93" w:rsidRDefault="00E56D39" w:rsidP="00326F6E">
            <w:pPr>
              <w:pStyle w:val="Tabletext"/>
              <w:jc w:val="center"/>
            </w:pPr>
            <w:r>
              <w:t>N</w:t>
            </w:r>
            <w:r w:rsidR="00326F6E">
              <w:t>A</w:t>
            </w:r>
          </w:p>
        </w:tc>
        <w:tc>
          <w:tcPr>
            <w:tcW w:w="1320" w:type="dxa"/>
            <w:tcBorders>
              <w:top w:val="single" w:sz="4" w:space="0" w:color="auto"/>
              <w:left w:val="single" w:sz="4" w:space="0" w:color="auto"/>
              <w:bottom w:val="single" w:sz="4" w:space="0" w:color="auto"/>
              <w:right w:val="single" w:sz="4" w:space="0" w:color="auto"/>
            </w:tcBorders>
          </w:tcPr>
          <w:p w14:paraId="19637590" w14:textId="77777777" w:rsidR="00E359E9" w:rsidRPr="006B6E93" w:rsidRDefault="00CD7DEB" w:rsidP="008B1C85">
            <w:pPr>
              <w:pStyle w:val="Tabletext"/>
              <w:jc w:val="center"/>
            </w:pPr>
            <w:r>
              <w:t>Yes</w:t>
            </w:r>
          </w:p>
        </w:tc>
        <w:tc>
          <w:tcPr>
            <w:tcW w:w="1238" w:type="dxa"/>
            <w:tcBorders>
              <w:top w:val="single" w:sz="4" w:space="0" w:color="auto"/>
              <w:left w:val="single" w:sz="4" w:space="0" w:color="auto"/>
              <w:bottom w:val="single" w:sz="4" w:space="0" w:color="auto"/>
              <w:right w:val="single" w:sz="4" w:space="0" w:color="auto"/>
            </w:tcBorders>
          </w:tcPr>
          <w:p w14:paraId="17A1D4B5" w14:textId="77777777" w:rsidR="00E359E9" w:rsidRPr="00CD7DEB" w:rsidRDefault="00E359E9" w:rsidP="0099709F">
            <w:pPr>
              <w:pStyle w:val="Tabletext"/>
            </w:pPr>
            <w:r w:rsidRPr="00CD7DEB">
              <w:t>Evidence</w:t>
            </w:r>
          </w:p>
        </w:tc>
      </w:tr>
      <w:tr w:rsidR="00E359E9" w:rsidRPr="006B6E93" w14:paraId="4DAD8E6A" w14:textId="77777777" w:rsidTr="002476AE">
        <w:tc>
          <w:tcPr>
            <w:tcW w:w="867" w:type="dxa"/>
            <w:vMerge/>
            <w:tcBorders>
              <w:left w:val="single" w:sz="4" w:space="0" w:color="auto"/>
              <w:bottom w:val="single" w:sz="4" w:space="0" w:color="auto"/>
              <w:right w:val="single" w:sz="4" w:space="0" w:color="auto"/>
            </w:tcBorders>
            <w:shd w:val="clear" w:color="auto" w:fill="DBE5F1" w:themeFill="accent1" w:themeFillTint="33"/>
          </w:tcPr>
          <w:p w14:paraId="16FC9264" w14:textId="77777777" w:rsidR="00E359E9" w:rsidRPr="006B6E93" w:rsidRDefault="00E359E9" w:rsidP="008B1C85">
            <w:pPr>
              <w:pStyle w:val="Tabletext"/>
            </w:pP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tcPr>
          <w:p w14:paraId="7288C437" w14:textId="77777777" w:rsidR="00E359E9" w:rsidRPr="006B6E93" w:rsidRDefault="00E359E9" w:rsidP="008B1C85">
            <w:pPr>
              <w:pStyle w:val="Tabletext"/>
            </w:pPr>
            <w:r w:rsidRPr="006B6E93">
              <w:t>NCGC (2010)</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14:paraId="03DC7389" w14:textId="77777777" w:rsidR="00E359E9" w:rsidRPr="00C40B14" w:rsidRDefault="00E359E9" w:rsidP="008B1C85">
            <w:pPr>
              <w:pStyle w:val="Tabletext"/>
            </w:pPr>
            <w:r>
              <w:t>Adults</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14:paraId="3B49047E" w14:textId="77777777" w:rsidR="00E359E9" w:rsidRPr="006B6E93" w:rsidRDefault="00E56D39" w:rsidP="00326F6E">
            <w:pPr>
              <w:pStyle w:val="Tabletext"/>
              <w:jc w:val="center"/>
            </w:pPr>
            <w:r>
              <w:t>N</w:t>
            </w:r>
            <w:r w:rsidR="00326F6E">
              <w:t>A</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tcPr>
          <w:p w14:paraId="7B3E38AD" w14:textId="77777777" w:rsidR="00E359E9" w:rsidRPr="003B7725" w:rsidRDefault="00CD7DEB" w:rsidP="008B1C85">
            <w:pPr>
              <w:pStyle w:val="Tabletext"/>
              <w:jc w:val="center"/>
              <w:rPr>
                <w:vertAlign w:val="superscript"/>
              </w:rPr>
            </w:pPr>
            <w:r>
              <w:t>Yes</w:t>
            </w:r>
            <w:r w:rsidR="00E359E9">
              <w:rPr>
                <w:vertAlign w:val="superscript"/>
              </w:rPr>
              <w:t>d</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D113C10" w14:textId="77777777" w:rsidR="00E359E9" w:rsidRPr="006B6E93" w:rsidRDefault="00E56D39" w:rsidP="00326F6E">
            <w:pPr>
              <w:pStyle w:val="Tabletext"/>
              <w:jc w:val="center"/>
            </w:pPr>
            <w:r>
              <w:t>N</w:t>
            </w:r>
            <w:r w:rsidR="00326F6E">
              <w:t>A</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939E4FD" w14:textId="77777777" w:rsidR="00E359E9" w:rsidRPr="006B6E93" w:rsidRDefault="00E56D39" w:rsidP="00326F6E">
            <w:pPr>
              <w:pStyle w:val="Tabletext"/>
              <w:jc w:val="center"/>
            </w:pPr>
            <w:r>
              <w:t>N</w:t>
            </w:r>
            <w:r w:rsidR="00326F6E">
              <w:t>A</w:t>
            </w: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14:paraId="7D129A12" w14:textId="77777777" w:rsidR="00E359E9" w:rsidRPr="00CD7DEB" w:rsidRDefault="00E359E9" w:rsidP="0099709F">
            <w:pPr>
              <w:pStyle w:val="Tabletext"/>
            </w:pPr>
            <w:r w:rsidRPr="00CD7DEB">
              <w:t>Evidence</w:t>
            </w:r>
          </w:p>
        </w:tc>
      </w:tr>
      <w:tr w:rsidR="00E359E9" w:rsidRPr="006B6E93" w14:paraId="042FC5C8" w14:textId="77777777" w:rsidTr="0099709F">
        <w:tc>
          <w:tcPr>
            <w:tcW w:w="867" w:type="dxa"/>
            <w:vMerge w:val="restart"/>
            <w:tcBorders>
              <w:top w:val="single" w:sz="4" w:space="0" w:color="auto"/>
              <w:left w:val="single" w:sz="4" w:space="0" w:color="auto"/>
              <w:right w:val="single" w:sz="4" w:space="0" w:color="auto"/>
            </w:tcBorders>
            <w:shd w:val="clear" w:color="auto" w:fill="FFFFFF" w:themeFill="background1"/>
          </w:tcPr>
          <w:p w14:paraId="163D4550" w14:textId="77777777" w:rsidR="00E359E9" w:rsidRDefault="00E359E9" w:rsidP="00CD7DEB">
            <w:pPr>
              <w:pStyle w:val="Tabletext"/>
            </w:pPr>
            <w:r>
              <w:t>ACOS</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tcPr>
          <w:p w14:paraId="4798C882" w14:textId="77777777" w:rsidR="00E359E9" w:rsidRPr="006B6E93" w:rsidRDefault="00E359E9" w:rsidP="008B1C85">
            <w:pPr>
              <w:pStyle w:val="Tabletext"/>
            </w:pPr>
            <w:r>
              <w:t>NAC (2015)</w:t>
            </w: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14:paraId="4B50F0C7" w14:textId="77777777" w:rsidR="00E359E9" w:rsidRDefault="00E359E9" w:rsidP="008B1C85">
            <w:pPr>
              <w:pStyle w:val="Tabletext"/>
            </w:pPr>
            <w:r>
              <w:t>Adults</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B31DC0E" w14:textId="77777777" w:rsidR="00E359E9" w:rsidRPr="006B6E93" w:rsidRDefault="00E56D39" w:rsidP="00326F6E">
            <w:pPr>
              <w:pStyle w:val="Tabletext"/>
              <w:jc w:val="center"/>
            </w:pPr>
            <w:r>
              <w:t>N</w:t>
            </w:r>
            <w:r w:rsidR="00326F6E">
              <w:t>A</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tcPr>
          <w:p w14:paraId="42D3F627" w14:textId="77777777" w:rsidR="00E359E9" w:rsidRPr="006B6E93" w:rsidRDefault="00E56D39" w:rsidP="00326F6E">
            <w:pPr>
              <w:pStyle w:val="Tabletext"/>
              <w:jc w:val="center"/>
            </w:pPr>
            <w:r>
              <w:t>N</w:t>
            </w:r>
            <w:r w:rsidR="00326F6E">
              <w:t>A</w:t>
            </w:r>
            <w:r>
              <w:t xml:space="preserve"> </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89713C1" w14:textId="77777777" w:rsidR="00E359E9" w:rsidRDefault="00CD7DEB" w:rsidP="008B1C85">
            <w:pPr>
              <w:pStyle w:val="Tabletext"/>
              <w:jc w:val="center"/>
            </w:pPr>
            <w:r>
              <w:t>Yes</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6DDA7EF" w14:textId="77777777" w:rsidR="00E359E9" w:rsidRPr="006B6E93" w:rsidRDefault="00E56D39" w:rsidP="00326F6E">
            <w:pPr>
              <w:pStyle w:val="Tabletext"/>
              <w:jc w:val="center"/>
            </w:pPr>
            <w:r>
              <w:t>N</w:t>
            </w:r>
            <w:r w:rsidR="00326F6E">
              <w:t>A</w:t>
            </w: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tcPr>
          <w:p w14:paraId="708046FA" w14:textId="77777777" w:rsidR="00E359E9" w:rsidRPr="00CD7DEB" w:rsidRDefault="00E359E9" w:rsidP="0099709F">
            <w:pPr>
              <w:pStyle w:val="Tabletext"/>
            </w:pPr>
            <w:r w:rsidRPr="00CD7DEB">
              <w:t>Consensus</w:t>
            </w:r>
          </w:p>
        </w:tc>
      </w:tr>
      <w:tr w:rsidR="00E359E9" w:rsidRPr="006B6E93" w14:paraId="62F071F4" w14:textId="77777777" w:rsidTr="0099709F">
        <w:tc>
          <w:tcPr>
            <w:tcW w:w="867" w:type="dxa"/>
            <w:vMerge/>
            <w:tcBorders>
              <w:left w:val="single" w:sz="4" w:space="0" w:color="auto"/>
              <w:bottom w:val="single" w:sz="4" w:space="0" w:color="auto"/>
              <w:right w:val="single" w:sz="4" w:space="0" w:color="auto"/>
            </w:tcBorders>
          </w:tcPr>
          <w:p w14:paraId="37C33EEE" w14:textId="77777777" w:rsidR="00E359E9" w:rsidRDefault="00E359E9" w:rsidP="008B1C85">
            <w:pPr>
              <w:pStyle w:val="Tabletext"/>
            </w:pPr>
          </w:p>
        </w:tc>
        <w:tc>
          <w:tcPr>
            <w:tcW w:w="1069" w:type="dxa"/>
            <w:tcBorders>
              <w:top w:val="single" w:sz="4" w:space="0" w:color="auto"/>
              <w:left w:val="single" w:sz="4" w:space="0" w:color="auto"/>
              <w:bottom w:val="single" w:sz="4" w:space="0" w:color="auto"/>
              <w:right w:val="single" w:sz="4" w:space="0" w:color="auto"/>
            </w:tcBorders>
          </w:tcPr>
          <w:p w14:paraId="58520FEB" w14:textId="77777777" w:rsidR="00E359E9" w:rsidRPr="006B6E93" w:rsidRDefault="00E359E9" w:rsidP="008B1C85">
            <w:pPr>
              <w:pStyle w:val="Tabletext"/>
            </w:pPr>
            <w:r>
              <w:t>GINA (2015) / GOLD (2016)</w:t>
            </w:r>
          </w:p>
        </w:tc>
        <w:tc>
          <w:tcPr>
            <w:tcW w:w="1019" w:type="dxa"/>
            <w:tcBorders>
              <w:top w:val="single" w:sz="4" w:space="0" w:color="auto"/>
              <w:left w:val="single" w:sz="4" w:space="0" w:color="auto"/>
              <w:bottom w:val="single" w:sz="4" w:space="0" w:color="auto"/>
              <w:right w:val="single" w:sz="4" w:space="0" w:color="auto"/>
            </w:tcBorders>
          </w:tcPr>
          <w:p w14:paraId="5F3993F2" w14:textId="77777777" w:rsidR="00E359E9" w:rsidRDefault="00E359E9" w:rsidP="008B1C85">
            <w:pPr>
              <w:pStyle w:val="Tabletext"/>
            </w:pPr>
            <w:r>
              <w:t>Adults</w:t>
            </w:r>
          </w:p>
        </w:tc>
        <w:tc>
          <w:tcPr>
            <w:tcW w:w="970" w:type="dxa"/>
            <w:tcBorders>
              <w:top w:val="single" w:sz="4" w:space="0" w:color="auto"/>
              <w:left w:val="single" w:sz="4" w:space="0" w:color="auto"/>
              <w:bottom w:val="single" w:sz="4" w:space="0" w:color="auto"/>
              <w:right w:val="single" w:sz="4" w:space="0" w:color="auto"/>
            </w:tcBorders>
          </w:tcPr>
          <w:p w14:paraId="3EED8222" w14:textId="77777777" w:rsidR="00E359E9" w:rsidRPr="006B6E93" w:rsidRDefault="00E56D39" w:rsidP="00326F6E">
            <w:pPr>
              <w:pStyle w:val="Tabletext"/>
              <w:jc w:val="center"/>
            </w:pPr>
            <w:r>
              <w:t>N</w:t>
            </w:r>
            <w:r w:rsidR="00326F6E">
              <w:t>A</w:t>
            </w:r>
          </w:p>
        </w:tc>
        <w:tc>
          <w:tcPr>
            <w:tcW w:w="1070" w:type="dxa"/>
            <w:tcBorders>
              <w:top w:val="single" w:sz="4" w:space="0" w:color="auto"/>
              <w:left w:val="single" w:sz="4" w:space="0" w:color="auto"/>
              <w:bottom w:val="single" w:sz="4" w:space="0" w:color="auto"/>
              <w:right w:val="single" w:sz="4" w:space="0" w:color="auto"/>
            </w:tcBorders>
          </w:tcPr>
          <w:p w14:paraId="38A61650" w14:textId="77777777" w:rsidR="00E359E9" w:rsidRPr="006B6E93" w:rsidRDefault="00E56D39" w:rsidP="00326F6E">
            <w:pPr>
              <w:pStyle w:val="Tabletext"/>
              <w:jc w:val="center"/>
            </w:pPr>
            <w:r>
              <w:t>N</w:t>
            </w:r>
            <w:r w:rsidR="00326F6E">
              <w:t>A</w:t>
            </w:r>
          </w:p>
        </w:tc>
        <w:tc>
          <w:tcPr>
            <w:tcW w:w="1261" w:type="dxa"/>
            <w:tcBorders>
              <w:top w:val="single" w:sz="4" w:space="0" w:color="auto"/>
              <w:left w:val="single" w:sz="4" w:space="0" w:color="auto"/>
              <w:bottom w:val="single" w:sz="4" w:space="0" w:color="auto"/>
              <w:right w:val="single" w:sz="4" w:space="0" w:color="auto"/>
            </w:tcBorders>
          </w:tcPr>
          <w:p w14:paraId="56B2CB3C" w14:textId="77777777" w:rsidR="00E359E9" w:rsidRDefault="00CD7DEB" w:rsidP="008B1C85">
            <w:pPr>
              <w:pStyle w:val="Tabletext"/>
              <w:jc w:val="center"/>
            </w:pPr>
            <w:r>
              <w:t>Yes</w:t>
            </w:r>
          </w:p>
        </w:tc>
        <w:tc>
          <w:tcPr>
            <w:tcW w:w="1320" w:type="dxa"/>
            <w:tcBorders>
              <w:top w:val="single" w:sz="4" w:space="0" w:color="auto"/>
              <w:left w:val="single" w:sz="4" w:space="0" w:color="auto"/>
              <w:bottom w:val="single" w:sz="4" w:space="0" w:color="auto"/>
              <w:right w:val="single" w:sz="4" w:space="0" w:color="auto"/>
            </w:tcBorders>
          </w:tcPr>
          <w:p w14:paraId="242BA446" w14:textId="77777777" w:rsidR="00E359E9" w:rsidRPr="006B6E93" w:rsidRDefault="00E56D39" w:rsidP="00326F6E">
            <w:pPr>
              <w:pStyle w:val="Tabletext"/>
              <w:jc w:val="center"/>
            </w:pPr>
            <w:r>
              <w:t>N</w:t>
            </w:r>
            <w:r w:rsidR="00326F6E">
              <w:t>A</w:t>
            </w:r>
          </w:p>
        </w:tc>
        <w:tc>
          <w:tcPr>
            <w:tcW w:w="1238" w:type="dxa"/>
            <w:tcBorders>
              <w:top w:val="single" w:sz="4" w:space="0" w:color="auto"/>
              <w:left w:val="single" w:sz="4" w:space="0" w:color="auto"/>
              <w:bottom w:val="single" w:sz="4" w:space="0" w:color="auto"/>
              <w:right w:val="single" w:sz="4" w:space="0" w:color="auto"/>
            </w:tcBorders>
          </w:tcPr>
          <w:p w14:paraId="3949E55A" w14:textId="77777777" w:rsidR="00E359E9" w:rsidRPr="00CD7DEB" w:rsidRDefault="00E359E9" w:rsidP="0099709F">
            <w:pPr>
              <w:pStyle w:val="Tabletext"/>
            </w:pPr>
            <w:r w:rsidRPr="00CD7DEB">
              <w:t>Unclear</w:t>
            </w:r>
          </w:p>
        </w:tc>
      </w:tr>
    </w:tbl>
    <w:p w14:paraId="3D5089B0" w14:textId="77777777" w:rsidR="008B1C85" w:rsidRDefault="008B1C85" w:rsidP="008B1C85">
      <w:pPr>
        <w:pStyle w:val="08Tablefootnotes"/>
      </w:pPr>
      <w:r>
        <w:t xml:space="preserve">Note: </w:t>
      </w:r>
      <w:r w:rsidRPr="008F3462">
        <w:t>Australian guidance is shaded white; international guidance is shaded blue</w:t>
      </w:r>
      <w:r>
        <w:t>.</w:t>
      </w:r>
      <w:r w:rsidR="0062545C">
        <w:t xml:space="preserve"> NA indicates not applicable</w:t>
      </w:r>
    </w:p>
    <w:p w14:paraId="55BEFBEE" w14:textId="77777777" w:rsidR="008B1C85" w:rsidRDefault="008B1C85" w:rsidP="008B1C85">
      <w:pPr>
        <w:pStyle w:val="08Tablefootnotes"/>
      </w:pPr>
      <w:r w:rsidRPr="00A83758">
        <w:t>Ab</w:t>
      </w:r>
      <w:r>
        <w:t>breviations: ACOS, Asthma-COPD Overlap Syndrome; BD, bronchodilator; BTS, British Thoracic Society; COPD, chronic obstructive pulmonary disease;GINA, Global Initiative for Asthma; GOLD, Global Initiative for Chronic Obstructive Lung Disease; LFA, Lung Foundation Australia; NAC, National Asthma Council Australia, NCGC, National Clinical Guidelines Centre; SIGN, Scottish Intercollegiate Guidelines Network; TSANZ, The Thoracic Society of Australia and New Zealand</w:t>
      </w:r>
      <w:r w:rsidR="002476AE">
        <w:t>; VA / DoD, Department of Veterans’ Affairs / Department of Defence</w:t>
      </w:r>
      <w:r>
        <w:t>.</w:t>
      </w:r>
    </w:p>
    <w:p w14:paraId="1AD3AEE2" w14:textId="77777777" w:rsidR="008B1C85" w:rsidRDefault="008B1C85" w:rsidP="008B1C85">
      <w:pPr>
        <w:pStyle w:val="08Tablefootnotes"/>
      </w:pPr>
      <w:r>
        <w:rPr>
          <w:b/>
        </w:rPr>
        <w:t>a</w:t>
      </w:r>
      <w:r>
        <w:t xml:space="preserve"> Children who can perform spirometry (age not specified).</w:t>
      </w:r>
    </w:p>
    <w:p w14:paraId="45E8CA46" w14:textId="77777777" w:rsidR="008B1C85" w:rsidRDefault="008B1C85" w:rsidP="008B1C85">
      <w:pPr>
        <w:pStyle w:val="08Tablefootnotes"/>
      </w:pPr>
      <w:r>
        <w:rPr>
          <w:b/>
        </w:rPr>
        <w:t>b</w:t>
      </w:r>
      <w:r>
        <w:t xml:space="preserve"> Although Abramson et al (2014) advocate undertaking both pre- and post-BD spirometry, the definition of airflow limitation that is not fully reversible was said to be post-BD FEV</w:t>
      </w:r>
      <w:r>
        <w:rPr>
          <w:vertAlign w:val="subscript"/>
        </w:rPr>
        <w:t>1</w:t>
      </w:r>
      <w:r>
        <w:t>/FVC ratio &lt;0.7 and FEV</w:t>
      </w:r>
      <w:r>
        <w:rPr>
          <w:vertAlign w:val="subscript"/>
        </w:rPr>
        <w:t>1</w:t>
      </w:r>
      <w:r>
        <w:t xml:space="preserve"> &lt;80% predicted (rather than a change from baseline). In practice, only post-BD spirometry would be required to meet this criteria.</w:t>
      </w:r>
    </w:p>
    <w:p w14:paraId="0EA4C5C9" w14:textId="77777777" w:rsidR="008B1C85" w:rsidRDefault="008B1C85" w:rsidP="008B1C85">
      <w:pPr>
        <w:pStyle w:val="08Tablefootnotes"/>
      </w:pPr>
      <w:r>
        <w:rPr>
          <w:b/>
        </w:rPr>
        <w:t>c</w:t>
      </w:r>
      <w:r>
        <w:t xml:space="preserve"> Evidence to support the consideration of asthma or ACOS if airflow limitation is reversible, not that reversibility testing is more accurate for the diagnosis of COPD.</w:t>
      </w:r>
    </w:p>
    <w:p w14:paraId="62446824" w14:textId="77777777" w:rsidR="008B1C85" w:rsidRDefault="008B1C85" w:rsidP="008B1C85">
      <w:pPr>
        <w:pStyle w:val="09Tablefootnoteslast-nostick"/>
      </w:pPr>
      <w:r>
        <w:rPr>
          <w:b/>
        </w:rPr>
        <w:t>d</w:t>
      </w:r>
      <w:r>
        <w:t xml:space="preserve"> The guideline recommends against the use of routine reversibility testing; however, it suggests that reversibility testing may have a place where diagnostic doubt remains, or both COPD and asthma are present.</w:t>
      </w:r>
    </w:p>
    <w:p w14:paraId="755C08CA" w14:textId="77777777" w:rsidR="008B1C85" w:rsidRDefault="008B1C85" w:rsidP="008B1C85">
      <w:pPr>
        <w:pStyle w:val="Heading3"/>
        <w:sectPr w:rsidR="008B1C85" w:rsidSect="00BD570B">
          <w:pgSz w:w="11906" w:h="16838" w:code="9"/>
          <w:pgMar w:top="1134" w:right="1134" w:bottom="899" w:left="1701" w:header="567" w:footer="567" w:gutter="0"/>
          <w:cols w:space="708"/>
          <w:docGrid w:linePitch="360"/>
        </w:sectPr>
      </w:pPr>
    </w:p>
    <w:p w14:paraId="66CA13CF" w14:textId="77777777" w:rsidR="008B1C85" w:rsidRPr="00DB0522" w:rsidRDefault="00385D6F" w:rsidP="008B1C85">
      <w:pPr>
        <w:pStyle w:val="AttHeading2"/>
      </w:pPr>
      <w:bookmarkStart w:id="365" w:name="_Toc456613614"/>
      <w:r>
        <w:lastRenderedPageBreak/>
        <w:t xml:space="preserve">2.5 </w:t>
      </w:r>
      <w:r w:rsidR="008B1C85" w:rsidRPr="00DB0522">
        <w:t>In patients diagnosed with asthma or COPD, what is the clinical utility of spirometry for</w:t>
      </w:r>
      <w:r w:rsidR="008B1C85">
        <w:t xml:space="preserve"> </w:t>
      </w:r>
      <w:r w:rsidR="008B1C85" w:rsidRPr="00DB0522">
        <w:t>assessing acute exacerbations?</w:t>
      </w:r>
      <w:bookmarkEnd w:id="365"/>
    </w:p>
    <w:p w14:paraId="7166D1B9" w14:textId="77777777" w:rsidR="008B1C85" w:rsidRDefault="00385D6F" w:rsidP="008B1C85">
      <w:pPr>
        <w:pStyle w:val="AttHeading3"/>
      </w:pPr>
      <w:r>
        <w:t xml:space="preserve">2.5.1 </w:t>
      </w:r>
      <w:r w:rsidR="008B1C85">
        <w:t>Systematic Reviews</w:t>
      </w:r>
    </w:p>
    <w:p w14:paraId="1088AB22" w14:textId="77777777" w:rsidR="008B1C85" w:rsidRPr="00FE05D1" w:rsidRDefault="008B1C85" w:rsidP="008B1C85">
      <w:r w:rsidRPr="00FE05D1">
        <w:t>No systematic reviews or HTAs were identified that address this research question.</w:t>
      </w:r>
    </w:p>
    <w:p w14:paraId="6619F3D1" w14:textId="77777777" w:rsidR="008B1C85" w:rsidRDefault="00385D6F" w:rsidP="008B1C85">
      <w:pPr>
        <w:pStyle w:val="AttHeading3"/>
      </w:pPr>
      <w:r>
        <w:t xml:space="preserve">2.5.2 </w:t>
      </w:r>
      <w:r w:rsidR="008B1C85">
        <w:t>Clinical Practice Guidelines</w:t>
      </w:r>
    </w:p>
    <w:p w14:paraId="0CAB892C" w14:textId="77777777" w:rsidR="008B1C85" w:rsidRPr="00FE05D1" w:rsidRDefault="008B1C85" w:rsidP="008B1C85">
      <w:r w:rsidRPr="00FE05D1">
        <w:t>Exacerbations are defined as a change in symptoms and lung function from the patient’s usual status (GINA, 2015). Not all of the included CPGs provide guidance relating to the use of spirometry for the management of acute exacerbations.</w:t>
      </w:r>
    </w:p>
    <w:p w14:paraId="2BBA1435" w14:textId="77777777" w:rsidR="008B1C85" w:rsidRPr="00385D6F" w:rsidRDefault="008B1C85" w:rsidP="00385D6F">
      <w:pPr>
        <w:pStyle w:val="AttHeading4"/>
      </w:pPr>
      <w:r w:rsidRPr="00385D6F">
        <w:t>Asthma</w:t>
      </w:r>
    </w:p>
    <w:p w14:paraId="1CA60A13" w14:textId="77777777" w:rsidR="008B1C85" w:rsidRPr="00CB24CB" w:rsidRDefault="008B1C85" w:rsidP="00CB5570">
      <w:pPr>
        <w:pStyle w:val="AttHeading5"/>
      </w:pPr>
      <w:r w:rsidRPr="00CB24CB">
        <w:t>National Asthma Council Australia (2015)</w:t>
      </w:r>
    </w:p>
    <w:p w14:paraId="28DD460F" w14:textId="77777777" w:rsidR="008B1C85" w:rsidRPr="00FE05D1" w:rsidRDefault="008B1C85" w:rsidP="00B50F00">
      <w:r w:rsidRPr="00FE05D1">
        <w:t xml:space="preserve">The </w:t>
      </w:r>
      <w:r w:rsidRPr="00FE05D1">
        <w:rPr>
          <w:i/>
        </w:rPr>
        <w:t xml:space="preserve">Australian Asthma Handbook </w:t>
      </w:r>
      <w:r w:rsidRPr="00FE05D1">
        <w:t>does not refer to spirometry for the assessment of acute asthma exacerbations. During these episodes (moderate, severe or life-threatening), severity should be assessed through clinical observations and pulse oximetry.</w:t>
      </w:r>
      <w:r w:rsidRPr="00FE05D1">
        <w:rPr>
          <w:rStyle w:val="FootnoteReference"/>
        </w:rPr>
        <w:footnoteReference w:id="18"/>
      </w:r>
      <w:r w:rsidRPr="00FE05D1">
        <w:t xml:space="preserve"> </w:t>
      </w:r>
    </w:p>
    <w:p w14:paraId="4BD5680B" w14:textId="77777777" w:rsidR="008B1C85" w:rsidRPr="00FE05D1" w:rsidRDefault="008B1C85" w:rsidP="00B50F00">
      <w:r w:rsidRPr="00FE05D1">
        <w:t>However, for patients who have initiated treatment for acute asthma, the clinical management algorithms for adults and children indicate that spirometry should be performed (if the patient is capable) to reassess response to treatment, one hour after starting bronchodilator. Pulse oximetry is also repeated at this time point.</w:t>
      </w:r>
      <w:r w:rsidRPr="00FE05D1">
        <w:rPr>
          <w:rStyle w:val="FootnoteReference"/>
        </w:rPr>
        <w:footnoteReference w:id="19"/>
      </w:r>
    </w:p>
    <w:p w14:paraId="5505497C" w14:textId="77777777" w:rsidR="008B1C85" w:rsidRPr="00CB24CB" w:rsidRDefault="008B1C85" w:rsidP="00CB5570">
      <w:pPr>
        <w:pStyle w:val="AttHeading5"/>
      </w:pPr>
      <w:r w:rsidRPr="00CB24CB">
        <w:t>National Asthma Council Australia (2013)</w:t>
      </w:r>
    </w:p>
    <w:p w14:paraId="46E0EB92" w14:textId="77777777" w:rsidR="008B1C85" w:rsidRPr="00FE05D1" w:rsidRDefault="008B1C85" w:rsidP="008B1C85">
      <w:r w:rsidRPr="00A0517F">
        <w:t>The NAC information paper about asthma in older patients notes that in acute asthma,</w:t>
      </w:r>
      <w:r w:rsidRPr="00FE05D1">
        <w:t xml:space="preserve"> </w:t>
      </w:r>
      <w:r w:rsidRPr="00A0517F">
        <w:t>spirometry and pulse oximetry should be performed at baseline and at intervals throughout</w:t>
      </w:r>
      <w:r w:rsidRPr="00FE05D1">
        <w:t xml:space="preserve"> recovery.</w:t>
      </w:r>
    </w:p>
    <w:p w14:paraId="3DBA0B7E" w14:textId="77777777" w:rsidR="008B1C85" w:rsidRPr="00CB24CB" w:rsidRDefault="008B1C85" w:rsidP="00CB5570">
      <w:pPr>
        <w:pStyle w:val="AttHeading5"/>
      </w:pPr>
      <w:r w:rsidRPr="00CB24CB">
        <w:t>Global Initiative for Asthma (2015)</w:t>
      </w:r>
    </w:p>
    <w:p w14:paraId="2557B73E" w14:textId="77777777" w:rsidR="008B1C85" w:rsidRPr="00FE05D1" w:rsidRDefault="008B1C85" w:rsidP="008B1C85">
      <w:r w:rsidRPr="00FE05D1">
        <w:t>The GINA report suggests that spirometry may be used in the assessment of acute exacerbations. It advises that in patients presenting to a primary care or an acute care facility, the assessment of exacerbation severity should be based on the degree of dyspnoea, respiratory rate, pulse rate, oxygen saturation and lung function, while starting a short-acting beta</w:t>
      </w:r>
      <w:r w:rsidRPr="00FE05D1">
        <w:rPr>
          <w:vertAlign w:val="subscript"/>
        </w:rPr>
        <w:t>2</w:t>
      </w:r>
      <w:r w:rsidRPr="00FE05D1">
        <w:t>-agonist (SABA) and oxygen therapy.</w:t>
      </w:r>
    </w:p>
    <w:p w14:paraId="311D9087" w14:textId="77777777" w:rsidR="008B1C85" w:rsidRPr="00FE05D1" w:rsidRDefault="008B1C85" w:rsidP="00B50F00">
      <w:r w:rsidRPr="00FE05D1">
        <w:lastRenderedPageBreak/>
        <w:t>In addition, lung function tests, along with clinical status, response to treatment, recent and past history of exacerbations, and ability to manage at home should all be considered during decisions about hospitalisation.</w:t>
      </w:r>
    </w:p>
    <w:p w14:paraId="563E5E10" w14:textId="77777777" w:rsidR="008B1C85" w:rsidRPr="00385D6F" w:rsidRDefault="008B1C85" w:rsidP="00385D6F">
      <w:pPr>
        <w:pStyle w:val="AttHeading4"/>
      </w:pPr>
      <w:r w:rsidRPr="00385D6F">
        <w:t>Chronic Obstructive Pulmonary Disease (COPD)</w:t>
      </w:r>
    </w:p>
    <w:p w14:paraId="31AB6F8B" w14:textId="77777777" w:rsidR="008B1C85" w:rsidRPr="00FE05D1" w:rsidRDefault="008B1C85" w:rsidP="00B50F00">
      <w:r w:rsidRPr="00FE05D1">
        <w:t>An exacerbation is an acute event in the natural course of COPD characterised by a change in the patient’s baseline dyspnoea, cough and/or sputum that is beyond normal day-to-day variations. Exacerbations may warrant a change in regular medication and/or hospitalisation (LFA/TSANZ 2015).</w:t>
      </w:r>
    </w:p>
    <w:p w14:paraId="18E2F846" w14:textId="77777777" w:rsidR="008B1C85" w:rsidRPr="00CB24CB" w:rsidRDefault="008B1C85" w:rsidP="00CB5570">
      <w:pPr>
        <w:pStyle w:val="AttHeading5"/>
      </w:pPr>
      <w:r w:rsidRPr="00CB24CB">
        <w:t>Lung Foundation Australia /Thoracic Society of Australia and New Zealand (2015)</w:t>
      </w:r>
    </w:p>
    <w:p w14:paraId="565B4190" w14:textId="77777777" w:rsidR="008B1C85" w:rsidRPr="00FE05D1" w:rsidRDefault="008B1C85" w:rsidP="00B50F00">
      <w:r w:rsidRPr="00FE05D1">
        <w:t>This CPG advocates the use of spirometry for confirming and categorising the severity of acute exacerbations, along with medical history, examination, blood gas measurements, chest x-rays and electrocardiography.</w:t>
      </w:r>
    </w:p>
    <w:p w14:paraId="05EF0AA2" w14:textId="77777777" w:rsidR="008B1C85" w:rsidRPr="00FE05D1" w:rsidRDefault="008B1C85" w:rsidP="00B50F00">
      <w:r w:rsidRPr="00FE05D1">
        <w:t>The guideline advises that an FEV</w:t>
      </w:r>
      <w:r w:rsidRPr="00FE05D1">
        <w:rPr>
          <w:vertAlign w:val="subscript"/>
        </w:rPr>
        <w:t>1</w:t>
      </w:r>
      <w:r w:rsidRPr="00FE05D1">
        <w:t xml:space="preserve"> less than 1.0 L (or &lt; 40% predicted) is usually indicative of a severe exacerbation in patients with moderate COPD. In patients with severe COPD, the most important signs of a severe exacerbation are worsening hypoxaemia, acute respiratory acidosis (carbon dioxide retention) or both.</w:t>
      </w:r>
    </w:p>
    <w:p w14:paraId="3E7789BF" w14:textId="77777777" w:rsidR="008B1C85" w:rsidRPr="00FE05D1" w:rsidRDefault="008B1C85" w:rsidP="00B50F00">
      <w:r w:rsidRPr="00FE05D1">
        <w:t>In terms of discharge and follow-up from an acute exacerbation, it is suggested that clinical symptoms and gas exchange levels should be monitored and respiratory function testing (FEV</w:t>
      </w:r>
      <w:r w:rsidRPr="00FE05D1">
        <w:rPr>
          <w:vertAlign w:val="subscript"/>
        </w:rPr>
        <w:t>1</w:t>
      </w:r>
      <w:r w:rsidRPr="00FE05D1">
        <w:t>) should be recorded after recovery.</w:t>
      </w:r>
    </w:p>
    <w:p w14:paraId="0AEC3444" w14:textId="77777777" w:rsidR="008B1C85" w:rsidRPr="00CB24CB" w:rsidRDefault="008B1C85" w:rsidP="00CB5570">
      <w:pPr>
        <w:pStyle w:val="AttHeading5"/>
      </w:pPr>
      <w:r w:rsidRPr="00CB24CB">
        <w:t>Abramson (2014) – Lung Foundation Australia / Thoracic Society of Australia and New Zealand</w:t>
      </w:r>
    </w:p>
    <w:p w14:paraId="229DB9F2" w14:textId="77777777" w:rsidR="008B1C85" w:rsidRPr="00FE05D1" w:rsidRDefault="008B1C85" w:rsidP="00B50F00">
      <w:r w:rsidRPr="00FE05D1">
        <w:t>As in the full LFA/TSANZ guideline, the Concise Guide does not include any formal recommendations regarding the use of spirometry in acute exacerbations. Like the full guideline, Abramson et al (2014) indicates that spirometry has a place in the follow-up of acute exacerbations, stating that when patients with COPD are discharged from hospital following an exacerbation, they should receive comprehensive follow-up led by the primary health care team, including measurement of FEV</w:t>
      </w:r>
      <w:r w:rsidRPr="00FE05D1">
        <w:rPr>
          <w:vertAlign w:val="subscript"/>
        </w:rPr>
        <w:t>1</w:t>
      </w:r>
      <w:r w:rsidRPr="00FE05D1">
        <w:t xml:space="preserve"> and performance status.</w:t>
      </w:r>
    </w:p>
    <w:p w14:paraId="17F336F5" w14:textId="77777777" w:rsidR="008B1C85" w:rsidRPr="00CB24CB" w:rsidRDefault="008B1C85" w:rsidP="00CB5570">
      <w:pPr>
        <w:pStyle w:val="AttHeading5"/>
      </w:pPr>
      <w:r w:rsidRPr="00CB24CB">
        <w:t>Global Initiative for Chronic Obstructive Lung Disease (2016)</w:t>
      </w:r>
    </w:p>
    <w:p w14:paraId="689017C3" w14:textId="77777777" w:rsidR="008B1C85" w:rsidRPr="00FE05D1" w:rsidRDefault="008B1C85" w:rsidP="00B50F00">
      <w:r w:rsidRPr="00FE05D1">
        <w:t>The GOLD report suggests a range of tests that may help to assess the severity of acute COPD exacerbations and rule out other causes, including pulse oximetry, chest radiographs, electrocardiography, whole blood count, the presence of purulent sputum, biochemical test abnormalities.</w:t>
      </w:r>
    </w:p>
    <w:p w14:paraId="7AEC8DF8" w14:textId="77777777" w:rsidR="008B1C85" w:rsidRPr="00FE05D1" w:rsidRDefault="008B1C85" w:rsidP="00B50F00">
      <w:r w:rsidRPr="00FE05D1">
        <w:t>The guideline indicates that spirometry is of insufficient accuracy during exacerbations due to the difficulty of performing the test and therefore recommends against its use in this context.</w:t>
      </w:r>
    </w:p>
    <w:p w14:paraId="600F6624" w14:textId="77777777" w:rsidR="008B1C85" w:rsidRPr="00A0517F" w:rsidRDefault="008B1C85" w:rsidP="00CB5570">
      <w:pPr>
        <w:pStyle w:val="AttHeading4"/>
      </w:pPr>
      <w:r w:rsidRPr="00A0517F">
        <w:lastRenderedPageBreak/>
        <w:t>Summary</w:t>
      </w:r>
    </w:p>
    <w:p w14:paraId="49CE6771" w14:textId="77777777" w:rsidR="008B1C85" w:rsidRPr="00FE05D1" w:rsidRDefault="008B1C85" w:rsidP="00B50F00">
      <w:r w:rsidRPr="00FE05D1">
        <w:t>Guidance around the use of spirometry for assessing acute exacerbations was more varied and less prescriptive than the diagnostic guidance (see</w:t>
      </w:r>
      <w:r w:rsidR="0063592C">
        <w:t xml:space="preserve"> Table 29</w:t>
      </w:r>
      <w:r w:rsidRPr="00FE05D1">
        <w:t>). For asthma, there was a suggestion that lung function testing could be of value; however, clinical observations and other tests such as pulse oximetry (oxygen saturation), respiratory rate and pulse rate may also be useful in this situation. Lung function may also be tested to inform decisions about hospitalisation and to assess patients during recovery.</w:t>
      </w:r>
    </w:p>
    <w:p w14:paraId="0E633744" w14:textId="77777777" w:rsidR="008B1C85" w:rsidRPr="00FE05D1" w:rsidRDefault="008B1C85" w:rsidP="00B50F00">
      <w:r w:rsidRPr="00FE05D1">
        <w:t>In COPD, the Australian guidelines do not rule out the use of spirometry to grade the severity of exacerbations. Conversely, one international guideline (GOLD, 2016) indicates that spirometry is of little value and that other tests such as pulse oximetry are preferred in acute exacerbations.</w:t>
      </w:r>
    </w:p>
    <w:p w14:paraId="0F4BDDAF" w14:textId="17156E0C" w:rsidR="008B1C85" w:rsidRPr="006B6E93" w:rsidRDefault="0063592C" w:rsidP="00DF3A06">
      <w:pPr>
        <w:pStyle w:val="Appcaption"/>
      </w:pPr>
      <w:r w:rsidRPr="00FD5F7A">
        <w:t xml:space="preserve">Table </w:t>
      </w:r>
      <w:fldSimple w:instr=" SEQ Title \* ARABIC ">
        <w:r w:rsidR="00F2203C">
          <w:rPr>
            <w:noProof/>
          </w:rPr>
          <w:t>29</w:t>
        </w:r>
      </w:fldSimple>
      <w:r w:rsidRPr="00FD5F7A">
        <w:rPr>
          <w:noProof/>
        </w:rPr>
        <w:t xml:space="preserve"> </w:t>
      </w:r>
      <w:r w:rsidR="008B1C85" w:rsidRPr="00FD5F7A">
        <w:t>Summary of guidance from current CPGs relating to the use of spirometry to assess acute</w:t>
      </w:r>
      <w:r w:rsidR="008B1C85">
        <w:t xml:space="preserve"> exacerbations in</w:t>
      </w:r>
      <w:r w:rsidR="008B1C85" w:rsidRPr="006B6E93">
        <w:t xml:space="preserve"> </w:t>
      </w:r>
      <w:r w:rsidR="008B1C85">
        <w:t xml:space="preserve">asthma and </w:t>
      </w:r>
      <w:r w:rsidR="008B1C85" w:rsidRPr="006B6E93">
        <w:t>COPD</w:t>
      </w:r>
    </w:p>
    <w:tbl>
      <w:tblPr>
        <w:tblStyle w:val="TableGrid"/>
        <w:tblW w:w="10332" w:type="dxa"/>
        <w:tblLayout w:type="fixed"/>
        <w:tblLook w:val="04A0" w:firstRow="1" w:lastRow="0" w:firstColumn="1" w:lastColumn="0" w:noHBand="0" w:noVBand="1"/>
        <w:tblDescription w:val="Appendix C table 28 is a summary of Clinical Practice Guidelines (CPG)for use of spirometry to assess acute exacerbations in asthma and COPD. Australian guidance for asthma is provided by NAC 2013 and 2015. International guidance for asthma is provided by GINA 2015. Australian guidance for COPD is provided by LFA/TSANZ 2015, Abramson 2014, GOLD 2016."/>
      </w:tblPr>
      <w:tblGrid>
        <w:gridCol w:w="1271"/>
        <w:gridCol w:w="1271"/>
        <w:gridCol w:w="1843"/>
        <w:gridCol w:w="5947"/>
      </w:tblGrid>
      <w:tr w:rsidR="00134608" w:rsidRPr="006B6E93" w14:paraId="640C8A5A" w14:textId="77777777" w:rsidTr="0099709F">
        <w:trPr>
          <w:tblHeader/>
        </w:trPr>
        <w:tc>
          <w:tcPr>
            <w:tcW w:w="1271" w:type="dxa"/>
            <w:tcBorders>
              <w:top w:val="single" w:sz="4" w:space="0" w:color="auto"/>
              <w:left w:val="single" w:sz="4" w:space="0" w:color="auto"/>
              <w:bottom w:val="single" w:sz="4" w:space="0" w:color="auto"/>
              <w:right w:val="single" w:sz="4" w:space="0" w:color="auto"/>
            </w:tcBorders>
          </w:tcPr>
          <w:p w14:paraId="6C843BF8" w14:textId="77777777" w:rsidR="00134608" w:rsidRPr="004C005F" w:rsidRDefault="00134608" w:rsidP="00134608">
            <w:pPr>
              <w:pStyle w:val="Tableheading"/>
            </w:pPr>
            <w:r>
              <w:t>Condition</w:t>
            </w:r>
          </w:p>
        </w:tc>
        <w:tc>
          <w:tcPr>
            <w:tcW w:w="1271" w:type="dxa"/>
            <w:tcBorders>
              <w:top w:val="single" w:sz="4" w:space="0" w:color="auto"/>
              <w:left w:val="single" w:sz="4" w:space="0" w:color="auto"/>
              <w:bottom w:val="single" w:sz="4" w:space="0" w:color="auto"/>
              <w:right w:val="single" w:sz="4" w:space="0" w:color="auto"/>
            </w:tcBorders>
          </w:tcPr>
          <w:p w14:paraId="27FD782E" w14:textId="77777777" w:rsidR="00134608" w:rsidRPr="004C005F" w:rsidRDefault="00134608" w:rsidP="00134608">
            <w:pPr>
              <w:pStyle w:val="Tableheading"/>
            </w:pPr>
            <w:r w:rsidRPr="004C005F">
              <w:t>Guideline</w:t>
            </w:r>
          </w:p>
        </w:tc>
        <w:tc>
          <w:tcPr>
            <w:tcW w:w="1843" w:type="dxa"/>
            <w:tcBorders>
              <w:top w:val="single" w:sz="4" w:space="0" w:color="auto"/>
              <w:left w:val="single" w:sz="4" w:space="0" w:color="auto"/>
              <w:bottom w:val="single" w:sz="4" w:space="0" w:color="auto"/>
              <w:right w:val="single" w:sz="4" w:space="0" w:color="auto"/>
            </w:tcBorders>
          </w:tcPr>
          <w:p w14:paraId="41F84385" w14:textId="77777777" w:rsidR="00134608" w:rsidRPr="004C005F" w:rsidRDefault="00134608" w:rsidP="0099709F">
            <w:pPr>
              <w:pStyle w:val="Tableheading"/>
            </w:pPr>
            <w:r w:rsidRPr="004C005F">
              <w:t>Spirometry to assess acute exacerbations</w:t>
            </w:r>
          </w:p>
        </w:tc>
        <w:tc>
          <w:tcPr>
            <w:tcW w:w="5947" w:type="dxa"/>
            <w:tcBorders>
              <w:top w:val="single" w:sz="4" w:space="0" w:color="auto"/>
              <w:left w:val="single" w:sz="4" w:space="0" w:color="auto"/>
              <w:bottom w:val="single" w:sz="4" w:space="0" w:color="auto"/>
              <w:right w:val="single" w:sz="4" w:space="0" w:color="auto"/>
            </w:tcBorders>
          </w:tcPr>
          <w:p w14:paraId="6C4311BE" w14:textId="77777777" w:rsidR="00134608" w:rsidRPr="004C005F" w:rsidRDefault="00134608" w:rsidP="0099709F">
            <w:pPr>
              <w:pStyle w:val="Tableheading"/>
            </w:pPr>
            <w:r w:rsidRPr="004C005F">
              <w:t>Notes</w:t>
            </w:r>
          </w:p>
        </w:tc>
      </w:tr>
      <w:tr w:rsidR="00134608" w:rsidRPr="006B6E93" w14:paraId="4E980EDF" w14:textId="77777777" w:rsidTr="00DC29AA">
        <w:tc>
          <w:tcPr>
            <w:tcW w:w="1271" w:type="dxa"/>
            <w:vMerge w:val="restart"/>
            <w:tcBorders>
              <w:top w:val="single" w:sz="4" w:space="0" w:color="auto"/>
              <w:left w:val="single" w:sz="4" w:space="0" w:color="auto"/>
              <w:right w:val="single" w:sz="4" w:space="0" w:color="auto"/>
            </w:tcBorders>
          </w:tcPr>
          <w:p w14:paraId="502480ED" w14:textId="77777777" w:rsidR="00134608" w:rsidRDefault="00134608" w:rsidP="008B1C85">
            <w:pPr>
              <w:pStyle w:val="Tabletext"/>
            </w:pPr>
            <w:r>
              <w:t>Asthma</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2372E2F5" w14:textId="77777777" w:rsidR="00134608" w:rsidRPr="006B6E93" w:rsidRDefault="00134608" w:rsidP="008B1C85">
            <w:pPr>
              <w:pStyle w:val="Tabletext"/>
            </w:pPr>
            <w:r>
              <w:t>NAC (2015)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79A933" w14:textId="77777777" w:rsidR="00134608" w:rsidRPr="005774BD" w:rsidRDefault="00FD5F7A" w:rsidP="008B1C85">
            <w:pPr>
              <w:pStyle w:val="Tabletext"/>
              <w:jc w:val="center"/>
            </w:pPr>
            <w:r>
              <w:t>No</w:t>
            </w:r>
          </w:p>
        </w:tc>
        <w:tc>
          <w:tcPr>
            <w:tcW w:w="5947" w:type="dxa"/>
            <w:tcBorders>
              <w:top w:val="single" w:sz="4" w:space="0" w:color="auto"/>
              <w:left w:val="single" w:sz="4" w:space="0" w:color="auto"/>
              <w:bottom w:val="single" w:sz="4" w:space="0" w:color="auto"/>
              <w:right w:val="single" w:sz="4" w:space="0" w:color="auto"/>
            </w:tcBorders>
            <w:shd w:val="clear" w:color="auto" w:fill="auto"/>
          </w:tcPr>
          <w:p w14:paraId="1B5CB4FD" w14:textId="77777777" w:rsidR="00134608" w:rsidRPr="005774BD" w:rsidRDefault="00134608" w:rsidP="008B1C85">
            <w:pPr>
              <w:pStyle w:val="Tabletext"/>
            </w:pPr>
            <w:r>
              <w:t>Assess clinical signs and pulse oximetry</w:t>
            </w:r>
          </w:p>
        </w:tc>
      </w:tr>
      <w:tr w:rsidR="00134608" w:rsidRPr="006B6E93" w14:paraId="3D4AFCD1" w14:textId="77777777" w:rsidTr="0099709F">
        <w:tc>
          <w:tcPr>
            <w:tcW w:w="1271" w:type="dxa"/>
            <w:vMerge/>
            <w:tcBorders>
              <w:left w:val="single" w:sz="4" w:space="0" w:color="auto"/>
              <w:right w:val="single" w:sz="4" w:space="0" w:color="auto"/>
            </w:tcBorders>
          </w:tcPr>
          <w:p w14:paraId="3A7F6D5C" w14:textId="77777777" w:rsidR="00134608" w:rsidRDefault="00134608" w:rsidP="008B1C85">
            <w:pPr>
              <w:pStyle w:val="Tabletext"/>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5932EEC" w14:textId="77777777" w:rsidR="00134608" w:rsidRDefault="00134608" w:rsidP="008B1C85">
            <w:pPr>
              <w:pStyle w:val="Tabletext"/>
            </w:pPr>
            <w:r>
              <w:t>NAC (2013)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7BFF08" w14:textId="77777777" w:rsidR="00134608" w:rsidRPr="005774BD" w:rsidRDefault="00FD5F7A" w:rsidP="008B1C85">
            <w:pPr>
              <w:pStyle w:val="Tabletext"/>
              <w:jc w:val="center"/>
            </w:pPr>
            <w:r>
              <w:t>Yes</w:t>
            </w:r>
          </w:p>
        </w:tc>
        <w:tc>
          <w:tcPr>
            <w:tcW w:w="5947" w:type="dxa"/>
            <w:tcBorders>
              <w:top w:val="single" w:sz="4" w:space="0" w:color="auto"/>
              <w:left w:val="single" w:sz="4" w:space="0" w:color="auto"/>
              <w:bottom w:val="single" w:sz="4" w:space="0" w:color="auto"/>
              <w:right w:val="single" w:sz="4" w:space="0" w:color="auto"/>
            </w:tcBorders>
            <w:shd w:val="clear" w:color="auto" w:fill="auto"/>
          </w:tcPr>
          <w:p w14:paraId="41F3B3F1" w14:textId="77777777" w:rsidR="00134608" w:rsidRPr="005774BD" w:rsidRDefault="00134608" w:rsidP="008B1C85">
            <w:pPr>
              <w:pStyle w:val="Tabletext"/>
            </w:pPr>
            <w:r>
              <w:t>Assess spirometry and pulse oximetry [patients &gt;65 years]</w:t>
            </w:r>
          </w:p>
        </w:tc>
      </w:tr>
      <w:tr w:rsidR="00134608" w:rsidRPr="006B6E93" w14:paraId="0BE8A6A9" w14:textId="77777777" w:rsidTr="00385D6F">
        <w:tc>
          <w:tcPr>
            <w:tcW w:w="1271" w:type="dxa"/>
            <w:vMerge/>
            <w:tcBorders>
              <w:left w:val="single" w:sz="4" w:space="0" w:color="auto"/>
              <w:bottom w:val="single" w:sz="4" w:space="0" w:color="auto"/>
              <w:right w:val="single" w:sz="4" w:space="0" w:color="auto"/>
            </w:tcBorders>
          </w:tcPr>
          <w:p w14:paraId="00D1B6B8" w14:textId="77777777" w:rsidR="00134608" w:rsidRDefault="00134608" w:rsidP="008B1C85">
            <w:pPr>
              <w:pStyle w:val="Tabletext"/>
            </w:pP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085B6DB0" w14:textId="77777777" w:rsidR="00134608" w:rsidRDefault="00134608" w:rsidP="008B1C85">
            <w:pPr>
              <w:pStyle w:val="Tabletext"/>
            </w:pPr>
            <w:r>
              <w:t>GINA (2015)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68BBF4C" w14:textId="77777777" w:rsidR="00134608" w:rsidRPr="005774BD" w:rsidRDefault="00FD5F7A" w:rsidP="008B1C85">
            <w:pPr>
              <w:pStyle w:val="Tabletext"/>
              <w:jc w:val="center"/>
            </w:pPr>
            <w:r>
              <w:t>Yes</w:t>
            </w:r>
          </w:p>
        </w:tc>
        <w:tc>
          <w:tcPr>
            <w:tcW w:w="5947" w:type="dxa"/>
            <w:tcBorders>
              <w:top w:val="single" w:sz="4" w:space="0" w:color="auto"/>
              <w:left w:val="single" w:sz="4" w:space="0" w:color="auto"/>
              <w:bottom w:val="single" w:sz="4" w:space="0" w:color="auto"/>
              <w:right w:val="single" w:sz="4" w:space="0" w:color="auto"/>
            </w:tcBorders>
            <w:shd w:val="clear" w:color="auto" w:fill="FFFFFF" w:themeFill="background1"/>
          </w:tcPr>
          <w:p w14:paraId="2A369B18" w14:textId="77777777" w:rsidR="00134608" w:rsidRPr="005774BD" w:rsidRDefault="00134608" w:rsidP="008B1C85">
            <w:pPr>
              <w:pStyle w:val="Tabletext"/>
            </w:pPr>
            <w:r>
              <w:t>Assess dyspnoea, respiratory rate, pulse rate, oxygen saturation and lung function</w:t>
            </w:r>
          </w:p>
        </w:tc>
      </w:tr>
      <w:tr w:rsidR="00134608" w:rsidRPr="006B6E93" w14:paraId="05532AC4" w14:textId="77777777" w:rsidTr="00DC29AA">
        <w:tc>
          <w:tcPr>
            <w:tcW w:w="1271" w:type="dxa"/>
            <w:vMerge w:val="restart"/>
            <w:tcBorders>
              <w:top w:val="single" w:sz="4" w:space="0" w:color="auto"/>
              <w:left w:val="single" w:sz="4" w:space="0" w:color="auto"/>
              <w:right w:val="single" w:sz="4" w:space="0" w:color="auto"/>
            </w:tcBorders>
          </w:tcPr>
          <w:p w14:paraId="774E6B0C" w14:textId="77777777" w:rsidR="00134608" w:rsidRDefault="00134608" w:rsidP="008B1C85">
            <w:pPr>
              <w:pStyle w:val="Tabletext"/>
            </w:pPr>
            <w:r>
              <w:t>COPD</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166D9A68" w14:textId="77777777" w:rsidR="00134608" w:rsidRDefault="00134608" w:rsidP="008B1C85">
            <w:pPr>
              <w:pStyle w:val="Tabletext"/>
            </w:pPr>
            <w:r>
              <w:t>LFA/TSANZ (2015)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C942C1" w14:textId="77777777" w:rsidR="00134608" w:rsidRDefault="00FD5F7A" w:rsidP="008B1C85">
            <w:pPr>
              <w:pStyle w:val="Tabletext"/>
              <w:jc w:val="center"/>
            </w:pPr>
            <w:r>
              <w:t>Yes</w:t>
            </w:r>
          </w:p>
        </w:tc>
        <w:tc>
          <w:tcPr>
            <w:tcW w:w="5947" w:type="dxa"/>
            <w:tcBorders>
              <w:top w:val="single" w:sz="4" w:space="0" w:color="auto"/>
              <w:left w:val="single" w:sz="4" w:space="0" w:color="auto"/>
              <w:bottom w:val="single" w:sz="4" w:space="0" w:color="auto"/>
              <w:right w:val="single" w:sz="4" w:space="0" w:color="auto"/>
            </w:tcBorders>
            <w:shd w:val="clear" w:color="auto" w:fill="auto"/>
          </w:tcPr>
          <w:p w14:paraId="151297B8" w14:textId="77777777" w:rsidR="00134608" w:rsidRDefault="00134608" w:rsidP="008B1C85">
            <w:pPr>
              <w:pStyle w:val="Tabletext"/>
            </w:pPr>
            <w:r>
              <w:t>Assess history, clinical signs, blood gas measurements, chest x-ray, ECG and spirometry</w:t>
            </w:r>
          </w:p>
        </w:tc>
      </w:tr>
      <w:tr w:rsidR="00134608" w:rsidRPr="006B6E93" w14:paraId="71DAF421" w14:textId="77777777" w:rsidTr="00DC29AA">
        <w:tc>
          <w:tcPr>
            <w:tcW w:w="1271" w:type="dxa"/>
            <w:vMerge/>
            <w:tcBorders>
              <w:left w:val="single" w:sz="4" w:space="0" w:color="auto"/>
              <w:right w:val="single" w:sz="4" w:space="0" w:color="auto"/>
            </w:tcBorders>
          </w:tcPr>
          <w:p w14:paraId="629C482A" w14:textId="77777777" w:rsidR="00134608" w:rsidRDefault="00134608" w:rsidP="008B1C85">
            <w:pPr>
              <w:pStyle w:val="Tabletext"/>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20895E7C" w14:textId="77777777" w:rsidR="00134608" w:rsidRDefault="00134608" w:rsidP="008B1C85">
            <w:pPr>
              <w:pStyle w:val="Tabletext"/>
            </w:pPr>
            <w:r>
              <w:t>Abramson (2014)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FA6BC0" w14:textId="77777777" w:rsidR="00134608" w:rsidRDefault="00385D6F" w:rsidP="008B1C85">
            <w:pPr>
              <w:pStyle w:val="Tabletext"/>
              <w:jc w:val="center"/>
            </w:pPr>
            <w:r>
              <w:t>Not applicable</w:t>
            </w:r>
          </w:p>
        </w:tc>
        <w:tc>
          <w:tcPr>
            <w:tcW w:w="5947" w:type="dxa"/>
            <w:tcBorders>
              <w:top w:val="single" w:sz="4" w:space="0" w:color="auto"/>
              <w:left w:val="single" w:sz="4" w:space="0" w:color="auto"/>
              <w:bottom w:val="single" w:sz="4" w:space="0" w:color="auto"/>
              <w:right w:val="single" w:sz="4" w:space="0" w:color="auto"/>
            </w:tcBorders>
            <w:shd w:val="clear" w:color="auto" w:fill="auto"/>
          </w:tcPr>
          <w:p w14:paraId="32048123" w14:textId="77777777" w:rsidR="00134608" w:rsidRPr="004B25A5" w:rsidRDefault="00134608" w:rsidP="008B1C85">
            <w:pPr>
              <w:pStyle w:val="Tabletext"/>
            </w:pPr>
            <w:r>
              <w:t>FEV</w:t>
            </w:r>
            <w:r>
              <w:rPr>
                <w:vertAlign w:val="subscript"/>
              </w:rPr>
              <w:t>1</w:t>
            </w:r>
            <w:r>
              <w:t xml:space="preserve"> and performance status should be measured following discharge after an acute exacerbation</w:t>
            </w:r>
          </w:p>
        </w:tc>
      </w:tr>
      <w:tr w:rsidR="00134608" w:rsidRPr="006B6E93" w14:paraId="17E5547D" w14:textId="77777777" w:rsidTr="00DC29AA">
        <w:tc>
          <w:tcPr>
            <w:tcW w:w="1271" w:type="dxa"/>
            <w:vMerge/>
            <w:tcBorders>
              <w:left w:val="single" w:sz="4" w:space="0" w:color="auto"/>
              <w:bottom w:val="single" w:sz="4" w:space="0" w:color="auto"/>
              <w:right w:val="single" w:sz="4" w:space="0" w:color="auto"/>
            </w:tcBorders>
          </w:tcPr>
          <w:p w14:paraId="77D47CB6" w14:textId="77777777" w:rsidR="00134608" w:rsidRDefault="00134608" w:rsidP="008B1C85">
            <w:pPr>
              <w:pStyle w:val="Tabletext"/>
            </w:pPr>
          </w:p>
        </w:tc>
        <w:tc>
          <w:tcPr>
            <w:tcW w:w="1271" w:type="dxa"/>
            <w:tcBorders>
              <w:top w:val="single" w:sz="4" w:space="0" w:color="auto"/>
              <w:left w:val="single" w:sz="4" w:space="0" w:color="auto"/>
              <w:bottom w:val="single" w:sz="4" w:space="0" w:color="auto"/>
              <w:right w:val="single" w:sz="4" w:space="0" w:color="auto"/>
            </w:tcBorders>
          </w:tcPr>
          <w:p w14:paraId="2DC15385" w14:textId="77777777" w:rsidR="00134608" w:rsidRDefault="00134608" w:rsidP="008B1C85">
            <w:pPr>
              <w:pStyle w:val="Tabletext"/>
            </w:pPr>
            <w:r>
              <w:t>GOLD (2016)</w:t>
            </w:r>
          </w:p>
        </w:tc>
        <w:tc>
          <w:tcPr>
            <w:tcW w:w="1843" w:type="dxa"/>
            <w:tcBorders>
              <w:top w:val="single" w:sz="4" w:space="0" w:color="auto"/>
              <w:left w:val="single" w:sz="4" w:space="0" w:color="auto"/>
              <w:bottom w:val="single" w:sz="4" w:space="0" w:color="auto"/>
              <w:right w:val="single" w:sz="4" w:space="0" w:color="auto"/>
            </w:tcBorders>
          </w:tcPr>
          <w:p w14:paraId="6CADE377" w14:textId="77777777" w:rsidR="00134608" w:rsidRDefault="00FD5F7A" w:rsidP="008B1C85">
            <w:pPr>
              <w:pStyle w:val="Tabletext"/>
              <w:jc w:val="center"/>
            </w:pPr>
            <w:r>
              <w:t>No</w:t>
            </w:r>
          </w:p>
        </w:tc>
        <w:tc>
          <w:tcPr>
            <w:tcW w:w="5947" w:type="dxa"/>
            <w:tcBorders>
              <w:top w:val="single" w:sz="4" w:space="0" w:color="auto"/>
              <w:left w:val="single" w:sz="4" w:space="0" w:color="auto"/>
              <w:bottom w:val="single" w:sz="4" w:space="0" w:color="auto"/>
              <w:right w:val="single" w:sz="4" w:space="0" w:color="auto"/>
            </w:tcBorders>
          </w:tcPr>
          <w:p w14:paraId="65FC3760" w14:textId="77777777" w:rsidR="00134608" w:rsidRDefault="00134608" w:rsidP="008B1C85">
            <w:pPr>
              <w:pStyle w:val="Tabletext"/>
            </w:pPr>
            <w:r>
              <w:t>Assess severity and exclude other causes using pulse oximetry, chest radiographs, ECG, whole blood count, presence of purulent sputum, biochemical test abnormalities</w:t>
            </w:r>
          </w:p>
        </w:tc>
      </w:tr>
    </w:tbl>
    <w:p w14:paraId="53E7077E" w14:textId="77777777" w:rsidR="008B1C85" w:rsidRDefault="008B1C85" w:rsidP="008B1C85">
      <w:pPr>
        <w:pStyle w:val="08Tablefootnotes"/>
      </w:pPr>
      <w:r>
        <w:t xml:space="preserve">Note: Australian guidance is </w:t>
      </w:r>
      <w:r w:rsidRPr="00FD5F7A">
        <w:t>shaded white; international guidance is shaded blue</w:t>
      </w:r>
      <w:r>
        <w:t>.</w:t>
      </w:r>
    </w:p>
    <w:p w14:paraId="61173C92" w14:textId="77777777" w:rsidR="008B1C85" w:rsidRDefault="008B1C85" w:rsidP="008B1C85">
      <w:pPr>
        <w:pStyle w:val="09Tablefootnoteslast-nostick"/>
        <w:keepNext/>
      </w:pPr>
      <w:r w:rsidRPr="00A83758">
        <w:t>Ab</w:t>
      </w:r>
      <w:r>
        <w:t>breviations: COPD, chronic obstructive pulmonary disease; ECG, electrocardiogram; GINA, Global Initiative for Asthma; GOLD, Global Initiative for Chronic Obstructive Lung Disease; LFA, Lung Foundation Australia; NAC, National Asthma Council Australia; TSANZ, The Thoracic Society of Australia and New Zealand.</w:t>
      </w:r>
    </w:p>
    <w:p w14:paraId="537B9809" w14:textId="77777777" w:rsidR="008B1C85" w:rsidRPr="00DB0522" w:rsidRDefault="00385D6F" w:rsidP="008B1C85">
      <w:pPr>
        <w:pStyle w:val="AttHeading2"/>
      </w:pPr>
      <w:bookmarkStart w:id="366" w:name="_Toc456613615"/>
      <w:r>
        <w:t xml:space="preserve">2.6 </w:t>
      </w:r>
      <w:r w:rsidR="008B1C85" w:rsidRPr="00DB0522">
        <w:t>In patients diagnosed with asthma or COPD, what is the clinical utility of spirometry for</w:t>
      </w:r>
      <w:r w:rsidR="008B1C85">
        <w:t xml:space="preserve"> </w:t>
      </w:r>
      <w:r w:rsidR="008B1C85" w:rsidRPr="00DB0522">
        <w:t>long-term monitoring?</w:t>
      </w:r>
      <w:bookmarkEnd w:id="366"/>
    </w:p>
    <w:p w14:paraId="478479CB" w14:textId="77777777" w:rsidR="008B1C85" w:rsidRDefault="00385D6F" w:rsidP="008B1C85">
      <w:pPr>
        <w:pStyle w:val="AttHeading3"/>
      </w:pPr>
      <w:r>
        <w:t xml:space="preserve">2.6.1 </w:t>
      </w:r>
      <w:r w:rsidR="008B1C85">
        <w:t>Systematic Reviews</w:t>
      </w:r>
    </w:p>
    <w:p w14:paraId="4041497F" w14:textId="77777777" w:rsidR="008B1C85" w:rsidRPr="00FE05D1" w:rsidRDefault="008B1C85" w:rsidP="00B50F00">
      <w:r w:rsidRPr="00FE05D1">
        <w:t>Two systematic reviews were identified that partially address this research question: Wilt et al, 2005; Wilt et al, 2007.</w:t>
      </w:r>
    </w:p>
    <w:p w14:paraId="23AD646E" w14:textId="77777777" w:rsidR="008B1C85" w:rsidRPr="00CB24CB" w:rsidRDefault="008B1C85" w:rsidP="00CB5570">
      <w:pPr>
        <w:pStyle w:val="AttHeading4"/>
      </w:pPr>
      <w:r w:rsidRPr="00CB24CB">
        <w:t>Wilt et al (2005) [AHRQ]</w:t>
      </w:r>
    </w:p>
    <w:p w14:paraId="4DF29AE4" w14:textId="77777777" w:rsidR="008B1C85" w:rsidRPr="00FE05D1" w:rsidRDefault="008B1C85" w:rsidP="00B50F00">
      <w:r w:rsidRPr="00FE05D1">
        <w:t xml:space="preserve">The archived HTA prepared by Wilt and colleagues (2005) concluded that spirometry for monitoring individuals or adjusting treatment is unlikely to be beneficial unless future studies establish that spirometry improves smoking cessation rates, treatments other than smoking cessation benefit </w:t>
      </w:r>
      <w:r w:rsidRPr="00FE05D1">
        <w:lastRenderedPageBreak/>
        <w:t>individuals with airflow obstruction who do not report respiratory symptoms, or that relative effectiveness between therapies varies according to an individual’s baseline or follow-up spirometry.</w:t>
      </w:r>
    </w:p>
    <w:p w14:paraId="6F2CE8E1" w14:textId="77777777" w:rsidR="008B1C85" w:rsidRPr="00CB24CB" w:rsidRDefault="008B1C85" w:rsidP="00CB5570">
      <w:pPr>
        <w:pStyle w:val="AttHeading4"/>
      </w:pPr>
      <w:r w:rsidRPr="00CB24CB">
        <w:t>Wilt et al (2007) [AHRQ]</w:t>
      </w:r>
    </w:p>
    <w:p w14:paraId="28EEE797" w14:textId="77777777" w:rsidR="008B1C85" w:rsidRPr="00FE05D1" w:rsidRDefault="008B1C85" w:rsidP="008B1C85">
      <w:r w:rsidRPr="00B50F00">
        <w:t>A subsequent systematic review by Wilt and colleagues (2007)</w:t>
      </w:r>
      <w:r w:rsidRPr="00B50F00">
        <w:footnoteReference w:id="20"/>
      </w:r>
      <w:r w:rsidRPr="00B50F00">
        <w:t xml:space="preserve"> evaluated the effectiveness of COPD management strategies and sought to determine whether clinicians should base treatment decisions on spirometric results, symptoms, or both. No controlled clinical trials were identified that evaluated the use of spirometric results to modify therapy, institute combination inhaled therapy, or monitor disease status. However, based on “fair evidence” from their earlier HTA (Wilt et al, 2005), the authors</w:t>
      </w:r>
      <w:r w:rsidRPr="00FE05D1">
        <w:t xml:space="preserve"> concluded that modifying therapy according to spirometric results is unlikely to be beneficial because: </w:t>
      </w:r>
    </w:p>
    <w:p w14:paraId="70375C67" w14:textId="77777777" w:rsidR="008B1C85" w:rsidRPr="00FE05D1" w:rsidRDefault="008B1C85" w:rsidP="009E6EE1">
      <w:pPr>
        <w:pStyle w:val="NormalBulleted"/>
        <w:numPr>
          <w:ilvl w:val="0"/>
          <w:numId w:val="50"/>
        </w:numPr>
      </w:pPr>
      <w:r w:rsidRPr="00FE05D1">
        <w:t>clinical improvement is not closely associated with an individual’s spirometric response to therapy;</w:t>
      </w:r>
    </w:p>
    <w:p w14:paraId="16E0BF60" w14:textId="77777777" w:rsidR="008B1C85" w:rsidRPr="00FE05D1" w:rsidRDefault="008B1C85" w:rsidP="009E6EE1">
      <w:pPr>
        <w:pStyle w:val="NormalBulleted"/>
        <w:numPr>
          <w:ilvl w:val="0"/>
          <w:numId w:val="50"/>
        </w:numPr>
      </w:pPr>
      <w:r w:rsidRPr="00FE05D1">
        <w:t>pharmacologic treatments provide only a small change in long-term decline in lung function;</w:t>
      </w:r>
    </w:p>
    <w:p w14:paraId="471A8557" w14:textId="77777777" w:rsidR="008B1C85" w:rsidRPr="00FE05D1" w:rsidRDefault="008B1C85" w:rsidP="009E6EE1">
      <w:pPr>
        <w:pStyle w:val="NormalBulleted"/>
        <w:numPr>
          <w:ilvl w:val="0"/>
          <w:numId w:val="50"/>
        </w:numPr>
      </w:pPr>
      <w:r w:rsidRPr="00FE05D1">
        <w:t>wide intra-individual variation exists in spirometric decline;</w:t>
      </w:r>
    </w:p>
    <w:p w14:paraId="5F7A2EAC" w14:textId="77777777" w:rsidR="008B1C85" w:rsidRDefault="008B1C85" w:rsidP="009E6EE1">
      <w:pPr>
        <w:pStyle w:val="NormalBulleted"/>
        <w:numPr>
          <w:ilvl w:val="0"/>
          <w:numId w:val="50"/>
        </w:numPr>
      </w:pPr>
      <w:r w:rsidRPr="00FE05D1">
        <w:t>higher doses (compared with lower</w:t>
      </w:r>
      <w:r>
        <w:t xml:space="preserve"> doses) or combination inhaled therapies (compared with monotherapy) have not been shown to provide clinically significant benefits;</w:t>
      </w:r>
    </w:p>
    <w:p w14:paraId="6D5D750B" w14:textId="77777777" w:rsidR="008B1C85" w:rsidRDefault="008B1C85" w:rsidP="009E6EE1">
      <w:pPr>
        <w:pStyle w:val="NormalBulleted"/>
        <w:numPr>
          <w:ilvl w:val="0"/>
          <w:numId w:val="50"/>
        </w:numPr>
      </w:pPr>
      <w:r>
        <w:t>limited evidence suggests that interventions are not effective in asymptomatic individuals.</w:t>
      </w:r>
    </w:p>
    <w:p w14:paraId="35600ACD" w14:textId="77777777" w:rsidR="008B1C85" w:rsidRDefault="007B7A66" w:rsidP="008B1C85">
      <w:pPr>
        <w:pStyle w:val="AttHeading3"/>
      </w:pPr>
      <w:bookmarkStart w:id="367" w:name="_Ref442798138"/>
      <w:r>
        <w:t xml:space="preserve">2.6.2 </w:t>
      </w:r>
      <w:r w:rsidR="008B1C85">
        <w:t>Clinical Practice Guidelines</w:t>
      </w:r>
      <w:bookmarkEnd w:id="367"/>
    </w:p>
    <w:p w14:paraId="408B3237" w14:textId="77777777" w:rsidR="008B1C85" w:rsidRPr="00CB24CB" w:rsidRDefault="008B1C85" w:rsidP="00CB5570">
      <w:pPr>
        <w:pStyle w:val="AttHeading4"/>
      </w:pPr>
      <w:r w:rsidRPr="00CB24CB">
        <w:t>Asthma</w:t>
      </w:r>
    </w:p>
    <w:p w14:paraId="3712365B" w14:textId="77777777" w:rsidR="008B1C85" w:rsidRPr="00CB24CB" w:rsidRDefault="008B1C85" w:rsidP="00CB5570">
      <w:pPr>
        <w:pStyle w:val="AttHeading5"/>
      </w:pPr>
      <w:r w:rsidRPr="00CB24CB">
        <w:t>National Asthma Council Australia (2015)</w:t>
      </w:r>
    </w:p>
    <w:p w14:paraId="50BC1ABF" w14:textId="77777777" w:rsidR="00803F4C" w:rsidRDefault="008B1C85" w:rsidP="00B50F00">
      <w:r>
        <w:t>Consensus-based recommendations about the use of lung function testing as part of long-term asthma monitoring in adults are listed in</w:t>
      </w:r>
      <w:r w:rsidR="0063592C">
        <w:t xml:space="preserve"> Table 30</w:t>
      </w:r>
      <w:r>
        <w:t>.</w:t>
      </w:r>
      <w:r w:rsidR="00803F4C">
        <w:br w:type="page"/>
      </w:r>
    </w:p>
    <w:p w14:paraId="5B5AFB7C" w14:textId="07C97C0C" w:rsidR="008B1C85" w:rsidRDefault="0063592C" w:rsidP="00DF3A06">
      <w:pPr>
        <w:pStyle w:val="Appcaption"/>
      </w:pPr>
      <w:r w:rsidRPr="00803F4C">
        <w:lastRenderedPageBreak/>
        <w:t xml:space="preserve">Table </w:t>
      </w:r>
      <w:fldSimple w:instr=" SEQ Title \* ARABIC ">
        <w:r w:rsidR="00F2203C">
          <w:rPr>
            <w:noProof/>
          </w:rPr>
          <w:t>30</w:t>
        </w:r>
      </w:fldSimple>
      <w:r w:rsidR="008B1C85" w:rsidRPr="00803F4C">
        <w:rPr>
          <w:noProof/>
        </w:rPr>
        <w:tab/>
        <w:t>NAC (2015):</w:t>
      </w:r>
      <w:r w:rsidR="008B1C85" w:rsidRPr="00803F4C">
        <w:t xml:space="preserve"> Guidance relating to the use of spirometry for ongoing monitoring of asthma in adults</w:t>
      </w:r>
    </w:p>
    <w:tbl>
      <w:tblPr>
        <w:tblStyle w:val="TableGrid"/>
        <w:tblW w:w="0" w:type="auto"/>
        <w:tblLook w:val="04A0" w:firstRow="1" w:lastRow="0" w:firstColumn="1" w:lastColumn="0" w:noHBand="0" w:noVBand="1"/>
        <w:tblDescription w:val="Appendix C table 29 list the 2015 National Asthma Council (NAC) guidance. This table contains 3 column headings: 1. Action, 2. Recommendations and 3. Type of recommendation for use of spirometry for ongoing monitoring of asthma in adults."/>
      </w:tblPr>
      <w:tblGrid>
        <w:gridCol w:w="2453"/>
        <w:gridCol w:w="4268"/>
        <w:gridCol w:w="2340"/>
      </w:tblGrid>
      <w:tr w:rsidR="00634EE3" w:rsidRPr="00A0517F" w14:paraId="5CC93E1F" w14:textId="77777777" w:rsidTr="0099709F">
        <w:trPr>
          <w:tblHeader/>
        </w:trPr>
        <w:tc>
          <w:tcPr>
            <w:tcW w:w="2518" w:type="dxa"/>
            <w:tcBorders>
              <w:top w:val="single" w:sz="4" w:space="0" w:color="auto"/>
              <w:left w:val="single" w:sz="4" w:space="0" w:color="auto"/>
              <w:bottom w:val="single" w:sz="4" w:space="0" w:color="auto"/>
              <w:right w:val="single" w:sz="4" w:space="0" w:color="auto"/>
            </w:tcBorders>
          </w:tcPr>
          <w:p w14:paraId="4C6EA5AE" w14:textId="77777777" w:rsidR="00634EE3" w:rsidRPr="004C005F" w:rsidRDefault="00595566" w:rsidP="00634EE3">
            <w:pPr>
              <w:pStyle w:val="Tableheading"/>
            </w:pPr>
            <w:r>
              <w:t>Clinical component</w:t>
            </w:r>
          </w:p>
        </w:tc>
        <w:tc>
          <w:tcPr>
            <w:tcW w:w="4394" w:type="dxa"/>
            <w:tcBorders>
              <w:top w:val="single" w:sz="4" w:space="0" w:color="auto"/>
              <w:left w:val="single" w:sz="4" w:space="0" w:color="auto"/>
              <w:bottom w:val="single" w:sz="4" w:space="0" w:color="auto"/>
              <w:right w:val="single" w:sz="4" w:space="0" w:color="auto"/>
            </w:tcBorders>
          </w:tcPr>
          <w:p w14:paraId="4BD6D1B0" w14:textId="77777777" w:rsidR="00634EE3" w:rsidRPr="004C005F" w:rsidRDefault="00634EE3" w:rsidP="00634EE3">
            <w:pPr>
              <w:pStyle w:val="Tableheading"/>
            </w:pPr>
            <w:r w:rsidRPr="004C005F">
              <w:t>Recommendations</w:t>
            </w:r>
          </w:p>
        </w:tc>
        <w:tc>
          <w:tcPr>
            <w:tcW w:w="2375" w:type="dxa"/>
            <w:tcBorders>
              <w:top w:val="single" w:sz="4" w:space="0" w:color="auto"/>
              <w:left w:val="single" w:sz="4" w:space="0" w:color="auto"/>
              <w:bottom w:val="single" w:sz="4" w:space="0" w:color="auto"/>
              <w:right w:val="single" w:sz="4" w:space="0" w:color="auto"/>
            </w:tcBorders>
          </w:tcPr>
          <w:p w14:paraId="0B371FBD" w14:textId="77777777" w:rsidR="00634EE3" w:rsidRPr="004C005F" w:rsidRDefault="00634EE3" w:rsidP="00634EE3">
            <w:pPr>
              <w:pStyle w:val="Tableheading"/>
              <w:rPr>
                <w:rFonts w:cstheme="minorHAnsi"/>
              </w:rPr>
            </w:pPr>
            <w:r w:rsidRPr="004C005F">
              <w:rPr>
                <w:rFonts w:cstheme="minorHAnsi"/>
              </w:rPr>
              <w:t>Type of recommendation</w:t>
            </w:r>
          </w:p>
        </w:tc>
      </w:tr>
      <w:tr w:rsidR="00634EE3" w:rsidRPr="00A0517F" w14:paraId="7D2C45F4" w14:textId="77777777" w:rsidTr="0099709F">
        <w:tc>
          <w:tcPr>
            <w:tcW w:w="2518" w:type="dxa"/>
            <w:tcBorders>
              <w:top w:val="single" w:sz="4" w:space="0" w:color="auto"/>
              <w:left w:val="single" w:sz="4" w:space="0" w:color="auto"/>
              <w:bottom w:val="single" w:sz="4" w:space="0" w:color="auto"/>
              <w:right w:val="single" w:sz="4" w:space="0" w:color="auto"/>
            </w:tcBorders>
          </w:tcPr>
          <w:p w14:paraId="2F610866" w14:textId="77777777" w:rsidR="00634EE3" w:rsidRPr="00A0517F" w:rsidRDefault="00634EE3" w:rsidP="008B1C85">
            <w:pPr>
              <w:pStyle w:val="Tabletext"/>
              <w:rPr>
                <w:rFonts w:cstheme="minorHAnsi"/>
              </w:rPr>
            </w:pPr>
            <w:r w:rsidRPr="00A0517F">
              <w:rPr>
                <w:rFonts w:cstheme="minorHAnsi"/>
              </w:rPr>
              <w:t>Assessing recent asthma symptom control and risk of adverse asthma outcomes in adults</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88C026D" w14:textId="77777777" w:rsidR="00634EE3" w:rsidRPr="00A0517F" w:rsidRDefault="00634EE3" w:rsidP="008B1C85">
            <w:pPr>
              <w:pStyle w:val="Tabletext"/>
              <w:rPr>
                <w:rFonts w:cstheme="minorHAnsi"/>
              </w:rPr>
            </w:pPr>
            <w:r w:rsidRPr="00A0517F">
              <w:rPr>
                <w:rFonts w:cstheme="minorHAnsi"/>
              </w:rPr>
              <w:t>Measure lung function by spirometry to establish the patient’s baseline values.</w:t>
            </w:r>
          </w:p>
          <w:p w14:paraId="6E45F379" w14:textId="77777777" w:rsidR="00634EE3" w:rsidRPr="00A0517F" w:rsidRDefault="00634EE3" w:rsidP="008B1C85">
            <w:pPr>
              <w:pStyle w:val="04Tabletextspaceitalics"/>
              <w:keepNext w:val="0"/>
              <w:rPr>
                <w:rFonts w:asciiTheme="minorHAnsi" w:hAnsiTheme="minorHAnsi" w:cstheme="minorHAnsi"/>
              </w:rPr>
            </w:pPr>
            <w:r w:rsidRPr="00A0517F">
              <w:rPr>
                <w:rFonts w:asciiTheme="minorHAnsi" w:hAnsiTheme="minorHAnsi" w:cstheme="minorHAnsi"/>
              </w:rPr>
              <w:t>Note: If reliable equipment and appropriately trained staff are available, spirometry can be performed in primary care. If not, refer to an appropriate provider such as an accredited respiratory function laboratory.</w:t>
            </w:r>
          </w:p>
          <w:p w14:paraId="0C9A6E08" w14:textId="77777777" w:rsidR="00634EE3" w:rsidRPr="00A0517F" w:rsidRDefault="00634EE3" w:rsidP="008B1C85">
            <w:pPr>
              <w:pStyle w:val="04Tabletextspaceitalics"/>
              <w:keepNext w:val="0"/>
              <w:rPr>
                <w:rFonts w:asciiTheme="minorHAnsi" w:hAnsiTheme="minorHAnsi" w:cstheme="minorHAnsi"/>
              </w:rPr>
            </w:pPr>
            <w:r w:rsidRPr="00A0517F">
              <w:rPr>
                <w:rFonts w:asciiTheme="minorHAnsi" w:hAnsiTheme="minorHAnsi" w:cstheme="minorHAnsi"/>
              </w:rPr>
              <w:t>Document if spirometry is pre- or post-bronchodilator.</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1B7BF32A" w14:textId="77777777" w:rsidR="00634EE3" w:rsidRPr="00A0517F" w:rsidRDefault="00634EE3" w:rsidP="008B1C85">
            <w:pPr>
              <w:pStyle w:val="Tabletext"/>
              <w:rPr>
                <w:rFonts w:cstheme="minorHAnsi"/>
              </w:rPr>
            </w:pPr>
            <w:r w:rsidRPr="00A0517F">
              <w:rPr>
                <w:rFonts w:cstheme="minorHAnsi"/>
              </w:rPr>
              <w:t>Consensus recommendation</w:t>
            </w:r>
          </w:p>
        </w:tc>
      </w:tr>
      <w:tr w:rsidR="00634EE3" w:rsidRPr="00A0517F" w14:paraId="0C63A875" w14:textId="77777777" w:rsidTr="0099709F">
        <w:tc>
          <w:tcPr>
            <w:tcW w:w="2518" w:type="dxa"/>
            <w:tcBorders>
              <w:top w:val="single" w:sz="4" w:space="0" w:color="auto"/>
              <w:left w:val="single" w:sz="4" w:space="0" w:color="auto"/>
              <w:bottom w:val="single" w:sz="4" w:space="0" w:color="auto"/>
              <w:right w:val="single" w:sz="4" w:space="0" w:color="auto"/>
            </w:tcBorders>
          </w:tcPr>
          <w:p w14:paraId="2684AE95" w14:textId="77777777" w:rsidR="00634EE3" w:rsidRPr="00A0517F" w:rsidRDefault="00634EE3" w:rsidP="008B1C85">
            <w:pPr>
              <w:pStyle w:val="Tabletext"/>
              <w:rPr>
                <w:rFonts w:cstheme="minorHAnsi"/>
              </w:rPr>
            </w:pPr>
            <w:r w:rsidRPr="00A0517F">
              <w:rPr>
                <w:rFonts w:cstheme="minorHAnsi"/>
              </w:rPr>
              <w:t>Conducting asthma review at scheduled asthma visits</w:t>
            </w:r>
            <w:r w:rsidRPr="00A0517F">
              <w:rPr>
                <w:rStyle w:val="FootnoteReference"/>
                <w:rFonts w:cstheme="minorHAnsi"/>
              </w:rPr>
              <w:footnoteReference w:id="21"/>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B2A573B" w14:textId="77777777" w:rsidR="00634EE3" w:rsidRPr="00A0517F" w:rsidRDefault="00634EE3" w:rsidP="008B1C85">
            <w:pPr>
              <w:pStyle w:val="Tabletext"/>
              <w:rPr>
                <w:rFonts w:cstheme="minorHAnsi"/>
              </w:rPr>
            </w:pPr>
            <w:r w:rsidRPr="00A0517F">
              <w:rPr>
                <w:rFonts w:cstheme="minorHAnsi"/>
              </w:rPr>
              <w:t>At scheduled asthma visits, assess (all of):</w:t>
            </w:r>
          </w:p>
          <w:p w14:paraId="326148C1" w14:textId="77777777" w:rsidR="00634EE3" w:rsidRPr="00A0517F" w:rsidRDefault="00634EE3" w:rsidP="00803F4C">
            <w:pPr>
              <w:pStyle w:val="Tablebullet"/>
            </w:pPr>
            <w:r w:rsidRPr="00A0517F">
              <w:t>any problems or issues the person is having with their asthma</w:t>
            </w:r>
          </w:p>
          <w:p w14:paraId="5930D12E" w14:textId="77777777" w:rsidR="00634EE3" w:rsidRPr="00A0517F" w:rsidRDefault="00634EE3" w:rsidP="00803F4C">
            <w:pPr>
              <w:pStyle w:val="Tablebullet"/>
            </w:pPr>
            <w:r w:rsidRPr="00A0517F">
              <w:t>current level of control based on symptoms and reliever use during the previous 4 weeks</w:t>
            </w:r>
          </w:p>
          <w:p w14:paraId="40D5ACF9" w14:textId="77777777" w:rsidR="00634EE3" w:rsidRPr="00A0517F" w:rsidRDefault="00634EE3" w:rsidP="00803F4C">
            <w:pPr>
              <w:pStyle w:val="Tablebullet"/>
            </w:pPr>
            <w:r w:rsidRPr="00A0517F">
              <w:t>flare-ups during the previous 12 months</w:t>
            </w:r>
          </w:p>
          <w:p w14:paraId="6059AF70" w14:textId="77777777" w:rsidR="00634EE3" w:rsidRPr="00A0517F" w:rsidRDefault="00634EE3" w:rsidP="00803F4C">
            <w:pPr>
              <w:pStyle w:val="Tablebullet"/>
            </w:pPr>
            <w:r w:rsidRPr="00A0517F">
              <w:t>lung function (every 1–2 years for most people; more often when good asthma control has been lost or not achieved, or when the person has a known risk factor for accelerated loss of lung function)</w:t>
            </w:r>
          </w:p>
          <w:p w14:paraId="6BAC3380" w14:textId="77777777" w:rsidR="00634EE3" w:rsidRPr="00A0517F" w:rsidRDefault="00634EE3" w:rsidP="00803F4C">
            <w:pPr>
              <w:pStyle w:val="Tablebullet"/>
            </w:pPr>
            <w:r w:rsidRPr="00A0517F">
              <w:t>other risk factors (e.g. smoking, exposure to other triggers) or comorbid conditions</w:t>
            </w:r>
          </w:p>
          <w:p w14:paraId="4840B135" w14:textId="77777777" w:rsidR="00634EE3" w:rsidRPr="00A0517F" w:rsidRDefault="00634EE3" w:rsidP="00803F4C">
            <w:pPr>
              <w:pStyle w:val="Tablebullet"/>
            </w:pPr>
            <w:r w:rsidRPr="00A0517F">
              <w:t>current treatment, including adherence to preventer if prescribed. Do not assume the person is taking the dose most recently prescribed. Ask which asthma medicines the person is using, in a non-judgmental, empathic manner</w:t>
            </w:r>
          </w:p>
          <w:p w14:paraId="74DB13E5" w14:textId="77777777" w:rsidR="00634EE3" w:rsidRPr="00A0517F" w:rsidRDefault="00634EE3" w:rsidP="00803F4C">
            <w:pPr>
              <w:pStyle w:val="Tablebullet"/>
            </w:pPr>
            <w:r w:rsidRPr="00A0517F">
              <w:t>inhaler technique</w:t>
            </w:r>
          </w:p>
          <w:p w14:paraId="139729A3" w14:textId="77777777" w:rsidR="00634EE3" w:rsidRPr="00A0517F" w:rsidRDefault="00634EE3" w:rsidP="00803F4C">
            <w:pPr>
              <w:pStyle w:val="Tablebullet"/>
            </w:pPr>
            <w:r w:rsidRPr="00A0517F">
              <w:t>whether the person has a written asthma action plan and knows how to use it, and whether it is up to date</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292505FE" w14:textId="77777777" w:rsidR="00634EE3" w:rsidRPr="00A0517F" w:rsidRDefault="00634EE3" w:rsidP="008B1C85">
            <w:pPr>
              <w:pStyle w:val="Tabletext"/>
              <w:rPr>
                <w:rFonts w:cstheme="minorHAnsi"/>
              </w:rPr>
            </w:pPr>
            <w:r w:rsidRPr="00A0517F">
              <w:rPr>
                <w:rFonts w:cstheme="minorHAnsi"/>
              </w:rPr>
              <w:t>Consensus recommendation</w:t>
            </w:r>
          </w:p>
        </w:tc>
      </w:tr>
      <w:tr w:rsidR="00803F4C" w:rsidRPr="00A0517F" w14:paraId="32586726" w14:textId="77777777" w:rsidTr="0099709F">
        <w:tc>
          <w:tcPr>
            <w:tcW w:w="2518" w:type="dxa"/>
            <w:vMerge w:val="restart"/>
            <w:tcBorders>
              <w:top w:val="single" w:sz="4" w:space="0" w:color="auto"/>
              <w:left w:val="single" w:sz="4" w:space="0" w:color="auto"/>
              <w:right w:val="single" w:sz="4" w:space="0" w:color="auto"/>
            </w:tcBorders>
            <w:shd w:val="clear" w:color="auto" w:fill="FFFFFF" w:themeFill="background1"/>
          </w:tcPr>
          <w:p w14:paraId="66425968" w14:textId="77777777" w:rsidR="00803F4C" w:rsidRPr="00A0517F" w:rsidRDefault="00803F4C" w:rsidP="008B1C85">
            <w:pPr>
              <w:pStyle w:val="Tabletext"/>
              <w:rPr>
                <w:rFonts w:cstheme="minorHAnsi"/>
              </w:rPr>
            </w:pPr>
            <w:r w:rsidRPr="00A0517F">
              <w:rPr>
                <w:rFonts w:cstheme="minorHAnsi"/>
              </w:rPr>
              <w:t>Performing spirometry in asthma review in adults</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1A6CE0DF" w14:textId="77777777" w:rsidR="00803F4C" w:rsidRPr="00A0517F" w:rsidRDefault="00803F4C" w:rsidP="008B1C85">
            <w:pPr>
              <w:pStyle w:val="Tabletext"/>
              <w:rPr>
                <w:rFonts w:cstheme="minorHAnsi"/>
              </w:rPr>
            </w:pPr>
            <w:r w:rsidRPr="00A0517F">
              <w:rPr>
                <w:rFonts w:cstheme="minorHAnsi"/>
              </w:rPr>
              <w:t>Perform or arrange spirometry at baseline and after symptoms stabilise (3–6 months) to establish the person’s personal best as the basis for future comparison.</w:t>
            </w:r>
          </w:p>
          <w:p w14:paraId="5DFB88AD" w14:textId="77777777" w:rsidR="00803F4C" w:rsidRPr="00A0517F" w:rsidRDefault="00803F4C" w:rsidP="008B1C85">
            <w:pPr>
              <w:pStyle w:val="04Tabletextspaceitalics"/>
              <w:keepNext w:val="0"/>
              <w:rPr>
                <w:rFonts w:asciiTheme="minorHAnsi" w:hAnsiTheme="minorHAnsi" w:cstheme="minorHAnsi"/>
              </w:rPr>
            </w:pPr>
            <w:r w:rsidRPr="00A0517F">
              <w:rPr>
                <w:rFonts w:asciiTheme="minorHAnsi" w:hAnsiTheme="minorHAnsi" w:cstheme="minorHAnsi"/>
              </w:rPr>
              <w:t>Note: If reliable equipment and appropriately trained staff are available, spirometry can be performed in primary care. If not, refer to an appropriate provider such as an accredited respiratory function laboratory.</w:t>
            </w: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B7417F" w14:textId="77777777" w:rsidR="00803F4C" w:rsidRPr="00A0517F" w:rsidRDefault="00803F4C" w:rsidP="008B1C85">
            <w:pPr>
              <w:pStyle w:val="Tabletext"/>
              <w:rPr>
                <w:rFonts w:cstheme="minorHAnsi"/>
              </w:rPr>
            </w:pPr>
            <w:r w:rsidRPr="00A0517F">
              <w:rPr>
                <w:rFonts w:cstheme="minorHAnsi"/>
              </w:rPr>
              <w:t>Consensus recommendation</w:t>
            </w:r>
          </w:p>
        </w:tc>
      </w:tr>
      <w:tr w:rsidR="00803F4C" w:rsidRPr="00A0517F" w14:paraId="4F6DFE34" w14:textId="77777777" w:rsidTr="00595566">
        <w:trPr>
          <w:trHeight w:val="2108"/>
        </w:trPr>
        <w:tc>
          <w:tcPr>
            <w:tcW w:w="2518" w:type="dxa"/>
            <w:vMerge/>
            <w:tcBorders>
              <w:left w:val="single" w:sz="4" w:space="0" w:color="auto"/>
              <w:right w:val="single" w:sz="4" w:space="0" w:color="auto"/>
            </w:tcBorders>
            <w:shd w:val="clear" w:color="auto" w:fill="DBE5F1" w:themeFill="accent1" w:themeFillTint="33"/>
          </w:tcPr>
          <w:p w14:paraId="0479F79F" w14:textId="77777777" w:rsidR="00803F4C" w:rsidRPr="00A0517F" w:rsidRDefault="00803F4C" w:rsidP="008B1C85">
            <w:pPr>
              <w:pStyle w:val="Tabletext"/>
              <w:rPr>
                <w:rFonts w:cstheme="minorHAnsi"/>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561D47EE" w14:textId="77777777" w:rsidR="00803F4C" w:rsidRPr="00A0517F" w:rsidRDefault="00803F4C" w:rsidP="008B1C85">
            <w:pPr>
              <w:pStyle w:val="Tabletext"/>
              <w:rPr>
                <w:rFonts w:cstheme="minorHAnsi"/>
              </w:rPr>
            </w:pPr>
            <w:r w:rsidRPr="00A0517F">
              <w:rPr>
                <w:rFonts w:cstheme="minorHAnsi"/>
              </w:rPr>
              <w:t>Perform spirometry before and after bronchodilator. Ask patients to use their own reliever inhaler and take the opportunity to check inhaler technique.</w:t>
            </w:r>
          </w:p>
          <w:p w14:paraId="3C5D6601" w14:textId="77777777" w:rsidR="00803F4C" w:rsidRPr="00A0517F" w:rsidRDefault="00803F4C" w:rsidP="008B1C85">
            <w:pPr>
              <w:pStyle w:val="04Tabletextspaceitalics"/>
              <w:rPr>
                <w:rFonts w:asciiTheme="minorHAnsi" w:hAnsiTheme="minorHAnsi" w:cstheme="minorHAnsi"/>
                <w:b/>
              </w:rPr>
            </w:pPr>
            <w:r w:rsidRPr="00A0517F">
              <w:rPr>
                <w:rFonts w:asciiTheme="minorHAnsi" w:hAnsiTheme="minorHAnsi" w:cstheme="minorHAnsi"/>
                <w:b/>
              </w:rPr>
              <w:t>Note: Spirometry is reimbursed by MBS only if pre- and post-bronchodilator readings are taken and a permanently recorded tracing is retained.</w:t>
            </w: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14:paraId="661F0775" w14:textId="77777777" w:rsidR="00803F4C" w:rsidRPr="00A0517F" w:rsidRDefault="00803F4C" w:rsidP="008B1C85">
            <w:pPr>
              <w:pStyle w:val="Tabletext"/>
              <w:rPr>
                <w:rFonts w:cstheme="minorHAnsi"/>
              </w:rPr>
            </w:pPr>
            <w:r w:rsidRPr="00A0517F">
              <w:rPr>
                <w:rFonts w:cstheme="minorHAnsi"/>
              </w:rPr>
              <w:t>Consensus recommendation</w:t>
            </w:r>
          </w:p>
        </w:tc>
      </w:tr>
      <w:tr w:rsidR="00803F4C" w:rsidRPr="00A0517F" w14:paraId="6C1E1D6C" w14:textId="77777777" w:rsidTr="0099709F">
        <w:tc>
          <w:tcPr>
            <w:tcW w:w="2518" w:type="dxa"/>
            <w:vMerge/>
            <w:tcBorders>
              <w:left w:val="single" w:sz="4" w:space="0" w:color="auto"/>
              <w:right w:val="single" w:sz="4" w:space="0" w:color="auto"/>
            </w:tcBorders>
            <w:shd w:val="clear" w:color="auto" w:fill="FFFFFF" w:themeFill="background1"/>
          </w:tcPr>
          <w:p w14:paraId="49BDDD8B" w14:textId="77777777" w:rsidR="00803F4C" w:rsidRPr="00A0517F" w:rsidRDefault="00803F4C" w:rsidP="008B1C85">
            <w:pPr>
              <w:pStyle w:val="Tabletext"/>
              <w:rPr>
                <w:rFonts w:cstheme="minorHAnsi"/>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13E8F05F" w14:textId="77777777" w:rsidR="00803F4C" w:rsidRPr="00A0517F" w:rsidRDefault="00803F4C" w:rsidP="008B1C85">
            <w:pPr>
              <w:pStyle w:val="Tabletext"/>
              <w:rPr>
                <w:rFonts w:cstheme="minorHAnsi"/>
              </w:rPr>
            </w:pPr>
            <w:r w:rsidRPr="00A0517F">
              <w:rPr>
                <w:rFonts w:cstheme="minorHAnsi"/>
              </w:rPr>
              <w:t>Do not advise patients to skip their preventer before a spirometry visit, but document whether the person has taken a combination preventer that contains a long-acting beta</w:t>
            </w:r>
            <w:r w:rsidRPr="00A0517F">
              <w:rPr>
                <w:rFonts w:cstheme="minorHAnsi"/>
                <w:vertAlign w:val="subscript"/>
              </w:rPr>
              <w:t>2</w:t>
            </w:r>
            <w:r w:rsidRPr="00A0517F">
              <w:rPr>
                <w:rFonts w:cstheme="minorHAnsi"/>
              </w:rPr>
              <w:t xml:space="preserve"> agonist on the day of spirometry.</w:t>
            </w:r>
          </w:p>
          <w:p w14:paraId="6A5A1BF0" w14:textId="77777777" w:rsidR="00803F4C" w:rsidRPr="00A0517F" w:rsidRDefault="00803F4C" w:rsidP="008B1C85">
            <w:pPr>
              <w:pStyle w:val="04Tabletextspaceitalics"/>
              <w:keepNext w:val="0"/>
              <w:rPr>
                <w:rFonts w:asciiTheme="minorHAnsi" w:hAnsiTheme="minorHAnsi" w:cstheme="minorHAnsi"/>
              </w:rPr>
            </w:pPr>
            <w:r w:rsidRPr="00A0517F">
              <w:rPr>
                <w:rFonts w:asciiTheme="minorHAnsi" w:hAnsiTheme="minorHAnsi" w:cstheme="minorHAnsi"/>
              </w:rPr>
              <w:t>Note: Patients referred to a respiratory function laboratory may be asked to skip certain medicines before a spirometry visit.</w:t>
            </w: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14:paraId="1DEEC591" w14:textId="77777777" w:rsidR="00803F4C" w:rsidRPr="00A0517F" w:rsidRDefault="00803F4C" w:rsidP="008B1C85">
            <w:pPr>
              <w:pStyle w:val="Tabletext"/>
              <w:rPr>
                <w:rFonts w:cstheme="minorHAnsi"/>
              </w:rPr>
            </w:pPr>
            <w:r w:rsidRPr="00A0517F">
              <w:rPr>
                <w:rFonts w:cstheme="minorHAnsi"/>
              </w:rPr>
              <w:t>Consensus recommendation</w:t>
            </w:r>
          </w:p>
        </w:tc>
      </w:tr>
      <w:tr w:rsidR="00803F4C" w:rsidRPr="00A0517F" w14:paraId="782E1CA1" w14:textId="77777777" w:rsidTr="00595566">
        <w:tc>
          <w:tcPr>
            <w:tcW w:w="2518" w:type="dxa"/>
            <w:vMerge/>
            <w:tcBorders>
              <w:left w:val="single" w:sz="4" w:space="0" w:color="auto"/>
              <w:right w:val="single" w:sz="4" w:space="0" w:color="auto"/>
            </w:tcBorders>
            <w:shd w:val="clear" w:color="auto" w:fill="DBE5F1" w:themeFill="accent1" w:themeFillTint="33"/>
          </w:tcPr>
          <w:p w14:paraId="5A5B9897" w14:textId="77777777" w:rsidR="00803F4C" w:rsidRPr="00A0517F" w:rsidRDefault="00803F4C" w:rsidP="008B1C85">
            <w:pPr>
              <w:pStyle w:val="Tabletext"/>
              <w:rPr>
                <w:rFonts w:cstheme="minorHAnsi"/>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9C97A" w14:textId="77777777" w:rsidR="00803F4C" w:rsidRPr="00A0517F" w:rsidRDefault="00803F4C" w:rsidP="008B1C85">
            <w:pPr>
              <w:pStyle w:val="Tabletext"/>
              <w:rPr>
                <w:rFonts w:cstheme="minorHAnsi"/>
              </w:rPr>
            </w:pPr>
            <w:r w:rsidRPr="00A0517F">
              <w:rPr>
                <w:rFonts w:cstheme="minorHAnsi"/>
              </w:rPr>
              <w:t>Measure lung function using spirometry when:</w:t>
            </w:r>
          </w:p>
          <w:p w14:paraId="37B30106" w14:textId="77777777" w:rsidR="00803F4C" w:rsidRPr="00A0517F" w:rsidRDefault="00803F4C" w:rsidP="00803F4C">
            <w:pPr>
              <w:pStyle w:val="Tablebullet"/>
            </w:pPr>
            <w:r w:rsidRPr="00A0517F">
              <w:t>making or confirming the diagnosis</w:t>
            </w:r>
          </w:p>
          <w:p w14:paraId="693B0364" w14:textId="77777777" w:rsidR="00803F4C" w:rsidRPr="00A0517F" w:rsidRDefault="00803F4C" w:rsidP="00803F4C">
            <w:pPr>
              <w:pStyle w:val="Tablebullet"/>
            </w:pPr>
            <w:r w:rsidRPr="00A0517F">
              <w:t>assessing future risk</w:t>
            </w:r>
          </w:p>
          <w:p w14:paraId="17FE06B8" w14:textId="77777777" w:rsidR="00803F4C" w:rsidRPr="00A0517F" w:rsidRDefault="00803F4C" w:rsidP="00803F4C">
            <w:pPr>
              <w:pStyle w:val="Tablebullet"/>
            </w:pPr>
            <w:r w:rsidRPr="00A0517F">
              <w:t>person has been experiencing worsening asthma control or a flare-up</w:t>
            </w:r>
          </w:p>
          <w:p w14:paraId="07549032" w14:textId="77777777" w:rsidR="00803F4C" w:rsidRPr="00A0517F" w:rsidRDefault="00803F4C" w:rsidP="00803F4C">
            <w:pPr>
              <w:pStyle w:val="Tablebullet"/>
            </w:pPr>
            <w:r w:rsidRPr="00A0517F">
              <w:t>monitoring response after dose adjustment</w:t>
            </w:r>
          </w:p>
          <w:p w14:paraId="522C8F5A" w14:textId="77777777" w:rsidR="00803F4C" w:rsidRPr="00A0517F" w:rsidRDefault="00803F4C" w:rsidP="00803F4C">
            <w:pPr>
              <w:pStyle w:val="Tablebullet"/>
            </w:pPr>
            <w:r w:rsidRPr="00A0517F">
              <w:t>periodically reviewing asthma (every 1–2 years for most patients).</w:t>
            </w: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14:paraId="12844A96" w14:textId="77777777" w:rsidR="00803F4C" w:rsidRPr="00A0517F" w:rsidRDefault="00803F4C" w:rsidP="008B1C85">
            <w:pPr>
              <w:pStyle w:val="Tabletext"/>
              <w:rPr>
                <w:rFonts w:cstheme="minorHAnsi"/>
              </w:rPr>
            </w:pPr>
            <w:r w:rsidRPr="00A0517F">
              <w:rPr>
                <w:rFonts w:cstheme="minorHAnsi"/>
              </w:rPr>
              <w:t>Consensus recommendation</w:t>
            </w:r>
          </w:p>
        </w:tc>
      </w:tr>
      <w:tr w:rsidR="00803F4C" w:rsidRPr="00A0517F" w14:paraId="0877C8F1" w14:textId="77777777" w:rsidTr="0099709F">
        <w:tc>
          <w:tcPr>
            <w:tcW w:w="2518" w:type="dxa"/>
            <w:vMerge/>
            <w:tcBorders>
              <w:left w:val="single" w:sz="4" w:space="0" w:color="auto"/>
              <w:right w:val="single" w:sz="4" w:space="0" w:color="auto"/>
            </w:tcBorders>
            <w:shd w:val="clear" w:color="auto" w:fill="FFFFFF" w:themeFill="background1"/>
          </w:tcPr>
          <w:p w14:paraId="1C0D38E9" w14:textId="77777777" w:rsidR="00803F4C" w:rsidRPr="00A0517F" w:rsidRDefault="00803F4C" w:rsidP="008B1C85">
            <w:pPr>
              <w:pStyle w:val="Tabletext"/>
              <w:rPr>
                <w:rFonts w:cstheme="minorHAnsi"/>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424D1631" w14:textId="77777777" w:rsidR="00803F4C" w:rsidRPr="00A0517F" w:rsidRDefault="00803F4C" w:rsidP="008B1C85">
            <w:pPr>
              <w:pStyle w:val="Tabletext"/>
              <w:rPr>
                <w:rFonts w:cstheme="minorHAnsi"/>
              </w:rPr>
            </w:pPr>
            <w:r w:rsidRPr="00A0517F">
              <w:rPr>
                <w:rFonts w:cstheme="minorHAnsi"/>
              </w:rPr>
              <w:t xml:space="preserve">Record spirometry at </w:t>
            </w:r>
            <w:r w:rsidRPr="00A0517F">
              <w:rPr>
                <w:rFonts w:cstheme="minorHAnsi"/>
                <w:b/>
              </w:rPr>
              <w:t>every</w:t>
            </w:r>
            <w:r w:rsidRPr="00A0517F">
              <w:rPr>
                <w:rFonts w:cstheme="minorHAnsi"/>
              </w:rPr>
              <w:t xml:space="preserve"> asthma visit for:</w:t>
            </w:r>
          </w:p>
          <w:p w14:paraId="22591D96" w14:textId="77777777" w:rsidR="00803F4C" w:rsidRPr="00A0517F" w:rsidRDefault="00803F4C" w:rsidP="00803F4C">
            <w:pPr>
              <w:pStyle w:val="Tablebullet"/>
            </w:pPr>
            <w:r w:rsidRPr="00A0517F">
              <w:t>patients with severe asthma</w:t>
            </w:r>
          </w:p>
          <w:p w14:paraId="4FD0B76B" w14:textId="77777777" w:rsidR="00803F4C" w:rsidRPr="00A0517F" w:rsidRDefault="00803F4C" w:rsidP="00803F4C">
            <w:pPr>
              <w:pStyle w:val="Tablebullet"/>
            </w:pPr>
            <w:r w:rsidRPr="00A0517F">
              <w:t>patients who are known to have poor perception of airflow limitation (e.g. those who do not feel any different with a 15% decrease or increase in FEV</w:t>
            </w:r>
            <w:r w:rsidRPr="00A0517F">
              <w:rPr>
                <w:vertAlign w:val="subscript"/>
              </w:rPr>
              <w:t>1</w:t>
            </w:r>
            <w:r w:rsidRPr="00A0517F">
              <w:t>).</w:t>
            </w: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1958FE" w14:textId="77777777" w:rsidR="00803F4C" w:rsidRPr="00A0517F" w:rsidRDefault="00803F4C" w:rsidP="008B1C85">
            <w:pPr>
              <w:pStyle w:val="Tabletext"/>
              <w:rPr>
                <w:rFonts w:cstheme="minorHAnsi"/>
              </w:rPr>
            </w:pPr>
            <w:r w:rsidRPr="00A0517F">
              <w:rPr>
                <w:rFonts w:cstheme="minorHAnsi"/>
              </w:rPr>
              <w:t>Consensus recommendation</w:t>
            </w:r>
          </w:p>
        </w:tc>
      </w:tr>
      <w:tr w:rsidR="00803F4C" w:rsidRPr="00A0517F" w14:paraId="1D35C744" w14:textId="77777777" w:rsidTr="00595566">
        <w:tc>
          <w:tcPr>
            <w:tcW w:w="2518" w:type="dxa"/>
            <w:vMerge/>
            <w:tcBorders>
              <w:left w:val="single" w:sz="4" w:space="0" w:color="auto"/>
              <w:bottom w:val="single" w:sz="4" w:space="0" w:color="auto"/>
              <w:right w:val="single" w:sz="4" w:space="0" w:color="auto"/>
            </w:tcBorders>
            <w:shd w:val="clear" w:color="auto" w:fill="DBE5F1" w:themeFill="accent1" w:themeFillTint="33"/>
          </w:tcPr>
          <w:p w14:paraId="76646FA8" w14:textId="77777777" w:rsidR="00803F4C" w:rsidRPr="00A0517F" w:rsidRDefault="00803F4C" w:rsidP="008B1C85">
            <w:pPr>
              <w:pStyle w:val="Tabletext"/>
              <w:rPr>
                <w:rFonts w:cstheme="minorHAnsi"/>
              </w:rPr>
            </w:pP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14:paraId="061C8362" w14:textId="77777777" w:rsidR="00803F4C" w:rsidRPr="00A0517F" w:rsidRDefault="00803F4C" w:rsidP="008B1C85">
            <w:pPr>
              <w:pStyle w:val="Tabletext"/>
              <w:rPr>
                <w:rFonts w:cstheme="minorHAnsi"/>
              </w:rPr>
            </w:pPr>
            <w:r w:rsidRPr="00A0517F">
              <w:rPr>
                <w:rFonts w:cstheme="minorHAnsi"/>
              </w:rPr>
              <w:t>When spirometry findings are markedly discordant with symptoms (e.g. normal spirometry in a patient with frequent symptoms, or FEV</w:t>
            </w:r>
            <w:r w:rsidRPr="00A0517F">
              <w:rPr>
                <w:rFonts w:cstheme="minorHAnsi"/>
                <w:vertAlign w:val="subscript"/>
              </w:rPr>
              <w:t>1</w:t>
            </w:r>
            <w:r w:rsidRPr="00A0517F">
              <w:rPr>
                <w:rFonts w:cstheme="minorHAnsi"/>
              </w:rPr>
              <w:t xml:space="preserve"> &lt;70% predicted in a patient with no symptoms), consider the possibility of an alternative diagnosis and consider referral for specialist assessment.</w:t>
            </w: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14:paraId="0EE90A1E" w14:textId="77777777" w:rsidR="00803F4C" w:rsidRPr="00A0517F" w:rsidRDefault="00803F4C" w:rsidP="008B1C85">
            <w:pPr>
              <w:pStyle w:val="Tabletext"/>
              <w:rPr>
                <w:rFonts w:cstheme="minorHAnsi"/>
              </w:rPr>
            </w:pPr>
            <w:r w:rsidRPr="00A0517F">
              <w:rPr>
                <w:rFonts w:cstheme="minorHAnsi"/>
              </w:rPr>
              <w:t>Consensus recommendation</w:t>
            </w:r>
          </w:p>
        </w:tc>
      </w:tr>
      <w:tr w:rsidR="00634EE3" w:rsidRPr="00A0517F" w14:paraId="1418FBB4" w14:textId="77777777" w:rsidTr="0099709F">
        <w:tc>
          <w:tcPr>
            <w:tcW w:w="2518" w:type="dxa"/>
            <w:tcBorders>
              <w:top w:val="single" w:sz="4" w:space="0" w:color="auto"/>
              <w:left w:val="single" w:sz="4" w:space="0" w:color="auto"/>
              <w:bottom w:val="single" w:sz="4" w:space="0" w:color="auto"/>
              <w:right w:val="single" w:sz="4" w:space="0" w:color="auto"/>
            </w:tcBorders>
          </w:tcPr>
          <w:p w14:paraId="332A2F2E" w14:textId="77777777" w:rsidR="00634EE3" w:rsidRPr="00A0517F" w:rsidRDefault="00634EE3" w:rsidP="008B1C85">
            <w:pPr>
              <w:pStyle w:val="Tabletext"/>
              <w:rPr>
                <w:rFonts w:cstheme="minorHAnsi"/>
              </w:rPr>
            </w:pPr>
            <w:r w:rsidRPr="00A0517F">
              <w:rPr>
                <w:rFonts w:cstheme="minorHAnsi"/>
              </w:rPr>
              <w:t>Reviewing asthma during visits for respiratory symptoms</w:t>
            </w:r>
          </w:p>
        </w:tc>
        <w:tc>
          <w:tcPr>
            <w:tcW w:w="4394" w:type="dxa"/>
            <w:tcBorders>
              <w:top w:val="single" w:sz="4" w:space="0" w:color="auto"/>
              <w:left w:val="single" w:sz="4" w:space="0" w:color="auto"/>
              <w:bottom w:val="single" w:sz="4" w:space="0" w:color="auto"/>
              <w:right w:val="single" w:sz="4" w:space="0" w:color="auto"/>
            </w:tcBorders>
          </w:tcPr>
          <w:p w14:paraId="7460C961" w14:textId="77777777" w:rsidR="00634EE3" w:rsidRPr="00A0517F" w:rsidRDefault="00634EE3" w:rsidP="008B1C85">
            <w:pPr>
              <w:pStyle w:val="Tabletext"/>
              <w:rPr>
                <w:rFonts w:cstheme="minorHAnsi"/>
              </w:rPr>
            </w:pPr>
            <w:r w:rsidRPr="00A0517F">
              <w:rPr>
                <w:rFonts w:cstheme="minorHAnsi"/>
              </w:rPr>
              <w:t>If current symptoms are probably due to asthma, assess:</w:t>
            </w:r>
          </w:p>
          <w:p w14:paraId="401A8DFE" w14:textId="77777777" w:rsidR="00634EE3" w:rsidRPr="00A0517F" w:rsidRDefault="00634EE3" w:rsidP="00803F4C">
            <w:pPr>
              <w:pStyle w:val="Tablebullet"/>
            </w:pPr>
            <w:r w:rsidRPr="00A0517F">
              <w:t>level of recent asthma symptom control including symptoms and reliever use</w:t>
            </w:r>
          </w:p>
          <w:p w14:paraId="55C61793" w14:textId="77777777" w:rsidR="00634EE3" w:rsidRPr="00A0517F" w:rsidRDefault="00634EE3" w:rsidP="00803F4C">
            <w:pPr>
              <w:pStyle w:val="Tablebullet"/>
            </w:pPr>
            <w:r w:rsidRPr="00A0517F">
              <w:t>flare-ups during the previous 12 months</w:t>
            </w:r>
          </w:p>
          <w:p w14:paraId="2B833520" w14:textId="77777777" w:rsidR="00634EE3" w:rsidRPr="00A0517F" w:rsidRDefault="00634EE3" w:rsidP="00803F4C">
            <w:pPr>
              <w:pStyle w:val="Tablebullet"/>
            </w:pPr>
            <w:r w:rsidRPr="00A0517F">
              <w:t>lung function (if possible)</w:t>
            </w:r>
          </w:p>
          <w:p w14:paraId="6399D47B" w14:textId="77777777" w:rsidR="00634EE3" w:rsidRPr="00A0517F" w:rsidRDefault="00634EE3" w:rsidP="00803F4C">
            <w:pPr>
              <w:pStyle w:val="Tablebullet"/>
            </w:pPr>
            <w:r w:rsidRPr="00A0517F">
              <w:t>other risk factors (e.g. smoking, exposure to other triggers) or comorbid conditions</w:t>
            </w:r>
          </w:p>
          <w:p w14:paraId="1F7953F1" w14:textId="77777777" w:rsidR="00634EE3" w:rsidRPr="00A0517F" w:rsidRDefault="00634EE3" w:rsidP="00803F4C">
            <w:pPr>
              <w:pStyle w:val="Tablebullet"/>
            </w:pPr>
            <w:r w:rsidRPr="00A0517F">
              <w:t>current treatment, including adherence to preventer if prescribed. Do not assume the person is taking the dose most recently prescribed. Ask which asthma medicines the person is using, in a non-judgmental, empathic manner</w:t>
            </w:r>
          </w:p>
          <w:p w14:paraId="0C96158D" w14:textId="77777777" w:rsidR="00634EE3" w:rsidRPr="00A0517F" w:rsidRDefault="00634EE3" w:rsidP="00803F4C">
            <w:pPr>
              <w:pStyle w:val="Tablebullet"/>
            </w:pPr>
            <w:r w:rsidRPr="00A0517F">
              <w:t>inhaler technique. Watch the person use their inhaler</w:t>
            </w:r>
          </w:p>
          <w:p w14:paraId="74C58342" w14:textId="77777777" w:rsidR="00634EE3" w:rsidRPr="00A0517F" w:rsidRDefault="00634EE3" w:rsidP="00803F4C">
            <w:pPr>
              <w:pStyle w:val="Tablebullet"/>
            </w:pPr>
            <w:r w:rsidRPr="00A0517F">
              <w:t>whether the person has a written asthma action plan. If so, ask if they have followed it and whether it has helped</w:t>
            </w:r>
          </w:p>
        </w:tc>
        <w:tc>
          <w:tcPr>
            <w:tcW w:w="2375" w:type="dxa"/>
            <w:tcBorders>
              <w:top w:val="single" w:sz="4" w:space="0" w:color="auto"/>
              <w:left w:val="single" w:sz="4" w:space="0" w:color="auto"/>
              <w:bottom w:val="single" w:sz="4" w:space="0" w:color="auto"/>
              <w:right w:val="single" w:sz="4" w:space="0" w:color="auto"/>
            </w:tcBorders>
          </w:tcPr>
          <w:p w14:paraId="58496E4A" w14:textId="77777777" w:rsidR="00634EE3" w:rsidRPr="00A0517F" w:rsidRDefault="00634EE3" w:rsidP="008B1C85">
            <w:pPr>
              <w:pStyle w:val="Tabletext"/>
              <w:rPr>
                <w:rFonts w:cstheme="minorHAnsi"/>
              </w:rPr>
            </w:pPr>
            <w:r w:rsidRPr="00A0517F">
              <w:rPr>
                <w:rFonts w:cstheme="minorHAnsi"/>
              </w:rPr>
              <w:t>Consensus recommendation</w:t>
            </w:r>
          </w:p>
        </w:tc>
      </w:tr>
    </w:tbl>
    <w:p w14:paraId="1D7CF4AC" w14:textId="77777777" w:rsidR="008B1C85" w:rsidRPr="00623123" w:rsidRDefault="008B1C85" w:rsidP="008B1C85">
      <w:pPr>
        <w:pStyle w:val="09Tablefootnoteslast-nostick"/>
      </w:pPr>
      <w:r w:rsidRPr="00623123">
        <w:t>Abbreviations:</w:t>
      </w:r>
      <w:r>
        <w:t xml:space="preserve"> FEV</w:t>
      </w:r>
      <w:r>
        <w:rPr>
          <w:vertAlign w:val="subscript"/>
        </w:rPr>
        <w:t>1</w:t>
      </w:r>
      <w:r>
        <w:t>, forced expiratory volume in 1 second; MBS, Medicare Benefits Schedule.</w:t>
      </w:r>
    </w:p>
    <w:p w14:paraId="5DC31A83" w14:textId="77777777" w:rsidR="008B1C85" w:rsidRPr="002E2314" w:rsidRDefault="008B1C85" w:rsidP="00B50F00">
      <w:r>
        <w:lastRenderedPageBreak/>
        <w:t>Importantly, spirometry has poor reproducibility between visits, so the Handbook advises that only a change in FEV</w:t>
      </w:r>
      <w:r>
        <w:rPr>
          <w:vertAlign w:val="subscript"/>
        </w:rPr>
        <w:t>1</w:t>
      </w:r>
      <w:r>
        <w:t xml:space="preserve"> of greater than 0.2 L and 12% from baseline should be considered clinically meaningful in adults.</w:t>
      </w:r>
      <w:r>
        <w:rPr>
          <w:rStyle w:val="FootnoteReference"/>
        </w:rPr>
        <w:footnoteReference w:id="22"/>
      </w:r>
      <w:r>
        <w:t xml:space="preserve"> Other limitations of spirometry for long-term monitoring are noted, including the fact that patients with longstanding asthma often develop fixed (irreversible or incompletely reversible) airflow limitation.</w:t>
      </w:r>
    </w:p>
    <w:p w14:paraId="20DCFDFE" w14:textId="77777777" w:rsidR="008B1C85" w:rsidRPr="00960101" w:rsidRDefault="008B1C85" w:rsidP="00B50F00">
      <w:r w:rsidRPr="00657ADB">
        <w:t>Assessment of asthma control in children is largely informed by recent asthma symptom control and the frequency of flare-ups, particularly in young children who cannot perform spirometry.</w:t>
      </w:r>
      <w:r>
        <w:t xml:space="preserve"> In older children, lung function testing should be conducted at follow-up visits as per the recommendations in</w:t>
      </w:r>
      <w:r w:rsidR="0063592C">
        <w:t xml:space="preserve"> Table 31</w:t>
      </w:r>
      <w:r>
        <w:t>.</w:t>
      </w:r>
    </w:p>
    <w:p w14:paraId="5908AA0D" w14:textId="6EAF0DA7" w:rsidR="008B1C85" w:rsidRDefault="0063592C" w:rsidP="00DF3A06">
      <w:pPr>
        <w:pStyle w:val="Appcaption"/>
      </w:pPr>
      <w:r w:rsidRPr="006E4DB4">
        <w:t xml:space="preserve">Table </w:t>
      </w:r>
      <w:fldSimple w:instr=" SEQ Title \* ARABIC ">
        <w:r w:rsidR="00F2203C">
          <w:rPr>
            <w:noProof/>
          </w:rPr>
          <w:t>31</w:t>
        </w:r>
      </w:fldSimple>
      <w:r w:rsidRPr="006E4DB4">
        <w:rPr>
          <w:noProof/>
        </w:rPr>
        <w:t xml:space="preserve"> </w:t>
      </w:r>
      <w:r w:rsidR="008B1C85" w:rsidRPr="006E4DB4">
        <w:rPr>
          <w:noProof/>
        </w:rPr>
        <w:t>NAC (2015):</w:t>
      </w:r>
      <w:r w:rsidR="008B1C85" w:rsidRPr="006E4DB4">
        <w:t xml:space="preserve"> Guidance relating to the use of spirometry for ongoing monitoring of asthma in children</w:t>
      </w:r>
    </w:p>
    <w:tbl>
      <w:tblPr>
        <w:tblStyle w:val="TableGrid"/>
        <w:tblW w:w="0" w:type="auto"/>
        <w:tblLook w:val="04A0" w:firstRow="1" w:lastRow="0" w:firstColumn="1" w:lastColumn="0" w:noHBand="0" w:noVBand="1"/>
        <w:tblDescription w:val="Appendix C table 30 list the 2015 National Asthma Council (NAC) guidance. This table contains 3 column headings: 1. Action, 2. Recommendations and 3. Type of recommendation for use of spirometry for ongoing monitoring of asthma in children."/>
      </w:tblPr>
      <w:tblGrid>
        <w:gridCol w:w="2184"/>
        <w:gridCol w:w="5193"/>
        <w:gridCol w:w="1684"/>
      </w:tblGrid>
      <w:tr w:rsidR="00DA16AE" w:rsidRPr="00A0517F" w14:paraId="574C4E2A" w14:textId="77777777" w:rsidTr="006E4DB4">
        <w:trPr>
          <w:tblHeader/>
        </w:trPr>
        <w:tc>
          <w:tcPr>
            <w:tcW w:w="2235" w:type="dxa"/>
            <w:tcBorders>
              <w:top w:val="single" w:sz="4" w:space="0" w:color="auto"/>
              <w:left w:val="single" w:sz="4" w:space="0" w:color="auto"/>
              <w:bottom w:val="single" w:sz="4" w:space="0" w:color="auto"/>
              <w:right w:val="single" w:sz="4" w:space="0" w:color="auto"/>
            </w:tcBorders>
          </w:tcPr>
          <w:p w14:paraId="3C709814" w14:textId="77777777" w:rsidR="00DA16AE" w:rsidRPr="004C005F" w:rsidRDefault="00595566" w:rsidP="006E4DB4">
            <w:pPr>
              <w:pStyle w:val="Tableheading"/>
            </w:pPr>
            <w:r>
              <w:t>Clinical component</w:t>
            </w:r>
          </w:p>
        </w:tc>
        <w:tc>
          <w:tcPr>
            <w:tcW w:w="5366" w:type="dxa"/>
            <w:tcBorders>
              <w:top w:val="single" w:sz="4" w:space="0" w:color="auto"/>
              <w:left w:val="single" w:sz="4" w:space="0" w:color="auto"/>
              <w:bottom w:val="single" w:sz="4" w:space="0" w:color="auto"/>
              <w:right w:val="single" w:sz="4" w:space="0" w:color="auto"/>
            </w:tcBorders>
          </w:tcPr>
          <w:p w14:paraId="46870B8F" w14:textId="77777777" w:rsidR="00DA16AE" w:rsidRPr="004C005F" w:rsidRDefault="00DA16AE" w:rsidP="006E4DB4">
            <w:pPr>
              <w:pStyle w:val="Tableheading"/>
            </w:pPr>
            <w:r w:rsidRPr="004C005F">
              <w:t>Recommendations</w:t>
            </w:r>
          </w:p>
        </w:tc>
        <w:tc>
          <w:tcPr>
            <w:tcW w:w="1686" w:type="dxa"/>
            <w:tcBorders>
              <w:top w:val="single" w:sz="4" w:space="0" w:color="auto"/>
              <w:left w:val="single" w:sz="4" w:space="0" w:color="auto"/>
              <w:bottom w:val="single" w:sz="4" w:space="0" w:color="auto"/>
              <w:right w:val="single" w:sz="4" w:space="0" w:color="auto"/>
            </w:tcBorders>
          </w:tcPr>
          <w:p w14:paraId="45D3540D" w14:textId="77777777" w:rsidR="00DA16AE" w:rsidRPr="004C005F" w:rsidRDefault="00DA16AE" w:rsidP="006E4DB4">
            <w:pPr>
              <w:pStyle w:val="Tableheading"/>
              <w:rPr>
                <w:rFonts w:cstheme="minorHAnsi"/>
              </w:rPr>
            </w:pPr>
            <w:r w:rsidRPr="004C005F">
              <w:rPr>
                <w:rFonts w:cstheme="minorHAnsi"/>
              </w:rPr>
              <w:t>Type of recommendation</w:t>
            </w:r>
          </w:p>
        </w:tc>
      </w:tr>
      <w:tr w:rsidR="00DA16AE" w14:paraId="06199BC2" w14:textId="77777777" w:rsidTr="006E4DB4">
        <w:tc>
          <w:tcPr>
            <w:tcW w:w="2235" w:type="dxa"/>
            <w:vMerge w:val="restart"/>
            <w:tcBorders>
              <w:top w:val="single" w:sz="4" w:space="0" w:color="auto"/>
              <w:left w:val="single" w:sz="4" w:space="0" w:color="auto"/>
              <w:right w:val="single" w:sz="4" w:space="0" w:color="auto"/>
            </w:tcBorders>
            <w:shd w:val="clear" w:color="auto" w:fill="FFFFFF" w:themeFill="background1"/>
          </w:tcPr>
          <w:p w14:paraId="255F7A20" w14:textId="77777777" w:rsidR="00DA16AE" w:rsidRDefault="00DA16AE" w:rsidP="008B1C85">
            <w:pPr>
              <w:pStyle w:val="Tabletext"/>
            </w:pPr>
            <w:r>
              <w:t>Planning routine asthma review for children</w:t>
            </w:r>
          </w:p>
        </w:tc>
        <w:tc>
          <w:tcPr>
            <w:tcW w:w="5366" w:type="dxa"/>
            <w:tcBorders>
              <w:top w:val="single" w:sz="4" w:space="0" w:color="auto"/>
              <w:left w:val="single" w:sz="4" w:space="0" w:color="auto"/>
              <w:bottom w:val="single" w:sz="4" w:space="0" w:color="auto"/>
              <w:right w:val="single" w:sz="4" w:space="0" w:color="auto"/>
            </w:tcBorders>
            <w:shd w:val="clear" w:color="auto" w:fill="FFFFFF" w:themeFill="background1"/>
          </w:tcPr>
          <w:p w14:paraId="5ADCE16F" w14:textId="77777777" w:rsidR="00DA16AE" w:rsidRDefault="00DA16AE" w:rsidP="008B1C85">
            <w:pPr>
              <w:pStyle w:val="Tabletext"/>
            </w:pPr>
            <w:r>
              <w:t>As a general guide, review the child’s asthma:</w:t>
            </w:r>
          </w:p>
          <w:p w14:paraId="66C147EC" w14:textId="77777777" w:rsidR="00DA16AE" w:rsidRDefault="00DA16AE" w:rsidP="006E4DB4">
            <w:pPr>
              <w:pStyle w:val="Tablebullet"/>
            </w:pPr>
            <w:r>
              <w:t>every 3–6 months when asthma is stable and well controlled</w:t>
            </w:r>
          </w:p>
          <w:p w14:paraId="1FF11874" w14:textId="77777777" w:rsidR="00DA16AE" w:rsidRDefault="00DA16AE" w:rsidP="006E4DB4">
            <w:pPr>
              <w:pStyle w:val="Tablebullet"/>
            </w:pPr>
            <w:r>
              <w:t>4 weeks after increasing the dose or number of medicines to regain control of partially or poorly controlled asthma</w:t>
            </w:r>
          </w:p>
          <w:p w14:paraId="7F43ED4F" w14:textId="77777777" w:rsidR="00DA16AE" w:rsidRDefault="00DA16AE" w:rsidP="006E4DB4">
            <w:pPr>
              <w:pStyle w:val="Tablebullet"/>
            </w:pPr>
            <w:r>
              <w:t>2–4 weeks after a visit to the emergency department or a hospital stay due to acute asthma.</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14:paraId="6BF3E15D" w14:textId="77777777" w:rsidR="00DA16AE" w:rsidRDefault="00DA16AE" w:rsidP="008B1C85">
            <w:pPr>
              <w:pStyle w:val="Tabletext"/>
            </w:pPr>
            <w:r>
              <w:t>Consensus recommendation</w:t>
            </w:r>
          </w:p>
        </w:tc>
      </w:tr>
      <w:tr w:rsidR="00DA16AE" w14:paraId="5C26391E" w14:textId="77777777" w:rsidTr="00595566">
        <w:tc>
          <w:tcPr>
            <w:tcW w:w="2235" w:type="dxa"/>
            <w:vMerge/>
            <w:tcBorders>
              <w:left w:val="single" w:sz="4" w:space="0" w:color="auto"/>
              <w:bottom w:val="single" w:sz="4" w:space="0" w:color="auto"/>
              <w:right w:val="single" w:sz="4" w:space="0" w:color="auto"/>
            </w:tcBorders>
            <w:shd w:val="clear" w:color="auto" w:fill="DBE5F1" w:themeFill="accent1" w:themeFillTint="33"/>
          </w:tcPr>
          <w:p w14:paraId="1F791567" w14:textId="77777777" w:rsidR="00DA16AE" w:rsidRDefault="00DA16AE" w:rsidP="008B1C85">
            <w:pPr>
              <w:pStyle w:val="Tabletext"/>
            </w:pPr>
          </w:p>
        </w:tc>
        <w:tc>
          <w:tcPr>
            <w:tcW w:w="5366" w:type="dxa"/>
            <w:tcBorders>
              <w:top w:val="single" w:sz="4" w:space="0" w:color="auto"/>
              <w:left w:val="single" w:sz="4" w:space="0" w:color="auto"/>
              <w:bottom w:val="single" w:sz="4" w:space="0" w:color="auto"/>
              <w:right w:val="single" w:sz="4" w:space="0" w:color="auto"/>
            </w:tcBorders>
            <w:shd w:val="clear" w:color="auto" w:fill="FFFFFF" w:themeFill="background1"/>
          </w:tcPr>
          <w:p w14:paraId="0336E58A" w14:textId="77777777" w:rsidR="00DA16AE" w:rsidRDefault="00DA16AE" w:rsidP="008B1C85">
            <w:pPr>
              <w:pStyle w:val="Tabletext"/>
            </w:pPr>
            <w:r>
              <w:t>At each asthma review, assess recent asthma symptom control and future risk:</w:t>
            </w:r>
          </w:p>
          <w:p w14:paraId="6C109FCB" w14:textId="77777777" w:rsidR="00DA16AE" w:rsidRDefault="00DA16AE" w:rsidP="006E4DB4">
            <w:pPr>
              <w:pStyle w:val="Tablebullet"/>
            </w:pPr>
            <w:r>
              <w:t>recent asthma symptom control based on reported symptoms, limitation of daily activity and need for reliever medicine</w:t>
            </w:r>
          </w:p>
          <w:p w14:paraId="54CF2595" w14:textId="77777777" w:rsidR="00DA16AE" w:rsidRDefault="00DA16AE" w:rsidP="006E4DB4">
            <w:pPr>
              <w:pStyle w:val="Tablebullet"/>
            </w:pPr>
            <w:r>
              <w:t>lung function using spirometry (for children old enough to perform the test)</w:t>
            </w:r>
          </w:p>
          <w:p w14:paraId="29E1B932" w14:textId="77777777" w:rsidR="00DA16AE" w:rsidRDefault="00DA16AE" w:rsidP="006E4DB4">
            <w:pPr>
              <w:pStyle w:val="Tablebullet"/>
            </w:pPr>
            <w:r>
              <w:t>adherence to treatment</w:t>
            </w:r>
          </w:p>
          <w:p w14:paraId="538A7480" w14:textId="77777777" w:rsidR="00DA16AE" w:rsidRDefault="00DA16AE" w:rsidP="006E4DB4">
            <w:pPr>
              <w:pStyle w:val="Tablebullet"/>
            </w:pPr>
            <w:r>
              <w:t>inhaler technique</w:t>
            </w:r>
          </w:p>
          <w:p w14:paraId="01A43B54" w14:textId="77777777" w:rsidR="00DA16AE" w:rsidRDefault="00DA16AE" w:rsidP="006E4DB4">
            <w:pPr>
              <w:pStyle w:val="Tablebullet"/>
            </w:pPr>
            <w:r>
              <w:t>whether the written asthma action plan is up to date</w:t>
            </w:r>
          </w:p>
          <w:p w14:paraId="1484BD6A" w14:textId="77777777" w:rsidR="00DA16AE" w:rsidRDefault="00DA16AE" w:rsidP="006E4DB4">
            <w:pPr>
              <w:pStyle w:val="Tablebullet"/>
            </w:pPr>
            <w:r>
              <w:t>modifiable environmental factors</w:t>
            </w:r>
          </w:p>
          <w:p w14:paraId="43635251" w14:textId="77777777" w:rsidR="00DA16AE" w:rsidRDefault="00DA16AE" w:rsidP="006E4DB4">
            <w:pPr>
              <w:pStyle w:val="Tablebullet"/>
            </w:pPr>
            <w:r>
              <w:t>whether the child has any risk factors for poor asthma outcomes in future (e.g. persistent symptoms, difficult-to-control asthma due to severe disease or poor adherence, severe allergies such as food allergies or history of anaphylaxis, previous severe life-threatening acute asthma, history of sudden severe unpredictable asthma flare-ups, or significant psychosocial factors).</w:t>
            </w:r>
          </w:p>
          <w:p w14:paraId="5459C55A" w14:textId="77777777" w:rsidR="00DA16AE" w:rsidRDefault="00DA16AE" w:rsidP="008B1C85">
            <w:pPr>
              <w:pStyle w:val="04Tabletextspaceitalics"/>
            </w:pPr>
            <w:r>
              <w:t>Note: Assessments can be made by asking the same questions at each visit, or using validated questionnaires.</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14:paraId="12F500A3" w14:textId="77777777" w:rsidR="00DA16AE" w:rsidRDefault="00DA16AE" w:rsidP="008B1C85">
            <w:pPr>
              <w:pStyle w:val="Tabletext"/>
            </w:pPr>
            <w:r>
              <w:t>Consensus recommendation</w:t>
            </w:r>
          </w:p>
        </w:tc>
      </w:tr>
      <w:tr w:rsidR="006E4DB4" w14:paraId="60704DD5" w14:textId="77777777" w:rsidTr="0099709F">
        <w:tc>
          <w:tcPr>
            <w:tcW w:w="2235" w:type="dxa"/>
            <w:vMerge w:val="restart"/>
            <w:tcBorders>
              <w:top w:val="single" w:sz="4" w:space="0" w:color="auto"/>
              <w:left w:val="single" w:sz="4" w:space="0" w:color="auto"/>
              <w:right w:val="single" w:sz="4" w:space="0" w:color="auto"/>
            </w:tcBorders>
            <w:shd w:val="clear" w:color="auto" w:fill="FFFFFF" w:themeFill="background1"/>
          </w:tcPr>
          <w:p w14:paraId="416A0DD0" w14:textId="77777777" w:rsidR="006E4DB4" w:rsidRDefault="006E4DB4" w:rsidP="008B1C85">
            <w:pPr>
              <w:pStyle w:val="Tabletext"/>
            </w:pPr>
            <w:r>
              <w:t>Assessing symptoms and control in children 6 years and over</w:t>
            </w:r>
          </w:p>
        </w:tc>
        <w:tc>
          <w:tcPr>
            <w:tcW w:w="5366" w:type="dxa"/>
            <w:tcBorders>
              <w:top w:val="single" w:sz="4" w:space="0" w:color="auto"/>
              <w:left w:val="single" w:sz="4" w:space="0" w:color="auto"/>
              <w:bottom w:val="single" w:sz="4" w:space="0" w:color="auto"/>
              <w:right w:val="single" w:sz="4" w:space="0" w:color="auto"/>
            </w:tcBorders>
            <w:shd w:val="clear" w:color="auto" w:fill="FFFFFF" w:themeFill="background1"/>
          </w:tcPr>
          <w:p w14:paraId="1CA0BD35" w14:textId="77777777" w:rsidR="006E4DB4" w:rsidRDefault="006E4DB4" w:rsidP="008B1C85">
            <w:pPr>
              <w:pStyle w:val="Tabletext"/>
            </w:pPr>
            <w:r>
              <w:t>Assess level of asthma control based on:</w:t>
            </w:r>
          </w:p>
          <w:p w14:paraId="5D874928" w14:textId="77777777" w:rsidR="006E4DB4" w:rsidRDefault="006E4DB4" w:rsidP="008B1C85">
            <w:pPr>
              <w:pStyle w:val="06Tablebullet"/>
            </w:pPr>
            <w:r>
              <w:t>symptoms</w:t>
            </w:r>
          </w:p>
          <w:p w14:paraId="2A0E787F" w14:textId="77777777" w:rsidR="006E4DB4" w:rsidRDefault="006E4DB4" w:rsidP="008B1C85">
            <w:pPr>
              <w:pStyle w:val="06Tablebullet"/>
            </w:pPr>
            <w:r>
              <w:t>spirometry (for children able to perform spirometry reliably)</w:t>
            </w:r>
          </w:p>
          <w:p w14:paraId="0831685F" w14:textId="77777777" w:rsidR="006E4DB4" w:rsidRDefault="006E4DB4" w:rsidP="008B1C85">
            <w:pPr>
              <w:pStyle w:val="04Tabletextspaceitalics"/>
            </w:pPr>
            <w:r>
              <w:t xml:space="preserve">Notes: If </w:t>
            </w:r>
            <w:r w:rsidRPr="004001A9">
              <w:t xml:space="preserve">reliable equipment and appropriately trained staff are available, spirometry can be performed in primary care. If not, refer </w:t>
            </w:r>
            <w:r w:rsidRPr="004001A9">
              <w:lastRenderedPageBreak/>
              <w:t>to an appropriate provider such as an accredited respiratory function laboratory.</w:t>
            </w:r>
          </w:p>
          <w:p w14:paraId="6A7DBBE2" w14:textId="77777777" w:rsidR="006E4DB4" w:rsidRDefault="006E4DB4" w:rsidP="008B1C85">
            <w:pPr>
              <w:pStyle w:val="04Tabletextspaceitalics"/>
            </w:pPr>
            <w:r>
              <w:t>Most children aged 6 and older can perform spirometry reliably.</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14:paraId="749DAFDB" w14:textId="77777777" w:rsidR="006E4DB4" w:rsidRDefault="006E4DB4" w:rsidP="008B1C85">
            <w:pPr>
              <w:pStyle w:val="Tabletext"/>
            </w:pPr>
            <w:r>
              <w:lastRenderedPageBreak/>
              <w:t>Consensus recommendation</w:t>
            </w:r>
          </w:p>
        </w:tc>
      </w:tr>
      <w:tr w:rsidR="006E4DB4" w14:paraId="6D8BE82F" w14:textId="77777777" w:rsidTr="0099709F">
        <w:tc>
          <w:tcPr>
            <w:tcW w:w="2235" w:type="dxa"/>
            <w:vMerge/>
            <w:tcBorders>
              <w:left w:val="single" w:sz="4" w:space="0" w:color="auto"/>
              <w:bottom w:val="single" w:sz="4" w:space="0" w:color="auto"/>
              <w:right w:val="single" w:sz="4" w:space="0" w:color="auto"/>
            </w:tcBorders>
          </w:tcPr>
          <w:p w14:paraId="4F66C629" w14:textId="77777777" w:rsidR="006E4DB4" w:rsidRPr="00AB7C3A" w:rsidRDefault="006E4DB4" w:rsidP="008B1C85">
            <w:pPr>
              <w:pStyle w:val="Tabletext"/>
            </w:pPr>
          </w:p>
        </w:tc>
        <w:tc>
          <w:tcPr>
            <w:tcW w:w="5366" w:type="dxa"/>
            <w:tcBorders>
              <w:top w:val="single" w:sz="4" w:space="0" w:color="auto"/>
              <w:left w:val="single" w:sz="4" w:space="0" w:color="auto"/>
              <w:bottom w:val="single" w:sz="4" w:space="0" w:color="auto"/>
              <w:right w:val="single" w:sz="4" w:space="0" w:color="auto"/>
            </w:tcBorders>
          </w:tcPr>
          <w:p w14:paraId="34CCEE4F" w14:textId="77777777" w:rsidR="006E4DB4" w:rsidRPr="00AB7C3A" w:rsidRDefault="006E4DB4" w:rsidP="008B1C85">
            <w:pPr>
              <w:pStyle w:val="Tabletext"/>
            </w:pPr>
            <w:r w:rsidRPr="00AB7C3A">
              <w:t>If the diagnosis of asthma</w:t>
            </w:r>
            <w:r>
              <w:t xml:space="preserve"> was made in the past or elsewhere, confirm the diagnosis, if possible.</w:t>
            </w:r>
          </w:p>
        </w:tc>
        <w:tc>
          <w:tcPr>
            <w:tcW w:w="1686" w:type="dxa"/>
            <w:tcBorders>
              <w:top w:val="single" w:sz="4" w:space="0" w:color="auto"/>
              <w:left w:val="single" w:sz="4" w:space="0" w:color="auto"/>
              <w:bottom w:val="single" w:sz="4" w:space="0" w:color="auto"/>
              <w:right w:val="single" w:sz="4" w:space="0" w:color="auto"/>
            </w:tcBorders>
          </w:tcPr>
          <w:p w14:paraId="34DF1741" w14:textId="77777777" w:rsidR="006E4DB4" w:rsidRDefault="006E4DB4" w:rsidP="008B1C85">
            <w:pPr>
              <w:pStyle w:val="Tabletext"/>
            </w:pPr>
            <w:r>
              <w:t>Consensus recommendation</w:t>
            </w:r>
          </w:p>
        </w:tc>
      </w:tr>
    </w:tbl>
    <w:p w14:paraId="2B574F88" w14:textId="77777777" w:rsidR="008B1C85" w:rsidRPr="00CB24CB" w:rsidRDefault="008B1C85" w:rsidP="00D56F93">
      <w:pPr>
        <w:pStyle w:val="AttHeading5"/>
      </w:pPr>
      <w:r w:rsidRPr="00CB24CB">
        <w:t>National Asthma Council Australia (2013)</w:t>
      </w:r>
    </w:p>
    <w:p w14:paraId="4F92E301" w14:textId="77777777" w:rsidR="008B1C85" w:rsidRPr="004254C3" w:rsidRDefault="008B1C85" w:rsidP="00B50F00">
      <w:r>
        <w:t xml:space="preserve">The information paper </w:t>
      </w:r>
      <w:r>
        <w:rPr>
          <w:i/>
        </w:rPr>
        <w:t xml:space="preserve">Asthma &amp; the Over 65s </w:t>
      </w:r>
      <w:r>
        <w:t>included one recommendation relating to the use of spirometry for monitoring in older patients (see</w:t>
      </w:r>
      <w:r w:rsidR="0063592C">
        <w:t xml:space="preserve"> Table 32</w:t>
      </w:r>
      <w:r>
        <w:t>).</w:t>
      </w:r>
    </w:p>
    <w:p w14:paraId="511B8BF5" w14:textId="69B61E5A" w:rsidR="008B1C85" w:rsidRDefault="0063592C" w:rsidP="00DF3A06">
      <w:pPr>
        <w:pStyle w:val="Appcaption"/>
      </w:pPr>
      <w:r>
        <w:t xml:space="preserve">Table </w:t>
      </w:r>
      <w:fldSimple w:instr=" SEQ Title \* ARABIC ">
        <w:r w:rsidR="00F2203C">
          <w:rPr>
            <w:noProof/>
          </w:rPr>
          <w:t>32</w:t>
        </w:r>
      </w:fldSimple>
      <w:r>
        <w:rPr>
          <w:noProof/>
        </w:rPr>
        <w:t xml:space="preserve"> </w:t>
      </w:r>
      <w:r w:rsidR="008B1C85">
        <w:rPr>
          <w:noProof/>
        </w:rPr>
        <w:t>NAC (2013):</w:t>
      </w:r>
      <w:r w:rsidR="008B1C85">
        <w:t xml:space="preserve"> Assessing and monitoring asthma in older patients</w:t>
      </w:r>
    </w:p>
    <w:tbl>
      <w:tblPr>
        <w:tblStyle w:val="TableGrid"/>
        <w:tblW w:w="0" w:type="auto"/>
        <w:tblLook w:val="04A0" w:firstRow="1" w:lastRow="0" w:firstColumn="1" w:lastColumn="0" w:noHBand="0" w:noVBand="1"/>
        <w:tblDescription w:val="Appendix C table 31 list the 2013 National Asthma Council (NAC) assessment. This table contains 2 column headings: 1. Recommendations and Type of recommendation assessing and monitoring of asthma in older patients."/>
      </w:tblPr>
      <w:tblGrid>
        <w:gridCol w:w="6799"/>
        <w:gridCol w:w="2262"/>
      </w:tblGrid>
      <w:tr w:rsidR="00EF1852" w:rsidRPr="00A0517F" w14:paraId="2245F7C9" w14:textId="77777777" w:rsidTr="00FF6AB5">
        <w:trPr>
          <w:tblHeader/>
        </w:trPr>
        <w:tc>
          <w:tcPr>
            <w:tcW w:w="6799" w:type="dxa"/>
            <w:tcBorders>
              <w:top w:val="single" w:sz="4" w:space="0" w:color="auto"/>
              <w:left w:val="single" w:sz="4" w:space="0" w:color="auto"/>
              <w:bottom w:val="single" w:sz="4" w:space="0" w:color="auto"/>
              <w:right w:val="single" w:sz="4" w:space="0" w:color="auto"/>
            </w:tcBorders>
          </w:tcPr>
          <w:p w14:paraId="28D513BE" w14:textId="77777777" w:rsidR="00EF1852" w:rsidRPr="004C005F" w:rsidRDefault="00EF1852" w:rsidP="00134608">
            <w:pPr>
              <w:pStyle w:val="Tableheading"/>
            </w:pPr>
            <w:r w:rsidRPr="004C005F">
              <w:t>Recommendations</w:t>
            </w:r>
          </w:p>
        </w:tc>
        <w:tc>
          <w:tcPr>
            <w:tcW w:w="2262" w:type="dxa"/>
            <w:tcBorders>
              <w:top w:val="single" w:sz="4" w:space="0" w:color="auto"/>
              <w:left w:val="single" w:sz="4" w:space="0" w:color="auto"/>
              <w:bottom w:val="single" w:sz="4" w:space="0" w:color="auto"/>
              <w:right w:val="single" w:sz="4" w:space="0" w:color="auto"/>
            </w:tcBorders>
          </w:tcPr>
          <w:p w14:paraId="11631C6B" w14:textId="77777777" w:rsidR="00EF1852" w:rsidRPr="004C005F" w:rsidRDefault="00EF1852" w:rsidP="0099709F">
            <w:pPr>
              <w:pStyle w:val="Tableheading"/>
              <w:rPr>
                <w:rFonts w:cstheme="minorHAnsi"/>
              </w:rPr>
            </w:pPr>
            <w:r w:rsidRPr="004C005F">
              <w:rPr>
                <w:rFonts w:cstheme="minorHAnsi"/>
              </w:rPr>
              <w:t>Type</w:t>
            </w:r>
            <w:r w:rsidR="00EF40B5">
              <w:rPr>
                <w:rFonts w:cstheme="minorHAnsi"/>
              </w:rPr>
              <w:t>/Grade</w:t>
            </w:r>
            <w:r w:rsidRPr="004C005F">
              <w:rPr>
                <w:rFonts w:cstheme="minorHAnsi"/>
              </w:rPr>
              <w:t xml:space="preserve"> of recommendation</w:t>
            </w:r>
          </w:p>
        </w:tc>
      </w:tr>
      <w:tr w:rsidR="008B1C85" w:rsidRPr="00134608" w14:paraId="73D3D72E" w14:textId="77777777" w:rsidTr="008B1C85">
        <w:tc>
          <w:tcPr>
            <w:tcW w:w="6799" w:type="dxa"/>
            <w:tcBorders>
              <w:top w:val="single" w:sz="4" w:space="0" w:color="auto"/>
              <w:left w:val="single" w:sz="4" w:space="0" w:color="auto"/>
              <w:bottom w:val="single" w:sz="4" w:space="0" w:color="auto"/>
              <w:right w:val="single" w:sz="4" w:space="0" w:color="auto"/>
            </w:tcBorders>
          </w:tcPr>
          <w:p w14:paraId="713F955C" w14:textId="77777777" w:rsidR="008B1C85" w:rsidRPr="00134608" w:rsidRDefault="008B1C85" w:rsidP="00134608">
            <w:pPr>
              <w:pStyle w:val="Tabletext"/>
            </w:pPr>
            <w:r w:rsidRPr="00134608">
              <w:t>Measure lung function objectively at each asthma review using spirometry.</w:t>
            </w:r>
          </w:p>
        </w:tc>
        <w:tc>
          <w:tcPr>
            <w:tcW w:w="2262" w:type="dxa"/>
            <w:tcBorders>
              <w:top w:val="single" w:sz="4" w:space="0" w:color="auto"/>
              <w:left w:val="single" w:sz="4" w:space="0" w:color="auto"/>
              <w:bottom w:val="single" w:sz="4" w:space="0" w:color="auto"/>
              <w:right w:val="single" w:sz="4" w:space="0" w:color="auto"/>
            </w:tcBorders>
          </w:tcPr>
          <w:p w14:paraId="2F51E53B" w14:textId="77777777" w:rsidR="008B1C85" w:rsidRPr="00134608" w:rsidRDefault="00713535" w:rsidP="0099709F">
            <w:pPr>
              <w:pStyle w:val="Tabletext"/>
            </w:pPr>
            <w:r>
              <w:t>N</w:t>
            </w:r>
            <w:r w:rsidRPr="00713535">
              <w:t>ot reported</w:t>
            </w:r>
          </w:p>
        </w:tc>
      </w:tr>
    </w:tbl>
    <w:p w14:paraId="20F2FC3E" w14:textId="77777777" w:rsidR="008B1C85" w:rsidRPr="00CB24CB" w:rsidRDefault="008B1C85" w:rsidP="00D56F93">
      <w:pPr>
        <w:pStyle w:val="AttHeading5"/>
      </w:pPr>
      <w:r w:rsidRPr="00CB24CB">
        <w:t>National Clinical Guideline Centre (2016)</w:t>
      </w:r>
    </w:p>
    <w:p w14:paraId="24C3AC2B" w14:textId="77777777" w:rsidR="008B1C85" w:rsidRDefault="008B1C85" w:rsidP="00B50F00">
      <w:r>
        <w:t>The NCGC guideline assessed the evidence for the use of lung function testing to monitor asthma. The guideline noted that</w:t>
      </w:r>
      <w:r w:rsidRPr="00356508">
        <w:t xml:space="preserve"> </w:t>
      </w:r>
      <w:r>
        <w:t xml:space="preserve">although </w:t>
      </w:r>
      <w:r w:rsidRPr="00356508">
        <w:t>the role of spirometry in the diagnosis and initial assessment of asthma is well established, its optimal role in the ongoing monitoring of asthma is still an area of uncertainty.</w:t>
      </w:r>
      <w:r>
        <w:t xml:space="preserve"> The following key question was developed to underpin the systematic literature review and address this uncertainty.</w:t>
      </w:r>
    </w:p>
    <w:p w14:paraId="01B0B8B4" w14:textId="77777777" w:rsidR="008B1C85" w:rsidRPr="003A2EDA" w:rsidRDefault="008B1C85" w:rsidP="008B1C85">
      <w:pPr>
        <w:pStyle w:val="BodyText"/>
        <w:ind w:left="720"/>
        <w:rPr>
          <w:i/>
        </w:rPr>
      </w:pPr>
      <w:r w:rsidRPr="003A2EDA">
        <w:rPr>
          <w:i/>
        </w:rPr>
        <w:t>In people with asthma, what is the clinical and cost-effectiveness of using measures of pulmonary function assessing asthma control (for example, spirometry and peak expiratory flow) to monitor asthma?</w:t>
      </w:r>
    </w:p>
    <w:p w14:paraId="73AA8503" w14:textId="77777777" w:rsidR="008B1C85" w:rsidRPr="00B33B67" w:rsidRDefault="008B1C85" w:rsidP="00B50F00">
      <w:r>
        <w:t xml:space="preserve">No studies were identified that assessed the clinical or cost-effectiveness of monitoring spirometry to measure asthma control (the guideline limited the search to RCTs). All studies were of self-management, with the action plans based on PEF readings versus action plans </w:t>
      </w:r>
      <w:r w:rsidRPr="00B33B67">
        <w:t>based on symptoms.</w:t>
      </w:r>
    </w:p>
    <w:p w14:paraId="6FBDCA10" w14:textId="77777777" w:rsidR="008B1C85" w:rsidRPr="00B33B67" w:rsidRDefault="008B1C85" w:rsidP="00B50F00">
      <w:r w:rsidRPr="00B33B67">
        <w:t>The GDG considered that the cost of provid</w:t>
      </w:r>
      <w:r>
        <w:t xml:space="preserve">ing the equipment, such as peak </w:t>
      </w:r>
      <w:r w:rsidRPr="00B33B67">
        <w:t>flow meters, to monitor asthma is likely to be negligible. The main cost-consequence of monitoring using lung function tests is the impact it has on medication usage. If monitoring using lung function tests produce false results that increase medication usage then this will increase costs with no added health benefits. On the other hand, if accurate, monitoring using lung function tests could reduce medication usage and provide cost</w:t>
      </w:r>
      <w:r>
        <w:t xml:space="preserve"> savings</w:t>
      </w:r>
      <w:r w:rsidRPr="00B33B67">
        <w:t xml:space="preserve">. </w:t>
      </w:r>
    </w:p>
    <w:p w14:paraId="5EFDB009" w14:textId="77777777" w:rsidR="008B1C85" w:rsidRDefault="008B1C85" w:rsidP="00B50F00">
      <w:r w:rsidRPr="00B33B67">
        <w:t xml:space="preserve">The GDG debated the importance of monitoring spirometry and the additional information that it provided over and above PEF. Given the relative ease of monitoring spirometry and the additional information that it provides, the GDG felt that spirometry should be measured at every review. Spirometry provides additional information on the level of airways obstruction and can be compared </w:t>
      </w:r>
      <w:r w:rsidRPr="00B33B67">
        <w:lastRenderedPageBreak/>
        <w:t>to the previous best measurement or predicted measurement based on age and height of the individual.</w:t>
      </w:r>
    </w:p>
    <w:p w14:paraId="45573C96" w14:textId="53BF2F0D" w:rsidR="008B1C85" w:rsidRDefault="0063592C" w:rsidP="00DF3A06">
      <w:pPr>
        <w:pStyle w:val="Appcaption"/>
      </w:pPr>
      <w:r>
        <w:t xml:space="preserve">Table </w:t>
      </w:r>
      <w:fldSimple w:instr=" SEQ Title \* ARABIC ">
        <w:r w:rsidR="00F2203C">
          <w:rPr>
            <w:noProof/>
          </w:rPr>
          <w:t>33</w:t>
        </w:r>
      </w:fldSimple>
      <w:r>
        <w:rPr>
          <w:noProof/>
        </w:rPr>
        <w:t xml:space="preserve"> </w:t>
      </w:r>
      <w:r w:rsidR="008B1C85">
        <w:rPr>
          <w:noProof/>
        </w:rPr>
        <w:t>NCGC (2016):</w:t>
      </w:r>
      <w:r w:rsidR="008B1C85">
        <w:t xml:space="preserve"> Recommendations on the use of lung function tests for monitoring asthma</w:t>
      </w:r>
    </w:p>
    <w:tbl>
      <w:tblPr>
        <w:tblStyle w:val="TableGrid"/>
        <w:tblW w:w="0" w:type="auto"/>
        <w:tblLook w:val="04A0" w:firstRow="1" w:lastRow="0" w:firstColumn="1" w:lastColumn="0" w:noHBand="0" w:noVBand="1"/>
        <w:tblDescription w:val="Appendix C table 32 list the 2016 National Clinical Guideline Centre (NCGC) recommendations. This table contains 2 column headings: 1. Recommendations and Grading of recommendation on the use of lung function tests for monitoring asthma."/>
      </w:tblPr>
      <w:tblGrid>
        <w:gridCol w:w="7366"/>
        <w:gridCol w:w="1695"/>
      </w:tblGrid>
      <w:tr w:rsidR="00EF1852" w:rsidRPr="00A0517F" w14:paraId="65BD5016" w14:textId="77777777" w:rsidTr="00FF6AB5">
        <w:trPr>
          <w:tblHeader/>
        </w:trPr>
        <w:tc>
          <w:tcPr>
            <w:tcW w:w="7366" w:type="dxa"/>
            <w:tcBorders>
              <w:top w:val="single" w:sz="4" w:space="0" w:color="auto"/>
              <w:left w:val="single" w:sz="4" w:space="0" w:color="auto"/>
              <w:bottom w:val="single" w:sz="4" w:space="0" w:color="auto"/>
              <w:right w:val="single" w:sz="4" w:space="0" w:color="auto"/>
            </w:tcBorders>
          </w:tcPr>
          <w:p w14:paraId="3EBC0EE0" w14:textId="77777777" w:rsidR="00EF1852" w:rsidRPr="004C005F" w:rsidRDefault="00EF1852" w:rsidP="00134608">
            <w:pPr>
              <w:pStyle w:val="Tableheading"/>
            </w:pPr>
            <w:r w:rsidRPr="004C005F">
              <w:t>Recommendations</w:t>
            </w:r>
          </w:p>
        </w:tc>
        <w:tc>
          <w:tcPr>
            <w:tcW w:w="1695" w:type="dxa"/>
            <w:tcBorders>
              <w:top w:val="single" w:sz="4" w:space="0" w:color="auto"/>
              <w:left w:val="single" w:sz="4" w:space="0" w:color="auto"/>
              <w:bottom w:val="single" w:sz="4" w:space="0" w:color="auto"/>
              <w:right w:val="single" w:sz="4" w:space="0" w:color="auto"/>
            </w:tcBorders>
          </w:tcPr>
          <w:p w14:paraId="4F936CAF" w14:textId="77777777" w:rsidR="00EF1852" w:rsidRPr="004C005F" w:rsidRDefault="00EF40B5" w:rsidP="00263302">
            <w:pPr>
              <w:pStyle w:val="Tableheading"/>
            </w:pPr>
            <w:r>
              <w:t>Grading</w:t>
            </w:r>
            <w:r w:rsidRPr="004C005F">
              <w:t xml:space="preserve"> of recommendation</w:t>
            </w:r>
          </w:p>
        </w:tc>
      </w:tr>
      <w:tr w:rsidR="008B1C85" w:rsidRPr="00134608" w14:paraId="42F76A7F" w14:textId="77777777" w:rsidTr="008B1C85">
        <w:trPr>
          <w:trHeight w:val="443"/>
        </w:trPr>
        <w:tc>
          <w:tcPr>
            <w:tcW w:w="7366" w:type="dxa"/>
            <w:tcBorders>
              <w:top w:val="single" w:sz="4" w:space="0" w:color="auto"/>
              <w:left w:val="single" w:sz="4" w:space="0" w:color="auto"/>
              <w:right w:val="single" w:sz="4" w:space="0" w:color="auto"/>
            </w:tcBorders>
          </w:tcPr>
          <w:p w14:paraId="2AB64604" w14:textId="77777777" w:rsidR="008B1C85" w:rsidRPr="00134608" w:rsidRDefault="008B1C85" w:rsidP="00134608">
            <w:pPr>
              <w:pStyle w:val="Tabletext"/>
            </w:pPr>
            <w:r w:rsidRPr="00134608">
              <w:t>R42: Monitor asthma control at each review in adults and children aged 5 years and over by measuring either spirometry (FEV</w:t>
            </w:r>
            <w:r w:rsidRPr="0099709F">
              <w:t>1</w:t>
            </w:r>
            <w:r w:rsidRPr="00134608">
              <w:t>) or peak flow.</w:t>
            </w:r>
          </w:p>
        </w:tc>
        <w:tc>
          <w:tcPr>
            <w:tcW w:w="1695" w:type="dxa"/>
            <w:tcBorders>
              <w:top w:val="single" w:sz="4" w:space="0" w:color="auto"/>
              <w:left w:val="single" w:sz="4" w:space="0" w:color="auto"/>
              <w:right w:val="single" w:sz="4" w:space="0" w:color="auto"/>
            </w:tcBorders>
          </w:tcPr>
          <w:p w14:paraId="2DA8E21E" w14:textId="77777777" w:rsidR="008B1C85" w:rsidRPr="00134608" w:rsidRDefault="00713535" w:rsidP="00263302">
            <w:pPr>
              <w:pStyle w:val="Tabletext"/>
            </w:pPr>
            <w:r>
              <w:t xml:space="preserve">Not </w:t>
            </w:r>
            <w:r w:rsidRPr="00713535">
              <w:t>reported</w:t>
            </w:r>
          </w:p>
        </w:tc>
      </w:tr>
    </w:tbl>
    <w:p w14:paraId="28BD5C8F" w14:textId="77777777" w:rsidR="008B1C85" w:rsidRDefault="008B1C85" w:rsidP="008B1C85">
      <w:pPr>
        <w:pStyle w:val="09Tablefootnoteslast-nostick"/>
      </w:pPr>
      <w:r>
        <w:t xml:space="preserve">Note: The guideline advised that </w:t>
      </w:r>
      <w:r w:rsidRPr="00EE63E6">
        <w:t>a low FEV</w:t>
      </w:r>
      <w:r w:rsidRPr="00EE63E6">
        <w:rPr>
          <w:vertAlign w:val="subscript"/>
        </w:rPr>
        <w:t>1</w:t>
      </w:r>
      <w:r w:rsidRPr="00EE63E6">
        <w:t xml:space="preserve"> identifies patients at risk of asthma exacerbations, independent of symptom levels, especially if FEV</w:t>
      </w:r>
      <w:r w:rsidRPr="00EE63E6">
        <w:rPr>
          <w:vertAlign w:val="subscript"/>
        </w:rPr>
        <w:t>1</w:t>
      </w:r>
      <w:r w:rsidRPr="00EE63E6">
        <w:t xml:space="preserve"> is &lt;60% predicted.</w:t>
      </w:r>
    </w:p>
    <w:p w14:paraId="0394AC4D" w14:textId="77777777" w:rsidR="008B1C85" w:rsidRPr="00CB24CB" w:rsidRDefault="008B1C85" w:rsidP="00D56F93">
      <w:pPr>
        <w:pStyle w:val="AttHeading5"/>
      </w:pPr>
      <w:r w:rsidRPr="00CB24CB">
        <w:t>Global Initiative for Asthma (2015)</w:t>
      </w:r>
    </w:p>
    <w:p w14:paraId="79A2AAFC" w14:textId="77777777" w:rsidR="008B1C85" w:rsidRDefault="008B1C85" w:rsidP="00B50F00">
      <w:r>
        <w:t>The GINA report states that ongoing monitoring of asthma should include assessments of:</w:t>
      </w:r>
    </w:p>
    <w:p w14:paraId="70867B68" w14:textId="77777777" w:rsidR="008B1C85" w:rsidRDefault="008B1C85" w:rsidP="009E6EE1">
      <w:pPr>
        <w:pStyle w:val="NormalBulleted"/>
        <w:numPr>
          <w:ilvl w:val="0"/>
          <w:numId w:val="51"/>
        </w:numPr>
      </w:pPr>
      <w:r>
        <w:t xml:space="preserve">asthma control (both symptom control and future risk of adverse outcomes); </w:t>
      </w:r>
    </w:p>
    <w:p w14:paraId="72393A57" w14:textId="77777777" w:rsidR="008B1C85" w:rsidRDefault="008B1C85" w:rsidP="009E6EE1">
      <w:pPr>
        <w:pStyle w:val="NormalBulleted"/>
        <w:numPr>
          <w:ilvl w:val="0"/>
          <w:numId w:val="51"/>
        </w:numPr>
      </w:pPr>
      <w:r>
        <w:t xml:space="preserve">treatment issues (particularly inhaler technique and adherence); and </w:t>
      </w:r>
    </w:p>
    <w:p w14:paraId="18801BA9" w14:textId="77777777" w:rsidR="008B1C85" w:rsidRDefault="008B1C85" w:rsidP="009E6EE1">
      <w:pPr>
        <w:pStyle w:val="NormalBulleted"/>
        <w:numPr>
          <w:ilvl w:val="0"/>
          <w:numId w:val="51"/>
        </w:numPr>
      </w:pPr>
      <w:r>
        <w:t xml:space="preserve">any comorbidities that could contribute to symptom burden and poor quality of life. </w:t>
      </w:r>
    </w:p>
    <w:p w14:paraId="05B1E635" w14:textId="77777777" w:rsidR="008B1C85" w:rsidRDefault="008B1C85" w:rsidP="00B50F00">
      <w:r>
        <w:t>The report advises that lung function should be measured at the start of treatment, after 3-6 months of treatment (to identify the patient’s personal best), and periodically thereafter for ongoing risk assessment. The advice in</w:t>
      </w:r>
      <w:r w:rsidR="0063592C">
        <w:t xml:space="preserve"> Table 34</w:t>
      </w:r>
      <w:r>
        <w:t xml:space="preserve"> is provided to aid the interpretation of lung function results at asthma follow-up visits.</w:t>
      </w:r>
    </w:p>
    <w:p w14:paraId="14D9417E" w14:textId="3372F63C" w:rsidR="008B1C85" w:rsidRDefault="0063592C" w:rsidP="00DF3A06">
      <w:pPr>
        <w:pStyle w:val="Appcaption"/>
      </w:pPr>
      <w:r w:rsidRPr="006E4DB4">
        <w:t xml:space="preserve">Table </w:t>
      </w:r>
      <w:fldSimple w:instr=" SEQ Title \* ARABIC ">
        <w:r w:rsidR="00F2203C">
          <w:rPr>
            <w:noProof/>
          </w:rPr>
          <w:t>34</w:t>
        </w:r>
      </w:fldSimple>
      <w:r w:rsidRPr="006E4DB4">
        <w:rPr>
          <w:noProof/>
        </w:rPr>
        <w:t xml:space="preserve"> </w:t>
      </w:r>
      <w:r w:rsidR="008B1C85" w:rsidRPr="006E4DB4">
        <w:rPr>
          <w:noProof/>
        </w:rPr>
        <w:t>GINA (2015):</w:t>
      </w:r>
      <w:r w:rsidR="008B1C85" w:rsidRPr="006E4DB4">
        <w:t xml:space="preserve"> Interpreting interval lung function in asthma</w:t>
      </w:r>
    </w:p>
    <w:tbl>
      <w:tblPr>
        <w:tblStyle w:val="TableGrid"/>
        <w:tblW w:w="0" w:type="auto"/>
        <w:tblInd w:w="108" w:type="dxa"/>
        <w:tblLook w:val="04A0" w:firstRow="1" w:lastRow="0" w:firstColumn="1" w:lastColumn="0" w:noHBand="0" w:noVBand="1"/>
        <w:tblDescription w:val="Appendix C table 33 list the 2015 Global Initiative for Asthma (GINA) interpretation. This table contains 2 column headings: 1. Lung function status and Interpreting lung function in asthma. "/>
      </w:tblPr>
      <w:tblGrid>
        <w:gridCol w:w="3056"/>
        <w:gridCol w:w="5897"/>
      </w:tblGrid>
      <w:tr w:rsidR="006E4DB4" w:rsidRPr="00EF1852" w14:paraId="0BE8095A" w14:textId="77777777" w:rsidTr="006E4DB4">
        <w:trPr>
          <w:tblHeader/>
        </w:trPr>
        <w:tc>
          <w:tcPr>
            <w:tcW w:w="3119" w:type="dxa"/>
            <w:tcBorders>
              <w:top w:val="single" w:sz="4" w:space="0" w:color="auto"/>
              <w:left w:val="single" w:sz="4" w:space="0" w:color="auto"/>
              <w:bottom w:val="single" w:sz="4" w:space="0" w:color="auto"/>
              <w:right w:val="single" w:sz="4" w:space="0" w:color="auto"/>
            </w:tcBorders>
          </w:tcPr>
          <w:p w14:paraId="6DB24820" w14:textId="77777777" w:rsidR="006E4DB4" w:rsidRPr="00EF1852" w:rsidRDefault="006E4DB4" w:rsidP="00A403FC">
            <w:pPr>
              <w:pStyle w:val="Tableheading"/>
            </w:pPr>
            <w:r w:rsidRPr="00EF1852">
              <w:t>Lung function status</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6B85ED28" w14:textId="77777777" w:rsidR="006E4DB4" w:rsidRPr="00EF1852" w:rsidRDefault="00263302" w:rsidP="00A403FC">
            <w:pPr>
              <w:pStyle w:val="Tableheading"/>
            </w:pPr>
            <w:r>
              <w:t>Interpretation</w:t>
            </w:r>
          </w:p>
        </w:tc>
      </w:tr>
      <w:tr w:rsidR="006E4DB4" w14:paraId="6C5EA762" w14:textId="77777777" w:rsidTr="006E4DB4">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71DF" w14:textId="77777777" w:rsidR="006E4DB4" w:rsidRPr="000A24C9" w:rsidRDefault="006E4DB4" w:rsidP="0099709F">
            <w:pPr>
              <w:pStyle w:val="Tabletext"/>
            </w:pPr>
            <w:r>
              <w:t>A low FEV</w:t>
            </w:r>
            <w:r>
              <w:rPr>
                <w:vertAlign w:val="subscript"/>
              </w:rPr>
              <w:t>1</w:t>
            </w:r>
            <w:r>
              <w:t xml:space="preserve"> percent predicted</w:t>
            </w:r>
            <w:r>
              <w:rPr>
                <w:rStyle w:val="FootnoteReference"/>
              </w:rPr>
              <w:footnoteReference w:id="23"/>
            </w:r>
          </w:p>
        </w:tc>
        <w:tc>
          <w:tcPr>
            <w:tcW w:w="6060" w:type="dxa"/>
            <w:tcBorders>
              <w:top w:val="single" w:sz="4" w:space="0" w:color="auto"/>
              <w:left w:val="single" w:sz="4" w:space="0" w:color="auto"/>
              <w:bottom w:val="single" w:sz="4" w:space="0" w:color="auto"/>
              <w:right w:val="single" w:sz="4" w:space="0" w:color="auto"/>
            </w:tcBorders>
            <w:shd w:val="clear" w:color="auto" w:fill="FFFFFF" w:themeFill="background1"/>
          </w:tcPr>
          <w:p w14:paraId="350C7059" w14:textId="77777777" w:rsidR="006E4DB4" w:rsidRDefault="006E4DB4" w:rsidP="006E4DB4">
            <w:pPr>
              <w:pStyle w:val="Tablebullet"/>
            </w:pPr>
            <w:r w:rsidRPr="000A24C9">
              <w:t>Identifies patients at risk of asthma exacerbations, independent of symptom levels, especially if FEV</w:t>
            </w:r>
            <w:r w:rsidRPr="005815F2">
              <w:rPr>
                <w:vertAlign w:val="subscript"/>
              </w:rPr>
              <w:t>1</w:t>
            </w:r>
            <w:r w:rsidRPr="000A24C9">
              <w:t xml:space="preserve"> is &lt;60% predicted</w:t>
            </w:r>
            <w:r>
              <w:t xml:space="preserve"> </w:t>
            </w:r>
            <w:r w:rsidRPr="00E715F6">
              <w:t>(Fuhlbrigge et al, 2001; Li et al, 1995; Kitch et al, 2004; Osborne et al, 2007).</w:t>
            </w:r>
          </w:p>
          <w:p w14:paraId="393ED53B" w14:textId="77777777" w:rsidR="006E4DB4" w:rsidRPr="000A24C9" w:rsidRDefault="006E4DB4" w:rsidP="006E4DB4">
            <w:pPr>
              <w:pStyle w:val="Tablebullet"/>
            </w:pPr>
            <w:r w:rsidRPr="000A24C9">
              <w:t>Is a risk factor for lung function decline, independent of symptom levels</w:t>
            </w:r>
            <w:r>
              <w:t xml:space="preserve"> (Ulrik, 1999)</w:t>
            </w:r>
            <w:r w:rsidRPr="000A24C9">
              <w:t>.</w:t>
            </w:r>
          </w:p>
          <w:p w14:paraId="3A871C8A" w14:textId="77777777" w:rsidR="006E4DB4" w:rsidRDefault="006E4DB4" w:rsidP="006E4DB4">
            <w:pPr>
              <w:pStyle w:val="Tablebullet"/>
            </w:pPr>
            <w:r w:rsidRPr="000A24C9">
              <w:t>If symptoms are few, suggests limitation of lifestyle, or poor pe</w:t>
            </w:r>
            <w:r>
              <w:t>rception of airflow limitation (Killian et al, 2000),</w:t>
            </w:r>
            <w:r w:rsidRPr="000A24C9">
              <w:t xml:space="preserve"> which may be due to untreated airway inflammation</w:t>
            </w:r>
            <w:r>
              <w:t xml:space="preserve"> (Rosi et al, 2006)</w:t>
            </w:r>
            <w:r w:rsidRPr="000A24C9">
              <w:t>.</w:t>
            </w:r>
          </w:p>
        </w:tc>
      </w:tr>
      <w:tr w:rsidR="006E4DB4" w14:paraId="48CD6524" w14:textId="77777777" w:rsidTr="006E4DB4">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6483EDC" w14:textId="77777777" w:rsidR="006E4DB4" w:rsidRPr="000A24C9" w:rsidRDefault="006E4DB4" w:rsidP="0099709F">
            <w:pPr>
              <w:pStyle w:val="Tabletext"/>
            </w:pPr>
            <w:r w:rsidRPr="000A24C9">
              <w:t>A ‘normal’ or high FEV</w:t>
            </w:r>
            <w:r w:rsidRPr="00E85616">
              <w:rPr>
                <w:vertAlign w:val="subscript"/>
              </w:rPr>
              <w:t>1</w:t>
            </w:r>
            <w:r w:rsidRPr="000A24C9">
              <w:t xml:space="preserve"> in a patient with frequent respiratory symptoms (especially when symptomatic)</w:t>
            </w:r>
          </w:p>
        </w:tc>
        <w:tc>
          <w:tcPr>
            <w:tcW w:w="6060" w:type="dxa"/>
            <w:tcBorders>
              <w:top w:val="single" w:sz="4" w:space="0" w:color="auto"/>
              <w:left w:val="single" w:sz="4" w:space="0" w:color="auto"/>
              <w:bottom w:val="single" w:sz="4" w:space="0" w:color="auto"/>
              <w:right w:val="single" w:sz="4" w:space="0" w:color="auto"/>
            </w:tcBorders>
            <w:shd w:val="clear" w:color="auto" w:fill="FFFFFF" w:themeFill="background1"/>
          </w:tcPr>
          <w:p w14:paraId="1CA032E6" w14:textId="77777777" w:rsidR="006E4DB4" w:rsidRPr="006E4DB4" w:rsidRDefault="006E4DB4" w:rsidP="006E4DB4">
            <w:pPr>
              <w:pStyle w:val="Tabletext"/>
            </w:pPr>
            <w:r w:rsidRPr="006E4DB4">
              <w:t>Prompts consideration of alternative causes for the symptoms; e.g. cardiac disease, or cough due to post-nasal drip or gastroesophageal reflux disease.</w:t>
            </w:r>
          </w:p>
        </w:tc>
      </w:tr>
      <w:tr w:rsidR="006E4DB4" w14:paraId="674D8059" w14:textId="77777777" w:rsidTr="006E4DB4">
        <w:tc>
          <w:tcPr>
            <w:tcW w:w="3119" w:type="dxa"/>
            <w:tcBorders>
              <w:top w:val="single" w:sz="4" w:space="0" w:color="auto"/>
              <w:left w:val="single" w:sz="4" w:space="0" w:color="auto"/>
              <w:bottom w:val="single" w:sz="4" w:space="0" w:color="auto"/>
              <w:right w:val="single" w:sz="4" w:space="0" w:color="auto"/>
            </w:tcBorders>
          </w:tcPr>
          <w:p w14:paraId="0AADE9C7" w14:textId="77777777" w:rsidR="006E4DB4" w:rsidRPr="000A24C9" w:rsidRDefault="006E4DB4" w:rsidP="0099709F">
            <w:pPr>
              <w:pStyle w:val="Tabletext"/>
            </w:pPr>
            <w:r w:rsidRPr="000A24C9">
              <w:t>Persistent bronchodilator reversibility</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4CEE26A6" w14:textId="77777777" w:rsidR="006E4DB4" w:rsidRPr="006E4DB4" w:rsidRDefault="006E4DB4" w:rsidP="006E4DB4">
            <w:pPr>
              <w:pStyle w:val="Tabletext"/>
            </w:pPr>
            <w:r w:rsidRPr="006E4DB4">
              <w:t>Finding significant bronchodilator reversibility (increase in FEV1 &gt;12% and &gt;200 mL from baseline [Pellegrino et al, 2005]) in a patient taking controller treatment, or who has taken a short-acting beta2-agonist within 4 hours, or a LABA within 12 hours, suggests uncontrolled asthma.</w:t>
            </w:r>
          </w:p>
        </w:tc>
      </w:tr>
    </w:tbl>
    <w:p w14:paraId="2341D291" w14:textId="77777777" w:rsidR="008B1C85" w:rsidRDefault="008B1C85" w:rsidP="008B1C85">
      <w:pPr>
        <w:pStyle w:val="08Tablefootnotes"/>
      </w:pPr>
      <w:r>
        <w:lastRenderedPageBreak/>
        <w:t xml:space="preserve">Note: </w:t>
      </w:r>
      <w:r w:rsidRPr="000A24C9">
        <w:t>GINA (2015) advised that once the diagnosis of asthma has been confirmed patient will generally not be required to withhold medications before lung function tests (Reddel et al, 2009); however preferable the same conditions should apply at each visit.</w:t>
      </w:r>
    </w:p>
    <w:p w14:paraId="2F37BE4C" w14:textId="77777777" w:rsidR="008B1C85" w:rsidRDefault="008B1C85" w:rsidP="00B50F00">
      <w:r>
        <w:t>The guidance outlined above pertains to adults, adolescents, and children 6-11 years. In children less than 5 years of age spirometry cannot be reliably obtained; however, the report notes that many children with uncontrolled asthma have normal lung function between exacerbations.</w:t>
      </w:r>
    </w:p>
    <w:p w14:paraId="088C373D" w14:textId="77777777" w:rsidR="008B1C85" w:rsidRPr="00CB24CB" w:rsidRDefault="008B1C85" w:rsidP="00D56F93">
      <w:pPr>
        <w:pStyle w:val="AttHeading5"/>
      </w:pPr>
      <w:r w:rsidRPr="00CB24CB">
        <w:t>British Thoracic Society / Scottish Intercollegiate Guidelines Network (2014)</w:t>
      </w:r>
    </w:p>
    <w:p w14:paraId="062FD988" w14:textId="77777777" w:rsidR="008B1C85" w:rsidRPr="005B704B" w:rsidRDefault="008B1C85" w:rsidP="00B50F00">
      <w:r>
        <w:t>The BTS/SIGN guideline advocates regular asthma monitoring in primary care on (at least) an annual basis. The relevant guidance is shown</w:t>
      </w:r>
      <w:r w:rsidR="0063592C">
        <w:t xml:space="preserve"> in Table 35</w:t>
      </w:r>
      <w:r>
        <w:t>. The guideline notes that reduced lung function compared to previously recorded values may indicate current bronchoconstriction or a long-term decline in lung function and should prompt detailed assessment.</w:t>
      </w:r>
    </w:p>
    <w:p w14:paraId="74B8FCFC" w14:textId="535760A2" w:rsidR="008B1C85" w:rsidRDefault="0063592C" w:rsidP="00DF3A06">
      <w:pPr>
        <w:pStyle w:val="Appcaption"/>
      </w:pPr>
      <w:r>
        <w:t xml:space="preserve">Table </w:t>
      </w:r>
      <w:fldSimple w:instr=" SEQ Title \* ARABIC ">
        <w:r w:rsidR="00F2203C">
          <w:rPr>
            <w:noProof/>
          </w:rPr>
          <w:t>35</w:t>
        </w:r>
      </w:fldSimple>
      <w:r w:rsidR="008B1C85">
        <w:rPr>
          <w:noProof/>
        </w:rPr>
        <w:tab/>
        <w:t>BTS/SIGN (2014):</w:t>
      </w:r>
      <w:r w:rsidR="008B1C85">
        <w:t xml:space="preserve"> Guidance relating to the use of spirometry for monitoring asthma in primary care</w:t>
      </w:r>
    </w:p>
    <w:tbl>
      <w:tblPr>
        <w:tblStyle w:val="TableGrid"/>
        <w:tblW w:w="0" w:type="auto"/>
        <w:tblLook w:val="04A0" w:firstRow="1" w:lastRow="0" w:firstColumn="1" w:lastColumn="0" w:noHBand="0" w:noVBand="1"/>
        <w:tblDescription w:val="Appendix C table 34 list the 2014 British Thoracic Society / Scottish Intercollegiate Guidelines Network (BTS/SIGN) good practice points for monitoring asthma in primary care.  "/>
      </w:tblPr>
      <w:tblGrid>
        <w:gridCol w:w="9061"/>
      </w:tblGrid>
      <w:tr w:rsidR="00EF1852" w:rsidRPr="00A0517F" w14:paraId="41718383" w14:textId="77777777" w:rsidTr="00FF6AB5">
        <w:trPr>
          <w:tblHeader/>
        </w:trPr>
        <w:tc>
          <w:tcPr>
            <w:tcW w:w="9061" w:type="dxa"/>
            <w:tcBorders>
              <w:top w:val="single" w:sz="4" w:space="0" w:color="auto"/>
              <w:left w:val="single" w:sz="4" w:space="0" w:color="auto"/>
              <w:bottom w:val="single" w:sz="4" w:space="0" w:color="auto"/>
              <w:right w:val="single" w:sz="4" w:space="0" w:color="auto"/>
            </w:tcBorders>
          </w:tcPr>
          <w:p w14:paraId="77CE53CB" w14:textId="77777777" w:rsidR="00EF1852" w:rsidRPr="00EF1852" w:rsidRDefault="00EF1852" w:rsidP="008B1C85">
            <w:pPr>
              <w:pStyle w:val="Tabletext"/>
              <w:rPr>
                <w:rFonts w:cstheme="minorHAnsi"/>
                <w:b/>
              </w:rPr>
            </w:pPr>
            <w:r w:rsidRPr="00EF1852">
              <w:rPr>
                <w:rFonts w:cstheme="minorHAnsi"/>
                <w:b/>
                <w:color w:val="000000" w:themeColor="text1"/>
              </w:rPr>
              <w:t>Good Practice Point</w:t>
            </w:r>
          </w:p>
        </w:tc>
      </w:tr>
      <w:tr w:rsidR="008B1C85" w:rsidRPr="00A0517F" w14:paraId="7102B930" w14:textId="77777777" w:rsidTr="008B1C85">
        <w:tc>
          <w:tcPr>
            <w:tcW w:w="9061" w:type="dxa"/>
            <w:tcBorders>
              <w:top w:val="single" w:sz="4" w:space="0" w:color="auto"/>
              <w:left w:val="single" w:sz="4" w:space="0" w:color="auto"/>
              <w:bottom w:val="single" w:sz="4" w:space="0" w:color="auto"/>
              <w:right w:val="single" w:sz="4" w:space="0" w:color="auto"/>
            </w:tcBorders>
          </w:tcPr>
          <w:p w14:paraId="3ACF20AA" w14:textId="77777777" w:rsidR="008B1C85" w:rsidRPr="00A0517F" w:rsidRDefault="008B1C85" w:rsidP="008B1C85">
            <w:pPr>
              <w:pStyle w:val="Tabletext"/>
              <w:rPr>
                <w:rFonts w:cstheme="minorHAnsi"/>
              </w:rPr>
            </w:pPr>
            <w:r w:rsidRPr="00A0517F">
              <w:rPr>
                <w:rFonts w:cstheme="minorHAnsi"/>
              </w:rPr>
              <w:t>In adults, the following factors should be monitored and recorded in primary care:</w:t>
            </w:r>
          </w:p>
          <w:p w14:paraId="3724FF10" w14:textId="77777777" w:rsidR="008B1C85" w:rsidRPr="00A0517F" w:rsidRDefault="008B1C85" w:rsidP="008B1C85">
            <w:pPr>
              <w:pStyle w:val="06Tablebullet"/>
              <w:rPr>
                <w:rFonts w:asciiTheme="minorHAnsi" w:hAnsiTheme="minorHAnsi" w:cstheme="minorHAnsi"/>
              </w:rPr>
            </w:pPr>
            <w:r w:rsidRPr="00A0517F">
              <w:rPr>
                <w:rFonts w:asciiTheme="minorHAnsi" w:hAnsiTheme="minorHAnsi" w:cstheme="minorHAnsi"/>
              </w:rPr>
              <w:t>symptomatic asthma control</w:t>
            </w:r>
          </w:p>
          <w:p w14:paraId="2159D278" w14:textId="77777777" w:rsidR="008B1C85" w:rsidRPr="00A0517F" w:rsidRDefault="008B1C85" w:rsidP="008B1C85">
            <w:pPr>
              <w:pStyle w:val="06Tablebullet"/>
              <w:rPr>
                <w:rFonts w:asciiTheme="minorHAnsi" w:hAnsiTheme="minorHAnsi" w:cstheme="minorHAnsi"/>
              </w:rPr>
            </w:pPr>
            <w:r w:rsidRPr="00A0517F">
              <w:rPr>
                <w:rFonts w:asciiTheme="minorHAnsi" w:hAnsiTheme="minorHAnsi" w:cstheme="minorHAnsi"/>
              </w:rPr>
              <w:t>lung function, assessed by spirometry or by PEF</w:t>
            </w:r>
          </w:p>
          <w:p w14:paraId="0DEC0E47" w14:textId="77777777" w:rsidR="008B1C85" w:rsidRPr="00A0517F" w:rsidRDefault="008B1C85" w:rsidP="008B1C85">
            <w:pPr>
              <w:pStyle w:val="06Tablebullet"/>
              <w:rPr>
                <w:rFonts w:asciiTheme="minorHAnsi" w:hAnsiTheme="minorHAnsi" w:cstheme="minorHAnsi"/>
              </w:rPr>
            </w:pPr>
            <w:r w:rsidRPr="00A0517F">
              <w:rPr>
                <w:rFonts w:asciiTheme="minorHAnsi" w:hAnsiTheme="minorHAnsi" w:cstheme="minorHAnsi"/>
              </w:rPr>
              <w:t>asthma attacks, oral corticosteroid use and time off work or school since last assessment</w:t>
            </w:r>
          </w:p>
          <w:p w14:paraId="33EC749D" w14:textId="77777777" w:rsidR="008B1C85" w:rsidRPr="00A0517F" w:rsidRDefault="008B1C85" w:rsidP="008B1C85">
            <w:pPr>
              <w:pStyle w:val="06Tablebullet"/>
              <w:rPr>
                <w:rFonts w:asciiTheme="minorHAnsi" w:hAnsiTheme="minorHAnsi" w:cstheme="minorHAnsi"/>
              </w:rPr>
            </w:pPr>
            <w:r w:rsidRPr="00A0517F">
              <w:rPr>
                <w:rFonts w:asciiTheme="minorHAnsi" w:hAnsiTheme="minorHAnsi" w:cstheme="minorHAnsi"/>
              </w:rPr>
              <w:t>inhaler technique</w:t>
            </w:r>
          </w:p>
          <w:p w14:paraId="11427511" w14:textId="77777777" w:rsidR="008B1C85" w:rsidRPr="00A0517F" w:rsidRDefault="008B1C85" w:rsidP="008B1C85">
            <w:pPr>
              <w:pStyle w:val="06Tablebullet"/>
              <w:rPr>
                <w:rFonts w:asciiTheme="minorHAnsi" w:hAnsiTheme="minorHAnsi" w:cstheme="minorHAnsi"/>
              </w:rPr>
            </w:pPr>
            <w:r w:rsidRPr="00A0517F">
              <w:rPr>
                <w:rFonts w:asciiTheme="minorHAnsi" w:hAnsiTheme="minorHAnsi" w:cstheme="minorHAnsi"/>
              </w:rPr>
              <w:t>adherence</w:t>
            </w:r>
          </w:p>
          <w:p w14:paraId="3D91D256" w14:textId="77777777" w:rsidR="008B1C85" w:rsidRPr="00A0517F" w:rsidRDefault="008B1C85" w:rsidP="008B1C85">
            <w:pPr>
              <w:pStyle w:val="06Tablebullet"/>
              <w:rPr>
                <w:rFonts w:asciiTheme="minorHAnsi" w:hAnsiTheme="minorHAnsi" w:cstheme="minorHAnsi"/>
              </w:rPr>
            </w:pPr>
            <w:r w:rsidRPr="00A0517F">
              <w:rPr>
                <w:rFonts w:asciiTheme="minorHAnsi" w:hAnsiTheme="minorHAnsi" w:cstheme="minorHAnsi"/>
              </w:rPr>
              <w:t>bronchodilator reliance</w:t>
            </w:r>
          </w:p>
          <w:p w14:paraId="1E3EF9D2" w14:textId="77777777" w:rsidR="008B1C85" w:rsidRPr="00A0517F" w:rsidRDefault="008B1C85" w:rsidP="008B1C85">
            <w:pPr>
              <w:pStyle w:val="06Tablebullet"/>
              <w:rPr>
                <w:rFonts w:asciiTheme="minorHAnsi" w:hAnsiTheme="minorHAnsi" w:cstheme="minorHAnsi"/>
              </w:rPr>
            </w:pPr>
            <w:r w:rsidRPr="00A0517F">
              <w:rPr>
                <w:rFonts w:asciiTheme="minorHAnsi" w:hAnsiTheme="minorHAnsi" w:cstheme="minorHAnsi"/>
              </w:rPr>
              <w:t>possession of and use of a self-management plan/personal action plan.</w:t>
            </w:r>
          </w:p>
        </w:tc>
      </w:tr>
    </w:tbl>
    <w:p w14:paraId="108766B8" w14:textId="77777777" w:rsidR="008B1C85" w:rsidRDefault="008B1C85" w:rsidP="008B1C85">
      <w:pPr>
        <w:pStyle w:val="09Tablefootnoteslast-nostick"/>
      </w:pPr>
      <w:r>
        <w:t>Abbreviations: PEF, peak expiratory flow.</w:t>
      </w:r>
    </w:p>
    <w:p w14:paraId="357C531F" w14:textId="77777777" w:rsidR="008B1C85" w:rsidRPr="000F5FE0" w:rsidRDefault="008B1C85" w:rsidP="00D56F93">
      <w:pPr>
        <w:pStyle w:val="AttHeading4"/>
      </w:pPr>
      <w:r w:rsidRPr="000F5FE0">
        <w:t>Chronic Obstructive Pulmonary Disease (COPD)</w:t>
      </w:r>
    </w:p>
    <w:p w14:paraId="7D8DA187" w14:textId="77777777" w:rsidR="008B1C85" w:rsidRPr="000F5FE0" w:rsidRDefault="008B1C85" w:rsidP="00D56F93">
      <w:pPr>
        <w:pStyle w:val="AttHeading5"/>
      </w:pPr>
      <w:r w:rsidRPr="000F5FE0">
        <w:t>Lung Foundation Australia / Thoracic Society of Australia and New Zealand (2015)</w:t>
      </w:r>
    </w:p>
    <w:p w14:paraId="3D7AAD02" w14:textId="77777777" w:rsidR="008B1C85" w:rsidRDefault="008B1C85" w:rsidP="00B50F00">
      <w:r>
        <w:t>Citing evidence from the NHLBI/WHO Workshop Report (2001), the LFA/TSANZ advocates regular review, with objective measures of function and medication review, in the hope that this may reduce complications and the frequency or the severity (or both) of exacerbations and admissions to hospital.</w:t>
      </w:r>
    </w:p>
    <w:p w14:paraId="264BEE09" w14:textId="77777777" w:rsidR="008B1C85" w:rsidRDefault="008B1C85" w:rsidP="00B50F00">
      <w:r>
        <w:t>The guideline identified a cluster randomised controlled trial that was undertaken across 31 general practices in Melbourne (Abramson et al, 2010). Patients with COPD and/or asthma on inhaled medication (N=305; median age: 58 years) were randomised to a) three-monthly spirometry by a respiratory scientist with results returned to the practice and regular medical review, b) usual care and spirometry before and after the trial and c) usual care. This study did not show any significant changes in quality of life (assessed with the 36-item Short Form Health Survey (SF-36)) or other health outcomes (assessed with the European Community Respiratory Health Survey) from baseline to 12 months, or any significant differences between groups. Abramson et al (2010) also reported that there were no significant differences in respiratory symptoms, asthma attacks, written asthma action plans, days lost from usual activities or health care utilisation.</w:t>
      </w:r>
    </w:p>
    <w:p w14:paraId="49F78D9C" w14:textId="77777777" w:rsidR="008B1C85" w:rsidRDefault="008B1C85" w:rsidP="00B50F00">
      <w:r>
        <w:t>The LFA/TSANZ (2015) lists several possible explanations for the negative results, including limited power, few events and inclusion of doctor-diagnosed as opposed to spirometry-defined patients.</w:t>
      </w:r>
    </w:p>
    <w:p w14:paraId="3900784F" w14:textId="77777777" w:rsidR="008B1C85" w:rsidRPr="000F5FE0" w:rsidRDefault="008B1C85" w:rsidP="00D56F93">
      <w:pPr>
        <w:pStyle w:val="AttHeading5"/>
      </w:pPr>
      <w:r w:rsidRPr="000F5FE0">
        <w:lastRenderedPageBreak/>
        <w:t>Abramson (2014)</w:t>
      </w:r>
    </w:p>
    <w:p w14:paraId="621431FC" w14:textId="77777777" w:rsidR="008B1C85" w:rsidRDefault="008B1C85" w:rsidP="00B50F00">
      <w:r>
        <w:t>The Concise Guide by Abramson et al (2014) suggests that severity of COPD should be monitored on a regular basis after initial diagnosis. The relevant recommendation is shown in</w:t>
      </w:r>
      <w:r w:rsidR="0063592C">
        <w:t xml:space="preserve"> Table 36</w:t>
      </w:r>
      <w:r>
        <w:t>.</w:t>
      </w:r>
    </w:p>
    <w:p w14:paraId="3BCE6EBB" w14:textId="7CD5B1FC" w:rsidR="008B1C85" w:rsidRDefault="0063592C" w:rsidP="00DF3A06">
      <w:pPr>
        <w:pStyle w:val="Appcaption"/>
      </w:pPr>
      <w:r>
        <w:t xml:space="preserve">Table </w:t>
      </w:r>
      <w:fldSimple w:instr=" SEQ Title \* ARABIC ">
        <w:r w:rsidR="00F2203C">
          <w:rPr>
            <w:noProof/>
          </w:rPr>
          <w:t>36</w:t>
        </w:r>
      </w:fldSimple>
      <w:r>
        <w:rPr>
          <w:noProof/>
        </w:rPr>
        <w:t xml:space="preserve"> </w:t>
      </w:r>
      <w:r w:rsidR="008B1C85">
        <w:rPr>
          <w:noProof/>
        </w:rPr>
        <w:t>Abramson (2014):</w:t>
      </w:r>
      <w:r w:rsidR="008B1C85">
        <w:t xml:space="preserve"> Recommendation relating to lung function and long-term monitoring </w:t>
      </w:r>
    </w:p>
    <w:tbl>
      <w:tblPr>
        <w:tblStyle w:val="TableGrid"/>
        <w:tblW w:w="0" w:type="auto"/>
        <w:tblLook w:val="04A0" w:firstRow="1" w:lastRow="0" w:firstColumn="1" w:lastColumn="0" w:noHBand="0" w:noVBand="1"/>
        <w:tblDescription w:val="Appendix C table 35 list the 2014 Amramson recommendations.  This table contains 2 column headings: 1. Recommendations and Grading of recommendation relating lung function and long-term monitoring."/>
      </w:tblPr>
      <w:tblGrid>
        <w:gridCol w:w="6941"/>
        <w:gridCol w:w="2120"/>
      </w:tblGrid>
      <w:tr w:rsidR="00EF40B5" w:rsidRPr="00A0517F" w14:paraId="5735D35E" w14:textId="77777777" w:rsidTr="00FF6AB5">
        <w:trPr>
          <w:tblHeader/>
        </w:trPr>
        <w:tc>
          <w:tcPr>
            <w:tcW w:w="6941" w:type="dxa"/>
            <w:tcBorders>
              <w:top w:val="single" w:sz="4" w:space="0" w:color="auto"/>
              <w:left w:val="single" w:sz="4" w:space="0" w:color="auto"/>
              <w:bottom w:val="single" w:sz="4" w:space="0" w:color="auto"/>
              <w:right w:val="single" w:sz="4" w:space="0" w:color="auto"/>
            </w:tcBorders>
          </w:tcPr>
          <w:p w14:paraId="797AE222" w14:textId="77777777" w:rsidR="00EF40B5" w:rsidRPr="004C005F" w:rsidRDefault="00EF40B5" w:rsidP="00134608">
            <w:pPr>
              <w:pStyle w:val="Tableheading"/>
            </w:pPr>
            <w:r w:rsidRPr="004C005F">
              <w:t>Recommendation</w:t>
            </w:r>
          </w:p>
        </w:tc>
        <w:tc>
          <w:tcPr>
            <w:tcW w:w="2120" w:type="dxa"/>
            <w:tcBorders>
              <w:top w:val="single" w:sz="4" w:space="0" w:color="auto"/>
              <w:left w:val="single" w:sz="4" w:space="0" w:color="auto"/>
              <w:bottom w:val="single" w:sz="4" w:space="0" w:color="auto"/>
              <w:right w:val="single" w:sz="4" w:space="0" w:color="auto"/>
            </w:tcBorders>
          </w:tcPr>
          <w:p w14:paraId="7A422942" w14:textId="77777777" w:rsidR="00EF40B5" w:rsidRPr="004C005F" w:rsidRDefault="00EF40B5" w:rsidP="0099709F">
            <w:pPr>
              <w:pStyle w:val="Tableheading"/>
              <w:rPr>
                <w:rFonts w:cstheme="minorHAnsi"/>
              </w:rPr>
            </w:pPr>
            <w:r>
              <w:rPr>
                <w:rFonts w:cstheme="minorHAnsi"/>
              </w:rPr>
              <w:t>Grading</w:t>
            </w:r>
            <w:r w:rsidRPr="004C005F">
              <w:rPr>
                <w:rFonts w:cstheme="minorHAnsi"/>
              </w:rPr>
              <w:t xml:space="preserve"> of recommendation</w:t>
            </w:r>
          </w:p>
        </w:tc>
      </w:tr>
      <w:tr w:rsidR="008B1C85" w14:paraId="37211EF7" w14:textId="77777777" w:rsidTr="008B1C85">
        <w:tc>
          <w:tcPr>
            <w:tcW w:w="6941" w:type="dxa"/>
            <w:tcBorders>
              <w:top w:val="single" w:sz="4" w:space="0" w:color="auto"/>
              <w:left w:val="single" w:sz="4" w:space="0" w:color="auto"/>
              <w:bottom w:val="single" w:sz="4" w:space="0" w:color="auto"/>
              <w:right w:val="single" w:sz="4" w:space="0" w:color="auto"/>
            </w:tcBorders>
          </w:tcPr>
          <w:p w14:paraId="46FAA9DF" w14:textId="77777777" w:rsidR="008B1C85" w:rsidRPr="001E307E" w:rsidRDefault="008B1C85" w:rsidP="00134608">
            <w:pPr>
              <w:pStyle w:val="Tabletext"/>
            </w:pPr>
            <w:r>
              <w:t xml:space="preserve">To guide ongoing management, assess COPD severity based on lung function and a careful assessment of </w:t>
            </w:r>
            <w:r w:rsidRPr="00134608">
              <w:t>symptoms</w:t>
            </w:r>
            <w:r>
              <w:t xml:space="preserve"> and signs, and review the history of exacerbations at least annually.</w:t>
            </w:r>
          </w:p>
        </w:tc>
        <w:tc>
          <w:tcPr>
            <w:tcW w:w="2120" w:type="dxa"/>
            <w:tcBorders>
              <w:top w:val="single" w:sz="4" w:space="0" w:color="auto"/>
              <w:left w:val="single" w:sz="4" w:space="0" w:color="auto"/>
              <w:bottom w:val="single" w:sz="4" w:space="0" w:color="auto"/>
              <w:right w:val="single" w:sz="4" w:space="0" w:color="auto"/>
            </w:tcBorders>
          </w:tcPr>
          <w:p w14:paraId="195398FF" w14:textId="77777777" w:rsidR="008B1C85" w:rsidRPr="004760DD" w:rsidRDefault="008B1C85" w:rsidP="0099709F">
            <w:pPr>
              <w:pStyle w:val="Tabletext"/>
            </w:pPr>
            <w:r>
              <w:t xml:space="preserve">Strong </w:t>
            </w:r>
            <w:r w:rsidRPr="00134608">
              <w:t>recommendation</w:t>
            </w:r>
            <w:r>
              <w:t>; moderate-quality evidence</w:t>
            </w:r>
          </w:p>
        </w:tc>
      </w:tr>
    </w:tbl>
    <w:p w14:paraId="0CADC9A4" w14:textId="77777777" w:rsidR="008B1C85" w:rsidRDefault="008B1C85" w:rsidP="008B1C85">
      <w:pPr>
        <w:pStyle w:val="09Tablefootnoteslast-nostick"/>
      </w:pPr>
      <w:r>
        <w:t>Abbreviations: COPD, chronic obstructive pulmonary disease.</w:t>
      </w:r>
    </w:p>
    <w:p w14:paraId="021D5F3D" w14:textId="77777777" w:rsidR="008B1C85" w:rsidRPr="003A6551" w:rsidRDefault="008B1C85" w:rsidP="00B50F00">
      <w:r>
        <w:t>While the guideline recommends ongoing lung function testing (spirometry), it notes that symptom severity may not correlate with spirometry criteria for severity (see</w:t>
      </w:r>
      <w:r w:rsidR="0063592C">
        <w:t xml:space="preserve"> Table 37</w:t>
      </w:r>
      <w:r>
        <w:t>). Furthermore, a history of previous exacerbations was identified as the best predictor of future exacerbations and possible decline in lung function.</w:t>
      </w:r>
    </w:p>
    <w:p w14:paraId="3BDB65A7" w14:textId="458ACBA1" w:rsidR="008B1C85" w:rsidRDefault="0063592C" w:rsidP="00DF3A06">
      <w:pPr>
        <w:pStyle w:val="Appcaption"/>
      </w:pPr>
      <w:r>
        <w:t xml:space="preserve">Table </w:t>
      </w:r>
      <w:fldSimple w:instr=" SEQ Title \* ARABIC ">
        <w:r w:rsidR="00F2203C">
          <w:rPr>
            <w:noProof/>
          </w:rPr>
          <w:t>37</w:t>
        </w:r>
      </w:fldSimple>
      <w:r w:rsidR="008B1C85">
        <w:rPr>
          <w:noProof/>
        </w:rPr>
        <w:tab/>
        <w:t>Abramson (2014):</w:t>
      </w:r>
      <w:r w:rsidR="008B1C85">
        <w:t xml:space="preserve"> Guide to the severity of COPD</w:t>
      </w:r>
    </w:p>
    <w:tbl>
      <w:tblPr>
        <w:tblStyle w:val="TableGrid"/>
        <w:tblW w:w="0" w:type="auto"/>
        <w:tblLook w:val="04A0" w:firstRow="1" w:lastRow="0" w:firstColumn="1" w:lastColumn="0" w:noHBand="0" w:noVBand="1"/>
        <w:tblDescription w:val="Appendix C table 36 list the 2014 Amramson guide to Chronic Obstructive Pulmonary Disease (COPD).  This table contains 5 column headings: 1. Severity, 2. Forced Expiratory Volume in 1 Second (FEV1), 3. Symptoms, 4. History of exacerbations and 5. Comorbid conditions."/>
      </w:tblPr>
      <w:tblGrid>
        <w:gridCol w:w="1126"/>
        <w:gridCol w:w="1075"/>
        <w:gridCol w:w="3766"/>
        <w:gridCol w:w="1692"/>
        <w:gridCol w:w="1402"/>
      </w:tblGrid>
      <w:tr w:rsidR="00DC0D4A" w:rsidRPr="00A0517F" w14:paraId="5BAB3F5A" w14:textId="77777777" w:rsidTr="00FF6AB5">
        <w:trPr>
          <w:tblHeader/>
        </w:trPr>
        <w:tc>
          <w:tcPr>
            <w:tcW w:w="1129" w:type="dxa"/>
            <w:tcBorders>
              <w:top w:val="single" w:sz="4" w:space="0" w:color="auto"/>
              <w:left w:val="single" w:sz="4" w:space="0" w:color="auto"/>
              <w:bottom w:val="single" w:sz="4" w:space="0" w:color="auto"/>
              <w:right w:val="single" w:sz="4" w:space="0" w:color="auto"/>
            </w:tcBorders>
          </w:tcPr>
          <w:p w14:paraId="6AD77DE0" w14:textId="77777777" w:rsidR="00DC0D4A" w:rsidRPr="00DC0D4A" w:rsidRDefault="00DC0D4A" w:rsidP="0099709F">
            <w:pPr>
              <w:pStyle w:val="Tableheading"/>
              <w:rPr>
                <w:rFonts w:cstheme="minorHAnsi"/>
              </w:rPr>
            </w:pPr>
            <w:r w:rsidRPr="00DC0D4A">
              <w:t>Severity</w:t>
            </w:r>
          </w:p>
        </w:tc>
        <w:tc>
          <w:tcPr>
            <w:tcW w:w="993" w:type="dxa"/>
            <w:tcBorders>
              <w:top w:val="single" w:sz="4" w:space="0" w:color="auto"/>
              <w:left w:val="single" w:sz="4" w:space="0" w:color="auto"/>
              <w:bottom w:val="single" w:sz="4" w:space="0" w:color="auto"/>
              <w:right w:val="single" w:sz="4" w:space="0" w:color="auto"/>
            </w:tcBorders>
          </w:tcPr>
          <w:p w14:paraId="6804F2C8" w14:textId="77777777" w:rsidR="00DC0D4A" w:rsidRPr="00DC0D4A" w:rsidRDefault="00DC0D4A" w:rsidP="0099709F">
            <w:pPr>
              <w:pStyle w:val="Tableheading"/>
              <w:rPr>
                <w:rFonts w:cstheme="minorHAnsi"/>
              </w:rPr>
            </w:pPr>
            <w:r w:rsidRPr="00DC0D4A">
              <w:t>FEV</w:t>
            </w:r>
            <w:r w:rsidRPr="00DC0D4A">
              <w:rPr>
                <w:vertAlign w:val="subscript"/>
              </w:rPr>
              <w:t>1</w:t>
            </w:r>
            <w:r w:rsidRPr="00DC0D4A">
              <w:t xml:space="preserve"> (% predicted)</w:t>
            </w:r>
          </w:p>
        </w:tc>
        <w:tc>
          <w:tcPr>
            <w:tcW w:w="3827" w:type="dxa"/>
            <w:tcBorders>
              <w:top w:val="single" w:sz="4" w:space="0" w:color="auto"/>
              <w:left w:val="single" w:sz="4" w:space="0" w:color="auto"/>
              <w:bottom w:val="single" w:sz="4" w:space="0" w:color="auto"/>
              <w:right w:val="single" w:sz="4" w:space="0" w:color="auto"/>
            </w:tcBorders>
          </w:tcPr>
          <w:p w14:paraId="20E2DEF7" w14:textId="77777777" w:rsidR="00DC0D4A" w:rsidRPr="00DC29AA" w:rsidRDefault="00DC0D4A" w:rsidP="0099709F">
            <w:pPr>
              <w:pStyle w:val="Tableheading"/>
            </w:pPr>
            <w:r w:rsidRPr="00DC29AA">
              <w:t>Symptoms</w:t>
            </w:r>
          </w:p>
        </w:tc>
        <w:tc>
          <w:tcPr>
            <w:tcW w:w="1701" w:type="dxa"/>
            <w:tcBorders>
              <w:top w:val="single" w:sz="4" w:space="0" w:color="auto"/>
              <w:left w:val="single" w:sz="4" w:space="0" w:color="auto"/>
              <w:bottom w:val="single" w:sz="4" w:space="0" w:color="auto"/>
              <w:right w:val="single" w:sz="4" w:space="0" w:color="auto"/>
            </w:tcBorders>
          </w:tcPr>
          <w:p w14:paraId="3A906A52" w14:textId="77777777" w:rsidR="00DC0D4A" w:rsidRPr="00DC0D4A" w:rsidRDefault="00DC0D4A" w:rsidP="0099709F">
            <w:pPr>
              <w:pStyle w:val="Tableheading"/>
              <w:rPr>
                <w:rFonts w:cstheme="minorHAnsi"/>
              </w:rPr>
            </w:pPr>
            <w:r w:rsidRPr="00DC0D4A">
              <w:t>History of exacerbations</w:t>
            </w:r>
          </w:p>
        </w:tc>
        <w:tc>
          <w:tcPr>
            <w:tcW w:w="1411" w:type="dxa"/>
            <w:tcBorders>
              <w:top w:val="single" w:sz="4" w:space="0" w:color="auto"/>
              <w:left w:val="single" w:sz="4" w:space="0" w:color="auto"/>
              <w:bottom w:val="single" w:sz="4" w:space="0" w:color="auto"/>
              <w:right w:val="single" w:sz="4" w:space="0" w:color="auto"/>
            </w:tcBorders>
          </w:tcPr>
          <w:p w14:paraId="514B954B" w14:textId="77777777" w:rsidR="00DC0D4A" w:rsidRPr="00DC0D4A" w:rsidRDefault="00DC0D4A" w:rsidP="0099709F">
            <w:pPr>
              <w:pStyle w:val="Tableheading"/>
              <w:rPr>
                <w:rFonts w:cstheme="minorHAnsi"/>
              </w:rPr>
            </w:pPr>
            <w:r w:rsidRPr="00DC0D4A">
              <w:t>Comorbid conditions</w:t>
            </w:r>
          </w:p>
        </w:tc>
      </w:tr>
      <w:tr w:rsidR="00DC0D4A" w:rsidRPr="00A0517F" w14:paraId="5F2B168A" w14:textId="77777777" w:rsidTr="008B1C85">
        <w:tc>
          <w:tcPr>
            <w:tcW w:w="1129" w:type="dxa"/>
            <w:tcBorders>
              <w:top w:val="single" w:sz="4" w:space="0" w:color="auto"/>
              <w:left w:val="single" w:sz="4" w:space="0" w:color="auto"/>
              <w:bottom w:val="single" w:sz="4" w:space="0" w:color="auto"/>
              <w:right w:val="single" w:sz="4" w:space="0" w:color="auto"/>
            </w:tcBorders>
          </w:tcPr>
          <w:p w14:paraId="53AA491E" w14:textId="77777777" w:rsidR="00DC0D4A" w:rsidRPr="00134608" w:rsidRDefault="00DC0D4A" w:rsidP="00134608">
            <w:pPr>
              <w:pStyle w:val="Tabletext"/>
            </w:pPr>
            <w:r w:rsidRPr="00134608">
              <w:t>Mild</w:t>
            </w:r>
          </w:p>
        </w:tc>
        <w:tc>
          <w:tcPr>
            <w:tcW w:w="993" w:type="dxa"/>
            <w:tcBorders>
              <w:top w:val="single" w:sz="4" w:space="0" w:color="auto"/>
              <w:left w:val="single" w:sz="4" w:space="0" w:color="auto"/>
              <w:bottom w:val="single" w:sz="4" w:space="0" w:color="auto"/>
              <w:right w:val="single" w:sz="4" w:space="0" w:color="auto"/>
            </w:tcBorders>
          </w:tcPr>
          <w:p w14:paraId="46C3F38B" w14:textId="77777777" w:rsidR="00DC0D4A" w:rsidRPr="00134608" w:rsidRDefault="00DC0D4A" w:rsidP="0099709F">
            <w:pPr>
              <w:pStyle w:val="Tabletext"/>
            </w:pPr>
            <w:r w:rsidRPr="00134608">
              <w:t>60-80</w:t>
            </w:r>
          </w:p>
        </w:tc>
        <w:tc>
          <w:tcPr>
            <w:tcW w:w="3827" w:type="dxa"/>
            <w:tcBorders>
              <w:top w:val="single" w:sz="4" w:space="0" w:color="auto"/>
              <w:left w:val="single" w:sz="4" w:space="0" w:color="auto"/>
              <w:bottom w:val="single" w:sz="4" w:space="0" w:color="auto"/>
              <w:right w:val="single" w:sz="4" w:space="0" w:color="auto"/>
            </w:tcBorders>
          </w:tcPr>
          <w:p w14:paraId="6662E7B2" w14:textId="77777777" w:rsidR="00DC0D4A" w:rsidRPr="00A0517F" w:rsidRDefault="00DC0D4A" w:rsidP="0099709F">
            <w:pPr>
              <w:pStyle w:val="Tablebullet"/>
            </w:pPr>
            <w:r w:rsidRPr="00A0517F">
              <w:t>Breathlessness on moderate exertion</w:t>
            </w:r>
          </w:p>
          <w:p w14:paraId="7B5F8D73" w14:textId="77777777" w:rsidR="00DC0D4A" w:rsidRPr="00A0517F" w:rsidRDefault="00DC0D4A" w:rsidP="0099709F">
            <w:pPr>
              <w:pStyle w:val="Tablebullet"/>
            </w:pPr>
            <w:r w:rsidRPr="00A0517F">
              <w:t>Recurrent chest infections</w:t>
            </w:r>
          </w:p>
          <w:p w14:paraId="1BC2634D" w14:textId="77777777" w:rsidR="00DC0D4A" w:rsidRPr="00A0517F" w:rsidRDefault="00DC0D4A" w:rsidP="0099709F">
            <w:pPr>
              <w:pStyle w:val="Tablebullet"/>
            </w:pPr>
            <w:r w:rsidRPr="00A0517F">
              <w:t>Little or no effect on daily activities</w:t>
            </w:r>
          </w:p>
        </w:tc>
        <w:tc>
          <w:tcPr>
            <w:tcW w:w="1701" w:type="dxa"/>
            <w:tcBorders>
              <w:top w:val="single" w:sz="4" w:space="0" w:color="auto"/>
              <w:left w:val="single" w:sz="4" w:space="0" w:color="auto"/>
              <w:bottom w:val="single" w:sz="4" w:space="0" w:color="auto"/>
              <w:right w:val="single" w:sz="4" w:space="0" w:color="auto"/>
            </w:tcBorders>
          </w:tcPr>
          <w:p w14:paraId="0B683174" w14:textId="77777777" w:rsidR="00DC0D4A" w:rsidRPr="00134608" w:rsidRDefault="00DC0D4A" w:rsidP="00134608">
            <w:pPr>
              <w:pStyle w:val="Tabletext"/>
            </w:pPr>
            <w:r w:rsidRPr="00134608">
              <w:t>Frequency may increase with severity</w:t>
            </w:r>
          </w:p>
        </w:tc>
        <w:tc>
          <w:tcPr>
            <w:tcW w:w="1411" w:type="dxa"/>
            <w:tcBorders>
              <w:top w:val="single" w:sz="4" w:space="0" w:color="auto"/>
              <w:left w:val="single" w:sz="4" w:space="0" w:color="auto"/>
              <w:bottom w:val="single" w:sz="4" w:space="0" w:color="auto"/>
              <w:right w:val="single" w:sz="4" w:space="0" w:color="auto"/>
            </w:tcBorders>
          </w:tcPr>
          <w:p w14:paraId="373DF6A0" w14:textId="77777777" w:rsidR="00DC0D4A" w:rsidRPr="00134608" w:rsidRDefault="00DC0D4A" w:rsidP="00134608">
            <w:pPr>
              <w:pStyle w:val="Tabletext"/>
            </w:pPr>
            <w:r w:rsidRPr="00134608">
              <w:t>Present across all severity groups</w:t>
            </w:r>
          </w:p>
        </w:tc>
      </w:tr>
      <w:tr w:rsidR="00DC0D4A" w:rsidRPr="00A0517F" w14:paraId="5E6D40CD" w14:textId="77777777" w:rsidTr="008B1C85">
        <w:tc>
          <w:tcPr>
            <w:tcW w:w="1129" w:type="dxa"/>
            <w:tcBorders>
              <w:top w:val="single" w:sz="4" w:space="0" w:color="auto"/>
              <w:left w:val="single" w:sz="4" w:space="0" w:color="auto"/>
              <w:bottom w:val="single" w:sz="4" w:space="0" w:color="auto"/>
              <w:right w:val="single" w:sz="4" w:space="0" w:color="auto"/>
            </w:tcBorders>
          </w:tcPr>
          <w:p w14:paraId="130C91BD" w14:textId="77777777" w:rsidR="00DC0D4A" w:rsidRPr="00134608" w:rsidRDefault="00DC0D4A" w:rsidP="00134608">
            <w:pPr>
              <w:pStyle w:val="Tabletext"/>
            </w:pPr>
            <w:r w:rsidRPr="00134608">
              <w:t>Moderate</w:t>
            </w:r>
          </w:p>
        </w:tc>
        <w:tc>
          <w:tcPr>
            <w:tcW w:w="993" w:type="dxa"/>
            <w:tcBorders>
              <w:top w:val="single" w:sz="4" w:space="0" w:color="auto"/>
              <w:left w:val="single" w:sz="4" w:space="0" w:color="auto"/>
              <w:bottom w:val="single" w:sz="4" w:space="0" w:color="auto"/>
              <w:right w:val="single" w:sz="4" w:space="0" w:color="auto"/>
            </w:tcBorders>
          </w:tcPr>
          <w:p w14:paraId="643FBED3" w14:textId="77777777" w:rsidR="00DC0D4A" w:rsidRPr="00134608" w:rsidRDefault="00DC0D4A" w:rsidP="0099709F">
            <w:pPr>
              <w:pStyle w:val="Tabletext"/>
            </w:pPr>
            <w:r w:rsidRPr="00134608">
              <w:t>40-59</w:t>
            </w:r>
          </w:p>
        </w:tc>
        <w:tc>
          <w:tcPr>
            <w:tcW w:w="3827" w:type="dxa"/>
            <w:tcBorders>
              <w:top w:val="single" w:sz="4" w:space="0" w:color="auto"/>
              <w:left w:val="single" w:sz="4" w:space="0" w:color="auto"/>
              <w:bottom w:val="single" w:sz="4" w:space="0" w:color="auto"/>
              <w:right w:val="single" w:sz="4" w:space="0" w:color="auto"/>
            </w:tcBorders>
          </w:tcPr>
          <w:p w14:paraId="7C888335" w14:textId="77777777" w:rsidR="00DC0D4A" w:rsidRPr="00A0517F" w:rsidRDefault="00DC0D4A" w:rsidP="0099709F">
            <w:pPr>
              <w:pStyle w:val="Tablebullet"/>
            </w:pPr>
            <w:r w:rsidRPr="00A0517F">
              <w:t>Increasing dyspnoea</w:t>
            </w:r>
          </w:p>
          <w:p w14:paraId="1C1E914D" w14:textId="77777777" w:rsidR="00DC0D4A" w:rsidRPr="00A0517F" w:rsidRDefault="00DC0D4A" w:rsidP="0099709F">
            <w:pPr>
              <w:pStyle w:val="Tablebullet"/>
            </w:pPr>
            <w:r w:rsidRPr="00A0517F">
              <w:t>Breathlessness walking on level ground</w:t>
            </w:r>
          </w:p>
          <w:p w14:paraId="5BB8F2FD" w14:textId="77777777" w:rsidR="00DC0D4A" w:rsidRPr="00A0517F" w:rsidRDefault="00DC0D4A" w:rsidP="0099709F">
            <w:pPr>
              <w:pStyle w:val="Tablebullet"/>
            </w:pPr>
            <w:r w:rsidRPr="00A0517F">
              <w:t>Increasing limitation of daily activities</w:t>
            </w:r>
          </w:p>
          <w:p w14:paraId="614EC0B4" w14:textId="77777777" w:rsidR="00DC0D4A" w:rsidRPr="00A0517F" w:rsidRDefault="00DC0D4A" w:rsidP="0099709F">
            <w:pPr>
              <w:pStyle w:val="Tablebullet"/>
            </w:pPr>
            <w:r w:rsidRPr="00A0517F">
              <w:t>Cough and sputum production</w:t>
            </w:r>
          </w:p>
          <w:p w14:paraId="2543AFB4" w14:textId="77777777" w:rsidR="00DC0D4A" w:rsidRPr="00A0517F" w:rsidRDefault="00DC0D4A" w:rsidP="0099709F">
            <w:pPr>
              <w:pStyle w:val="Tablebullet"/>
            </w:pPr>
            <w:r w:rsidRPr="00A0517F">
              <w:t xml:space="preserve">Exacerbations requiring corticosteroids and/or antibiotics </w:t>
            </w:r>
          </w:p>
        </w:tc>
        <w:tc>
          <w:tcPr>
            <w:tcW w:w="1701" w:type="dxa"/>
            <w:tcBorders>
              <w:top w:val="single" w:sz="4" w:space="0" w:color="auto"/>
              <w:left w:val="single" w:sz="4" w:space="0" w:color="auto"/>
              <w:bottom w:val="single" w:sz="4" w:space="0" w:color="auto"/>
              <w:right w:val="single" w:sz="4" w:space="0" w:color="auto"/>
            </w:tcBorders>
          </w:tcPr>
          <w:p w14:paraId="30B85EF6" w14:textId="77777777" w:rsidR="00DC0D4A" w:rsidRPr="00134608" w:rsidRDefault="00DC0D4A" w:rsidP="00134608">
            <w:pPr>
              <w:pStyle w:val="Tabletext"/>
            </w:pPr>
            <w:r w:rsidRPr="00134608">
              <w:t>Frequency may increase with severity</w:t>
            </w:r>
          </w:p>
        </w:tc>
        <w:tc>
          <w:tcPr>
            <w:tcW w:w="1411" w:type="dxa"/>
            <w:tcBorders>
              <w:top w:val="single" w:sz="4" w:space="0" w:color="auto"/>
              <w:left w:val="single" w:sz="4" w:space="0" w:color="auto"/>
              <w:bottom w:val="single" w:sz="4" w:space="0" w:color="auto"/>
              <w:right w:val="single" w:sz="4" w:space="0" w:color="auto"/>
            </w:tcBorders>
          </w:tcPr>
          <w:p w14:paraId="2C1FE3A7" w14:textId="77777777" w:rsidR="00DC0D4A" w:rsidRPr="00134608" w:rsidRDefault="00DC0D4A" w:rsidP="00134608">
            <w:pPr>
              <w:pStyle w:val="Tabletext"/>
            </w:pPr>
            <w:r w:rsidRPr="00134608">
              <w:t>Present across all severity groups</w:t>
            </w:r>
          </w:p>
        </w:tc>
      </w:tr>
      <w:tr w:rsidR="00DC0D4A" w:rsidRPr="00A0517F" w14:paraId="13E958C2" w14:textId="77777777" w:rsidTr="008B1C85">
        <w:tc>
          <w:tcPr>
            <w:tcW w:w="1129" w:type="dxa"/>
            <w:tcBorders>
              <w:top w:val="single" w:sz="4" w:space="0" w:color="auto"/>
              <w:left w:val="single" w:sz="4" w:space="0" w:color="auto"/>
              <w:bottom w:val="single" w:sz="4" w:space="0" w:color="auto"/>
              <w:right w:val="single" w:sz="4" w:space="0" w:color="auto"/>
            </w:tcBorders>
          </w:tcPr>
          <w:p w14:paraId="205BEF16" w14:textId="77777777" w:rsidR="00DC0D4A" w:rsidRPr="00134608" w:rsidRDefault="00DC0D4A" w:rsidP="00134608">
            <w:pPr>
              <w:pStyle w:val="Tabletext"/>
            </w:pPr>
            <w:r w:rsidRPr="00134608">
              <w:t>Severe</w:t>
            </w:r>
          </w:p>
        </w:tc>
        <w:tc>
          <w:tcPr>
            <w:tcW w:w="993" w:type="dxa"/>
            <w:tcBorders>
              <w:top w:val="single" w:sz="4" w:space="0" w:color="auto"/>
              <w:left w:val="single" w:sz="4" w:space="0" w:color="auto"/>
              <w:bottom w:val="single" w:sz="4" w:space="0" w:color="auto"/>
              <w:right w:val="single" w:sz="4" w:space="0" w:color="auto"/>
            </w:tcBorders>
          </w:tcPr>
          <w:p w14:paraId="01EFE714" w14:textId="77777777" w:rsidR="00DC0D4A" w:rsidRPr="00134608" w:rsidRDefault="00DC0D4A" w:rsidP="0099709F">
            <w:pPr>
              <w:pStyle w:val="Tabletext"/>
            </w:pPr>
            <w:r w:rsidRPr="00134608">
              <w:t>&lt; 40</w:t>
            </w:r>
          </w:p>
        </w:tc>
        <w:tc>
          <w:tcPr>
            <w:tcW w:w="3827" w:type="dxa"/>
            <w:tcBorders>
              <w:top w:val="single" w:sz="4" w:space="0" w:color="auto"/>
              <w:left w:val="single" w:sz="4" w:space="0" w:color="auto"/>
              <w:bottom w:val="single" w:sz="4" w:space="0" w:color="auto"/>
              <w:right w:val="single" w:sz="4" w:space="0" w:color="auto"/>
            </w:tcBorders>
          </w:tcPr>
          <w:p w14:paraId="6B8093B3" w14:textId="77777777" w:rsidR="00DC0D4A" w:rsidRPr="00A0517F" w:rsidRDefault="00DC0D4A" w:rsidP="0099709F">
            <w:pPr>
              <w:pStyle w:val="Tablebullet"/>
            </w:pPr>
            <w:r w:rsidRPr="00A0517F">
              <w:t>Dyspnoea on minimal exertion</w:t>
            </w:r>
          </w:p>
          <w:p w14:paraId="3EAF2507" w14:textId="77777777" w:rsidR="00DC0D4A" w:rsidRPr="00A0517F" w:rsidRDefault="00DC0D4A" w:rsidP="0099709F">
            <w:pPr>
              <w:pStyle w:val="Tablebullet"/>
            </w:pPr>
            <w:r w:rsidRPr="00A0517F">
              <w:t>Daily activities severely curtailed</w:t>
            </w:r>
          </w:p>
          <w:p w14:paraId="602C56C8" w14:textId="77777777" w:rsidR="00DC0D4A" w:rsidRPr="00A0517F" w:rsidRDefault="00DC0D4A" w:rsidP="0099709F">
            <w:pPr>
              <w:pStyle w:val="Tablebullet"/>
            </w:pPr>
            <w:r w:rsidRPr="00A0517F">
              <w:t>Experiencing regular sputum production</w:t>
            </w:r>
          </w:p>
          <w:p w14:paraId="200A1D4F" w14:textId="77777777" w:rsidR="00DC0D4A" w:rsidRPr="00A0517F" w:rsidRDefault="00DC0D4A" w:rsidP="0099709F">
            <w:pPr>
              <w:pStyle w:val="Tablebullet"/>
            </w:pPr>
            <w:r w:rsidRPr="00A0517F">
              <w:t>Chronic cough</w:t>
            </w:r>
          </w:p>
        </w:tc>
        <w:tc>
          <w:tcPr>
            <w:tcW w:w="1701" w:type="dxa"/>
            <w:tcBorders>
              <w:top w:val="single" w:sz="4" w:space="0" w:color="auto"/>
              <w:left w:val="single" w:sz="4" w:space="0" w:color="auto"/>
              <w:bottom w:val="single" w:sz="4" w:space="0" w:color="auto"/>
              <w:right w:val="single" w:sz="4" w:space="0" w:color="auto"/>
            </w:tcBorders>
          </w:tcPr>
          <w:p w14:paraId="3F1333B2" w14:textId="77777777" w:rsidR="00DC0D4A" w:rsidRPr="00134608" w:rsidRDefault="00DC0D4A" w:rsidP="00134608">
            <w:pPr>
              <w:pStyle w:val="Tabletext"/>
            </w:pPr>
            <w:r w:rsidRPr="00134608">
              <w:t>Frequency may increase with severity</w:t>
            </w:r>
          </w:p>
        </w:tc>
        <w:tc>
          <w:tcPr>
            <w:tcW w:w="1411" w:type="dxa"/>
            <w:tcBorders>
              <w:top w:val="single" w:sz="4" w:space="0" w:color="auto"/>
              <w:left w:val="single" w:sz="4" w:space="0" w:color="auto"/>
              <w:bottom w:val="single" w:sz="4" w:space="0" w:color="auto"/>
              <w:right w:val="single" w:sz="4" w:space="0" w:color="auto"/>
            </w:tcBorders>
          </w:tcPr>
          <w:p w14:paraId="5EB2FEE4" w14:textId="77777777" w:rsidR="00DC0D4A" w:rsidRPr="00134608" w:rsidRDefault="00DC0D4A" w:rsidP="00134608">
            <w:pPr>
              <w:pStyle w:val="Tabletext"/>
            </w:pPr>
            <w:r w:rsidRPr="00134608">
              <w:t>Present across all severity groups</w:t>
            </w:r>
          </w:p>
        </w:tc>
      </w:tr>
    </w:tbl>
    <w:p w14:paraId="79FEBB7A" w14:textId="77777777" w:rsidR="008B1C85" w:rsidRDefault="008B1C85" w:rsidP="008B1C85">
      <w:pPr>
        <w:pStyle w:val="08Tablefootnotes"/>
      </w:pPr>
      <w:r>
        <w:t>Source: Abramson et al (2014); Table 1, p. 6.</w:t>
      </w:r>
    </w:p>
    <w:p w14:paraId="3C6B2F95" w14:textId="77777777" w:rsidR="008B1C85" w:rsidRDefault="008B1C85" w:rsidP="008B1C85">
      <w:pPr>
        <w:pStyle w:val="09Tablefootnoteslast-nostick"/>
      </w:pPr>
      <w:r>
        <w:t xml:space="preserve">Note: Common comorbid conditions include cardiovascular disease, skeletal muscle dysfunction, metabolic syndrome, osteoporosis, anxiety or depression, lung cancer, peripheral vascular disease and sleep apnoea. </w:t>
      </w:r>
    </w:p>
    <w:p w14:paraId="770D2F22" w14:textId="77777777" w:rsidR="008B1C85" w:rsidRPr="000F5FE0" w:rsidRDefault="008B1C85" w:rsidP="00D56F93">
      <w:pPr>
        <w:pStyle w:val="AttHeading5"/>
      </w:pPr>
      <w:r w:rsidRPr="000F5FE0">
        <w:t>Global Initiative for Chronic Obstructive Lung Disease (2016)</w:t>
      </w:r>
    </w:p>
    <w:p w14:paraId="4FD61A8B" w14:textId="77777777" w:rsidR="008B1C85" w:rsidRDefault="008B1C85" w:rsidP="00B50F00">
      <w:r>
        <w:t>Like several other recent CPGs, the GOLD report emphasises that FEV</w:t>
      </w:r>
      <w:r>
        <w:rPr>
          <w:vertAlign w:val="subscript"/>
        </w:rPr>
        <w:t>1</w:t>
      </w:r>
      <w:r>
        <w:t xml:space="preserve"> is a poor descriptor of disease status and recommends that long-term monitoring/management of COPD should be based on a broader strategy that considers both disease impact (e.g. symptom burden and activity limitation) and future risk of disease progression (especially future risk of exacerbations).</w:t>
      </w:r>
    </w:p>
    <w:p w14:paraId="63C5359D" w14:textId="77777777" w:rsidR="008B1C85" w:rsidRDefault="008B1C85" w:rsidP="00B50F00">
      <w:r>
        <w:t xml:space="preserve">According to GOLD, assessing the impact of COPD on an individual patient over time should involve a comprehensive assessment of symptoms (e.g. using the COPD Assessment Test), spirometric </w:t>
      </w:r>
      <w:r>
        <w:lastRenderedPageBreak/>
        <w:t>classification and/or risk of exacerbations. The guideline notes that spirometry should be performed at least once a year to identify patients whose lung function is declining quickly.</w:t>
      </w:r>
    </w:p>
    <w:p w14:paraId="1FA6B030" w14:textId="77777777" w:rsidR="008B1C85" w:rsidRDefault="008B1C85" w:rsidP="00B50F00">
      <w:r>
        <w:t>While future exacerbations are best predicted by a history of previous treated events, the guideline suggests that worsening airflow limitation is also associated with an increasing frequency of exacerbation and risk of death.</w:t>
      </w:r>
    </w:p>
    <w:p w14:paraId="58C1E758" w14:textId="77777777" w:rsidR="008B1C85" w:rsidRDefault="008B1C85" w:rsidP="00B50F00">
      <w:r>
        <w:t xml:space="preserve">Data from several large medium-term clinical trials was collated to illustrate the effect of COPD severity on risk of exacerbations, hospitalisation and death using GOLD spirometric grading systems. The data indicate a correlation between increased severity using GOLD spirometric grades and increased risk of exacerbations, hospitalisation and death. </w:t>
      </w:r>
    </w:p>
    <w:p w14:paraId="21D506DE" w14:textId="55272F41" w:rsidR="008B1C85" w:rsidRDefault="0063592C" w:rsidP="00DF3A06">
      <w:pPr>
        <w:pStyle w:val="Appcaption"/>
      </w:pPr>
      <w:r>
        <w:t xml:space="preserve">Table </w:t>
      </w:r>
      <w:fldSimple w:instr=" SEQ Title \* ARABIC ">
        <w:r w:rsidR="00F2203C">
          <w:rPr>
            <w:noProof/>
          </w:rPr>
          <w:t>38</w:t>
        </w:r>
      </w:fldSimple>
      <w:r w:rsidR="008B1C85">
        <w:rPr>
          <w:noProof/>
        </w:rPr>
        <w:tab/>
        <w:t>GOLD (2016): Risk in COPD - Placebo-limb data from TORCH, UPLIFT and ECLIPSE</w:t>
      </w:r>
    </w:p>
    <w:tbl>
      <w:tblPr>
        <w:tblStyle w:val="TableGrid"/>
        <w:tblW w:w="5000" w:type="pct"/>
        <w:tblLook w:val="04A0" w:firstRow="1" w:lastRow="0" w:firstColumn="1" w:lastColumn="0" w:noHBand="0" w:noVBand="1"/>
        <w:tblDescription w:val="Appendix C table 37 list the Chronic Obstructive Pulmonary Disease (COPD) risk of exacerbations per year, hospitalisations per year and 3-year mortality, using the 2016 Global Initiative for Chronic Obstructive Lung Disease (GOLD) spirometric grading systems."/>
      </w:tblPr>
      <w:tblGrid>
        <w:gridCol w:w="2266"/>
        <w:gridCol w:w="2265"/>
        <w:gridCol w:w="2265"/>
        <w:gridCol w:w="2265"/>
      </w:tblGrid>
      <w:tr w:rsidR="00DC0D4A" w:rsidRPr="00DC0D4A" w14:paraId="2F419918" w14:textId="77777777" w:rsidTr="00FF6AB5">
        <w:trPr>
          <w:tblHeader/>
        </w:trPr>
        <w:tc>
          <w:tcPr>
            <w:tcW w:w="1250" w:type="pct"/>
          </w:tcPr>
          <w:p w14:paraId="04753BB5" w14:textId="77777777" w:rsidR="00DC0D4A" w:rsidRPr="00DC0D4A" w:rsidRDefault="00DC0D4A" w:rsidP="0099709F">
            <w:pPr>
              <w:pStyle w:val="Tableheading"/>
            </w:pPr>
            <w:r w:rsidRPr="00DC0D4A">
              <w:t>GOLD spirometric level</w:t>
            </w:r>
          </w:p>
        </w:tc>
        <w:tc>
          <w:tcPr>
            <w:tcW w:w="1250" w:type="pct"/>
          </w:tcPr>
          <w:p w14:paraId="2080460E" w14:textId="77777777" w:rsidR="00DC0D4A" w:rsidRPr="00DC0D4A" w:rsidRDefault="00DC0D4A" w:rsidP="0099709F">
            <w:pPr>
              <w:pStyle w:val="Tableheading"/>
            </w:pPr>
            <w:r w:rsidRPr="00DC0D4A">
              <w:t>Exacerbations per year</w:t>
            </w:r>
            <w:r w:rsidRPr="00DC0D4A">
              <w:rPr>
                <w:vertAlign w:val="superscript"/>
              </w:rPr>
              <w:t>a,b,c</w:t>
            </w:r>
          </w:p>
        </w:tc>
        <w:tc>
          <w:tcPr>
            <w:tcW w:w="1250" w:type="pct"/>
          </w:tcPr>
          <w:p w14:paraId="740C3C82" w14:textId="77777777" w:rsidR="00DC0D4A" w:rsidRPr="00DC0D4A" w:rsidRDefault="00DC0D4A" w:rsidP="0099709F">
            <w:pPr>
              <w:pStyle w:val="Tableheading"/>
            </w:pPr>
            <w:r w:rsidRPr="00DC0D4A">
              <w:t>Hospitalisations per year</w:t>
            </w:r>
            <w:r w:rsidRPr="00DC0D4A">
              <w:rPr>
                <w:vertAlign w:val="superscript"/>
              </w:rPr>
              <w:t>a,c</w:t>
            </w:r>
          </w:p>
        </w:tc>
        <w:tc>
          <w:tcPr>
            <w:tcW w:w="1250" w:type="pct"/>
          </w:tcPr>
          <w:p w14:paraId="147A34A0" w14:textId="77777777" w:rsidR="00DC0D4A" w:rsidRPr="00DC0D4A" w:rsidRDefault="00DC0D4A" w:rsidP="0099709F">
            <w:pPr>
              <w:pStyle w:val="Tableheading"/>
            </w:pPr>
            <w:r w:rsidRPr="00DC0D4A">
              <w:t>3-year mortality</w:t>
            </w:r>
          </w:p>
        </w:tc>
      </w:tr>
      <w:tr w:rsidR="00DC0D4A" w:rsidRPr="00284DDF" w14:paraId="200D73AB" w14:textId="77777777" w:rsidTr="008B1C85">
        <w:tc>
          <w:tcPr>
            <w:tcW w:w="1250" w:type="pct"/>
          </w:tcPr>
          <w:p w14:paraId="029B05B0" w14:textId="77777777" w:rsidR="00DC0D4A" w:rsidRDefault="00DC0D4A" w:rsidP="008B1C85">
            <w:pPr>
              <w:pStyle w:val="Tabletext"/>
            </w:pPr>
            <w:r>
              <w:t>GOLD 1: Mild</w:t>
            </w:r>
          </w:p>
        </w:tc>
        <w:tc>
          <w:tcPr>
            <w:tcW w:w="1250" w:type="pct"/>
          </w:tcPr>
          <w:p w14:paraId="1035EDDC" w14:textId="77777777" w:rsidR="00DC0D4A" w:rsidRDefault="00DC0D4A" w:rsidP="008B1C85">
            <w:pPr>
              <w:pStyle w:val="Tabletext"/>
              <w:jc w:val="center"/>
            </w:pPr>
            <w:r>
              <w:t>?</w:t>
            </w:r>
          </w:p>
        </w:tc>
        <w:tc>
          <w:tcPr>
            <w:tcW w:w="1250" w:type="pct"/>
          </w:tcPr>
          <w:p w14:paraId="7FF2B7E2" w14:textId="77777777" w:rsidR="00DC0D4A" w:rsidRDefault="00DC0D4A" w:rsidP="008B1C85">
            <w:pPr>
              <w:pStyle w:val="Tabletext"/>
              <w:jc w:val="center"/>
            </w:pPr>
            <w:r>
              <w:t>?</w:t>
            </w:r>
          </w:p>
        </w:tc>
        <w:tc>
          <w:tcPr>
            <w:tcW w:w="1250" w:type="pct"/>
          </w:tcPr>
          <w:p w14:paraId="1D855B54" w14:textId="77777777" w:rsidR="00DC0D4A" w:rsidRDefault="00DC0D4A" w:rsidP="008B1C85">
            <w:pPr>
              <w:pStyle w:val="Tabletext"/>
              <w:jc w:val="center"/>
            </w:pPr>
            <w:r>
              <w:t>?</w:t>
            </w:r>
          </w:p>
        </w:tc>
      </w:tr>
      <w:tr w:rsidR="00DC0D4A" w:rsidRPr="00284DDF" w14:paraId="7FEAEAD8" w14:textId="77777777" w:rsidTr="008B1C85">
        <w:tc>
          <w:tcPr>
            <w:tcW w:w="1250" w:type="pct"/>
          </w:tcPr>
          <w:p w14:paraId="3F1B2BE8" w14:textId="77777777" w:rsidR="00DC0D4A" w:rsidRDefault="00DC0D4A" w:rsidP="008B1C85">
            <w:pPr>
              <w:pStyle w:val="Tabletext"/>
            </w:pPr>
            <w:r>
              <w:t>GOLD 2: Moderate</w:t>
            </w:r>
          </w:p>
        </w:tc>
        <w:tc>
          <w:tcPr>
            <w:tcW w:w="1250" w:type="pct"/>
          </w:tcPr>
          <w:p w14:paraId="10703362" w14:textId="77777777" w:rsidR="00DC0D4A" w:rsidRDefault="00DC0D4A" w:rsidP="008B1C85">
            <w:pPr>
              <w:pStyle w:val="Tabletext"/>
              <w:jc w:val="center"/>
            </w:pPr>
            <w:r>
              <w:t>0.7 – 0.9</w:t>
            </w:r>
          </w:p>
        </w:tc>
        <w:tc>
          <w:tcPr>
            <w:tcW w:w="1250" w:type="pct"/>
          </w:tcPr>
          <w:p w14:paraId="3B6FF0BF" w14:textId="77777777" w:rsidR="00DC0D4A" w:rsidRDefault="00DC0D4A" w:rsidP="008B1C85">
            <w:pPr>
              <w:pStyle w:val="Tabletext"/>
              <w:jc w:val="center"/>
            </w:pPr>
            <w:r>
              <w:t>0.11 – 0.2</w:t>
            </w:r>
          </w:p>
        </w:tc>
        <w:tc>
          <w:tcPr>
            <w:tcW w:w="1250" w:type="pct"/>
          </w:tcPr>
          <w:p w14:paraId="5073A76D" w14:textId="77777777" w:rsidR="00DC0D4A" w:rsidRDefault="00DC0D4A" w:rsidP="008B1C85">
            <w:pPr>
              <w:pStyle w:val="Tabletext"/>
              <w:jc w:val="center"/>
            </w:pPr>
            <w:r>
              <w:t>11%</w:t>
            </w:r>
            <w:r>
              <w:rPr>
                <w:vertAlign w:val="superscript"/>
              </w:rPr>
              <w:t>a,b</w:t>
            </w:r>
          </w:p>
        </w:tc>
      </w:tr>
      <w:tr w:rsidR="00DC0D4A" w:rsidRPr="00284DDF" w14:paraId="0B60654D" w14:textId="77777777" w:rsidTr="008B1C85">
        <w:tc>
          <w:tcPr>
            <w:tcW w:w="1250" w:type="pct"/>
          </w:tcPr>
          <w:p w14:paraId="72405009" w14:textId="77777777" w:rsidR="00DC0D4A" w:rsidRDefault="00DC0D4A" w:rsidP="008B1C85">
            <w:pPr>
              <w:pStyle w:val="Tabletext"/>
            </w:pPr>
            <w:r>
              <w:t>GOLD 3: Severe</w:t>
            </w:r>
          </w:p>
        </w:tc>
        <w:tc>
          <w:tcPr>
            <w:tcW w:w="1250" w:type="pct"/>
          </w:tcPr>
          <w:p w14:paraId="284B54F1" w14:textId="77777777" w:rsidR="00DC0D4A" w:rsidRDefault="00DC0D4A" w:rsidP="008B1C85">
            <w:pPr>
              <w:pStyle w:val="Tabletext"/>
              <w:jc w:val="center"/>
            </w:pPr>
            <w:r>
              <w:t>1.1 – 1.3</w:t>
            </w:r>
          </w:p>
        </w:tc>
        <w:tc>
          <w:tcPr>
            <w:tcW w:w="1250" w:type="pct"/>
          </w:tcPr>
          <w:p w14:paraId="6D067C23" w14:textId="77777777" w:rsidR="00DC0D4A" w:rsidRDefault="00DC0D4A" w:rsidP="008B1C85">
            <w:pPr>
              <w:pStyle w:val="Tabletext"/>
              <w:jc w:val="center"/>
            </w:pPr>
            <w:r>
              <w:t>0.25 – 0.3</w:t>
            </w:r>
          </w:p>
        </w:tc>
        <w:tc>
          <w:tcPr>
            <w:tcW w:w="1250" w:type="pct"/>
          </w:tcPr>
          <w:p w14:paraId="2CD53BB5" w14:textId="77777777" w:rsidR="00DC0D4A" w:rsidRPr="006C2396" w:rsidRDefault="00DC0D4A" w:rsidP="008B1C85">
            <w:pPr>
              <w:pStyle w:val="Tabletext"/>
              <w:jc w:val="center"/>
              <w:rPr>
                <w:vertAlign w:val="superscript"/>
              </w:rPr>
            </w:pPr>
            <w:r>
              <w:t>15%</w:t>
            </w:r>
            <w:r>
              <w:rPr>
                <w:vertAlign w:val="superscript"/>
              </w:rPr>
              <w:t>a</w:t>
            </w:r>
          </w:p>
        </w:tc>
      </w:tr>
      <w:tr w:rsidR="00DC0D4A" w:rsidRPr="00284DDF" w14:paraId="7028E9D6" w14:textId="77777777" w:rsidTr="008B1C85">
        <w:tc>
          <w:tcPr>
            <w:tcW w:w="1250" w:type="pct"/>
          </w:tcPr>
          <w:p w14:paraId="0C1AE696" w14:textId="77777777" w:rsidR="00DC0D4A" w:rsidRDefault="00DC0D4A" w:rsidP="008B1C85">
            <w:pPr>
              <w:pStyle w:val="Tabletext"/>
            </w:pPr>
            <w:r>
              <w:t>GOLD 4: Very severe</w:t>
            </w:r>
          </w:p>
        </w:tc>
        <w:tc>
          <w:tcPr>
            <w:tcW w:w="1250" w:type="pct"/>
          </w:tcPr>
          <w:p w14:paraId="7F0CB106" w14:textId="77777777" w:rsidR="00DC0D4A" w:rsidRDefault="00DC0D4A" w:rsidP="008B1C85">
            <w:pPr>
              <w:pStyle w:val="Tabletext"/>
              <w:jc w:val="center"/>
            </w:pPr>
            <w:r>
              <w:t>1.2 – 2.0</w:t>
            </w:r>
          </w:p>
        </w:tc>
        <w:tc>
          <w:tcPr>
            <w:tcW w:w="1250" w:type="pct"/>
          </w:tcPr>
          <w:p w14:paraId="24F03DA6" w14:textId="77777777" w:rsidR="00DC0D4A" w:rsidRDefault="00DC0D4A" w:rsidP="008B1C85">
            <w:pPr>
              <w:pStyle w:val="Tabletext"/>
              <w:jc w:val="center"/>
            </w:pPr>
            <w:r>
              <w:t>0.4 – 0.54</w:t>
            </w:r>
          </w:p>
        </w:tc>
        <w:tc>
          <w:tcPr>
            <w:tcW w:w="1250" w:type="pct"/>
          </w:tcPr>
          <w:p w14:paraId="2F79D68F" w14:textId="77777777" w:rsidR="00DC0D4A" w:rsidRPr="006C2396" w:rsidRDefault="00DC0D4A" w:rsidP="008B1C85">
            <w:pPr>
              <w:pStyle w:val="Tabletext"/>
              <w:jc w:val="center"/>
              <w:rPr>
                <w:vertAlign w:val="superscript"/>
              </w:rPr>
            </w:pPr>
            <w:r>
              <w:t>24%</w:t>
            </w:r>
            <w:r>
              <w:rPr>
                <w:vertAlign w:val="superscript"/>
              </w:rPr>
              <w:t>a</w:t>
            </w:r>
          </w:p>
        </w:tc>
      </w:tr>
    </w:tbl>
    <w:p w14:paraId="6C9FB84A" w14:textId="77777777" w:rsidR="008B1C85" w:rsidRDefault="008B1C85" w:rsidP="008B1C85">
      <w:pPr>
        <w:pStyle w:val="08Tablefootnotes"/>
      </w:pPr>
      <w:r>
        <w:t>Source: GOLD 2016; p. 15.</w:t>
      </w:r>
    </w:p>
    <w:p w14:paraId="466DF155" w14:textId="77777777" w:rsidR="008B1C85" w:rsidRDefault="008B1C85" w:rsidP="008B1C85">
      <w:pPr>
        <w:pStyle w:val="08Tablefootnotes"/>
      </w:pPr>
      <w:r>
        <w:t>Abbreviations: COPD, chronic obstructive pulmonary disease; GOLD, Global Initiative for Chronic Obstructive Lung Disease.</w:t>
      </w:r>
    </w:p>
    <w:p w14:paraId="02D02CDD" w14:textId="77777777" w:rsidR="008B1C85" w:rsidRDefault="008B1C85" w:rsidP="008B1C85">
      <w:pPr>
        <w:pStyle w:val="08Tablefootnotes"/>
      </w:pPr>
      <w:r>
        <w:rPr>
          <w:b/>
        </w:rPr>
        <w:t>a</w:t>
      </w:r>
      <w:r>
        <w:t xml:space="preserve"> Toward a Revolution in COPD Health (TORCH) study.</w:t>
      </w:r>
    </w:p>
    <w:p w14:paraId="0755CBBE" w14:textId="77777777" w:rsidR="008B1C85" w:rsidRDefault="008B1C85" w:rsidP="008B1C85">
      <w:pPr>
        <w:pStyle w:val="08Tablefootnotes"/>
      </w:pPr>
      <w:r>
        <w:rPr>
          <w:b/>
        </w:rPr>
        <w:t>b</w:t>
      </w:r>
      <w:r>
        <w:t xml:space="preserve"> Understanding Potential Long-Term Impacts on Function with Tiotropium (UPLIFT) study.</w:t>
      </w:r>
    </w:p>
    <w:p w14:paraId="0175E703" w14:textId="77777777" w:rsidR="008B1C85" w:rsidRDefault="008B1C85" w:rsidP="008B1C85">
      <w:pPr>
        <w:pStyle w:val="09Tablefootnoteslast-nostick"/>
      </w:pPr>
      <w:r>
        <w:rPr>
          <w:b/>
        </w:rPr>
        <w:t>c</w:t>
      </w:r>
      <w:r>
        <w:t xml:space="preserve"> Evaluation of COPD Longitudinally to Identify Predictive Surrogate Endpoints (ECLIPSE) study.</w:t>
      </w:r>
    </w:p>
    <w:p w14:paraId="232BFDED" w14:textId="77777777" w:rsidR="008B1C85" w:rsidRDefault="008B1C85" w:rsidP="00B50F00">
      <w:r>
        <w:t>These data from the GOLD report suggest that while there are several factors that affect overall risk of exacerbations and adverse events, spirometry may be one important consideration and has value in long-term monitoring.</w:t>
      </w:r>
    </w:p>
    <w:p w14:paraId="69B93F3F" w14:textId="77777777" w:rsidR="008B1C85" w:rsidRPr="000F5FE0" w:rsidRDefault="008B1C85" w:rsidP="00D56F93">
      <w:pPr>
        <w:pStyle w:val="AttHeading5"/>
      </w:pPr>
      <w:r w:rsidRPr="000F5FE0">
        <w:t>Department of Veterans Affairs / Department of Defense (2014)</w:t>
      </w:r>
    </w:p>
    <w:p w14:paraId="02BC43A5" w14:textId="77777777" w:rsidR="008B1C85" w:rsidRPr="00F47BD9" w:rsidRDefault="008B1C85" w:rsidP="00B50F00">
      <w:r>
        <w:t>The VA/DoD guideline advises against the routine measurement of spirometry in patients with COPD that has been previously confirmed using spirometry. Without citing any specific evidence, the guideline suggests that repeat spirometry has not been shown to contribute to management or classification of COPD.</w:t>
      </w:r>
    </w:p>
    <w:p w14:paraId="0B7BD461" w14:textId="77777777" w:rsidR="008B1C85" w:rsidRPr="000F5FE0" w:rsidRDefault="008B1C85" w:rsidP="00D56F93">
      <w:pPr>
        <w:pStyle w:val="AttHeading5"/>
      </w:pPr>
      <w:r w:rsidRPr="000F5FE0">
        <w:t>Qaseem (2011) – American College of Physicians, American College of Chest Physicians, American Thoracic Society, and European Respiratory Society</w:t>
      </w:r>
    </w:p>
    <w:p w14:paraId="288F5300" w14:textId="77777777" w:rsidR="008B1C85" w:rsidRPr="00BE1833" w:rsidRDefault="008B1C85" w:rsidP="00B50F00">
      <w:r w:rsidRPr="00BE1833">
        <w:t xml:space="preserve">The guideline did not find any evidence to support the use of routine periodic spirometry after initiation of therapy to monitor disease status or to modify therapy in COPD patients. </w:t>
      </w:r>
    </w:p>
    <w:p w14:paraId="1D6FF598" w14:textId="77777777" w:rsidR="008B1C85" w:rsidRPr="000F5FE0" w:rsidRDefault="008B1C85" w:rsidP="00D56F93">
      <w:pPr>
        <w:pStyle w:val="AttHeading5"/>
      </w:pPr>
      <w:r w:rsidRPr="000F5FE0">
        <w:t>National Clinical Guideline Centre (2010)</w:t>
      </w:r>
    </w:p>
    <w:p w14:paraId="6B2D8133" w14:textId="77777777" w:rsidR="008B1C85" w:rsidRDefault="0063592C" w:rsidP="00B50F00">
      <w:r>
        <w:t xml:space="preserve">Table 39 </w:t>
      </w:r>
      <w:r w:rsidR="008B1C85">
        <w:t xml:space="preserve">shows a recommendation from the NCGC guideline about the various prognostic factors that may be used to classify severity of COPD. While the recommendation does not clearly specify </w:t>
      </w:r>
      <w:r w:rsidR="008B1C85">
        <w:lastRenderedPageBreak/>
        <w:t>that spirometry has a place in long-term monitoring, the inference from this recommendation is that FEV</w:t>
      </w:r>
      <w:r w:rsidR="008B1C85">
        <w:rPr>
          <w:vertAlign w:val="subscript"/>
        </w:rPr>
        <w:t>1</w:t>
      </w:r>
      <w:r w:rsidR="008B1C85">
        <w:t xml:space="preserve"> should be monitored over time to assess changes in COPD severity and prognosis.</w:t>
      </w:r>
    </w:p>
    <w:p w14:paraId="4BC273D4" w14:textId="77777777" w:rsidR="008B1C85" w:rsidRPr="00DA5587" w:rsidRDefault="008B1C85" w:rsidP="00B50F00">
      <w:r>
        <w:t>In addition, the guideline notes that all of the new recommendations relating to drug treatment made reference to FEV</w:t>
      </w:r>
      <w:r>
        <w:rPr>
          <w:vertAlign w:val="subscript"/>
        </w:rPr>
        <w:t>1</w:t>
      </w:r>
      <w:r>
        <w:t xml:space="preserve"> being above or below 50%, which suggests that spirometry should be undertaken periodically to assess appropriateness of current treatment or to underpin decisions to alter treatment.</w:t>
      </w:r>
    </w:p>
    <w:p w14:paraId="7DE27CA1" w14:textId="29594AA7" w:rsidR="008B1C85" w:rsidRDefault="0063592C" w:rsidP="00DF3A06">
      <w:pPr>
        <w:pStyle w:val="Appcaption"/>
      </w:pPr>
      <w:r>
        <w:t xml:space="preserve">Table </w:t>
      </w:r>
      <w:fldSimple w:instr=" SEQ Title \* ARABIC ">
        <w:r w:rsidR="00F2203C">
          <w:rPr>
            <w:noProof/>
          </w:rPr>
          <w:t>39</w:t>
        </w:r>
      </w:fldSimple>
      <w:r>
        <w:rPr>
          <w:noProof/>
        </w:rPr>
        <w:t xml:space="preserve"> </w:t>
      </w:r>
      <w:r w:rsidR="008B1C85">
        <w:rPr>
          <w:noProof/>
        </w:rPr>
        <w:t>NCGC (2010):</w:t>
      </w:r>
      <w:r w:rsidR="008B1C85">
        <w:t xml:space="preserve"> Recommendation relating to the use of spirometry in long-term monitoring</w:t>
      </w:r>
    </w:p>
    <w:tbl>
      <w:tblPr>
        <w:tblStyle w:val="TableGrid"/>
        <w:tblW w:w="0" w:type="auto"/>
        <w:tblLook w:val="04A0" w:firstRow="1" w:lastRow="0" w:firstColumn="1" w:lastColumn="0" w:noHBand="0" w:noVBand="1"/>
        <w:tblDescription w:val="Appendix C table 38 list the 2010 National Clinical Guideline Centre (NCGC) recommendations.  This table contains 2 column headings: 1. Recommendations and Grading of recommendation relating to the use of spirometry in long-term monitoring."/>
      </w:tblPr>
      <w:tblGrid>
        <w:gridCol w:w="7366"/>
        <w:gridCol w:w="1695"/>
      </w:tblGrid>
      <w:tr w:rsidR="00C57C6A" w:rsidRPr="00C57C6A" w14:paraId="4D524E56" w14:textId="77777777" w:rsidTr="00FF6AB5">
        <w:trPr>
          <w:tblHeader/>
        </w:trPr>
        <w:tc>
          <w:tcPr>
            <w:tcW w:w="7366" w:type="dxa"/>
            <w:tcBorders>
              <w:top w:val="single" w:sz="4" w:space="0" w:color="auto"/>
              <w:left w:val="single" w:sz="4" w:space="0" w:color="auto"/>
              <w:bottom w:val="single" w:sz="4" w:space="0" w:color="auto"/>
              <w:right w:val="single" w:sz="4" w:space="0" w:color="auto"/>
            </w:tcBorders>
          </w:tcPr>
          <w:p w14:paraId="74D42CEA" w14:textId="77777777" w:rsidR="00C57C6A" w:rsidRPr="00C57C6A" w:rsidRDefault="00C57C6A" w:rsidP="0099709F">
            <w:pPr>
              <w:pStyle w:val="Tableheading"/>
            </w:pPr>
            <w:r w:rsidRPr="00C57C6A">
              <w:t>Recommendation</w:t>
            </w:r>
          </w:p>
        </w:tc>
        <w:tc>
          <w:tcPr>
            <w:tcW w:w="1695" w:type="dxa"/>
            <w:tcBorders>
              <w:top w:val="single" w:sz="4" w:space="0" w:color="auto"/>
              <w:left w:val="single" w:sz="4" w:space="0" w:color="auto"/>
              <w:bottom w:val="single" w:sz="4" w:space="0" w:color="auto"/>
              <w:right w:val="single" w:sz="4" w:space="0" w:color="auto"/>
            </w:tcBorders>
          </w:tcPr>
          <w:p w14:paraId="0ACBF3BD" w14:textId="77777777" w:rsidR="00C57C6A" w:rsidRPr="00C57C6A" w:rsidRDefault="00C57C6A" w:rsidP="0099709F">
            <w:pPr>
              <w:pStyle w:val="Tableheading"/>
            </w:pPr>
            <w:r w:rsidRPr="00C57C6A">
              <w:t>Grading of recommendation</w:t>
            </w:r>
          </w:p>
        </w:tc>
      </w:tr>
      <w:tr w:rsidR="00C57C6A" w:rsidRPr="00A0517F" w14:paraId="301F1165" w14:textId="77777777" w:rsidTr="008B1C85">
        <w:tc>
          <w:tcPr>
            <w:tcW w:w="7366" w:type="dxa"/>
            <w:tcBorders>
              <w:top w:val="single" w:sz="4" w:space="0" w:color="auto"/>
              <w:left w:val="single" w:sz="4" w:space="0" w:color="auto"/>
              <w:bottom w:val="single" w:sz="4" w:space="0" w:color="auto"/>
              <w:right w:val="single" w:sz="4" w:space="0" w:color="auto"/>
            </w:tcBorders>
          </w:tcPr>
          <w:p w14:paraId="69940751" w14:textId="77777777" w:rsidR="00C57C6A" w:rsidRPr="00A0517F" w:rsidRDefault="00C57C6A" w:rsidP="00134608">
            <w:pPr>
              <w:pStyle w:val="Tabletext"/>
            </w:pPr>
            <w:r w:rsidRPr="00A0517F">
              <w:t>U3: Be aware that disability in COPD can be poorly reflected in the FEV</w:t>
            </w:r>
            <w:r w:rsidRPr="00A0517F">
              <w:rPr>
                <w:vertAlign w:val="subscript"/>
              </w:rPr>
              <w:t>1</w:t>
            </w:r>
            <w:r w:rsidRPr="00A0517F">
              <w:t xml:space="preserve">. A more comprehensive assessment of </w:t>
            </w:r>
            <w:r w:rsidRPr="00134608">
              <w:t>severity</w:t>
            </w:r>
            <w:r w:rsidRPr="00A0517F">
              <w:t xml:space="preserve"> includes the degree of airflow obstruction and disability, the frequency of exacerbations and the following known prognostic factors:</w:t>
            </w:r>
          </w:p>
          <w:p w14:paraId="6EE9929A" w14:textId="77777777" w:rsidR="00C57C6A" w:rsidRPr="00A0517F" w:rsidRDefault="00C57C6A" w:rsidP="0099709F">
            <w:pPr>
              <w:pStyle w:val="Tablebullet"/>
            </w:pPr>
            <w:r w:rsidRPr="00A0517F">
              <w:t>FEV</w:t>
            </w:r>
            <w:r w:rsidRPr="00A0517F">
              <w:rPr>
                <w:vertAlign w:val="subscript"/>
              </w:rPr>
              <w:t>1</w:t>
            </w:r>
          </w:p>
          <w:p w14:paraId="11AA1888" w14:textId="77777777" w:rsidR="00C57C6A" w:rsidRPr="00A0517F" w:rsidRDefault="00C57C6A" w:rsidP="0099709F">
            <w:pPr>
              <w:pStyle w:val="Tablebullet"/>
            </w:pPr>
            <w:r w:rsidRPr="00A0517F">
              <w:t>T</w:t>
            </w:r>
            <w:r w:rsidRPr="00A0517F">
              <w:rPr>
                <w:vertAlign w:val="subscript"/>
              </w:rPr>
              <w:t>L</w:t>
            </w:r>
            <w:r w:rsidRPr="00A0517F">
              <w:t>CO</w:t>
            </w:r>
          </w:p>
          <w:p w14:paraId="457BD32D" w14:textId="77777777" w:rsidR="00C57C6A" w:rsidRPr="00A0517F" w:rsidRDefault="00C57C6A" w:rsidP="0099709F">
            <w:pPr>
              <w:pStyle w:val="Tablebullet"/>
            </w:pPr>
            <w:r w:rsidRPr="00A0517F">
              <w:t>Breathlessness (MRC scale)</w:t>
            </w:r>
          </w:p>
          <w:p w14:paraId="3A6140E9" w14:textId="77777777" w:rsidR="00C57C6A" w:rsidRPr="00A0517F" w:rsidRDefault="00C57C6A" w:rsidP="0099709F">
            <w:pPr>
              <w:pStyle w:val="Tablebullet"/>
            </w:pPr>
            <w:r w:rsidRPr="00A0517F">
              <w:t>Health status</w:t>
            </w:r>
          </w:p>
          <w:p w14:paraId="40040323" w14:textId="77777777" w:rsidR="00C57C6A" w:rsidRPr="00A0517F" w:rsidRDefault="00C57C6A" w:rsidP="0099709F">
            <w:pPr>
              <w:pStyle w:val="Tablebullet"/>
            </w:pPr>
            <w:r w:rsidRPr="00A0517F">
              <w:t>Exercise capacity (for example, 6-minute walk test)</w:t>
            </w:r>
          </w:p>
          <w:p w14:paraId="74F91D0B" w14:textId="77777777" w:rsidR="00C57C6A" w:rsidRPr="00A0517F" w:rsidRDefault="00C57C6A" w:rsidP="0099709F">
            <w:pPr>
              <w:pStyle w:val="Tablebullet"/>
            </w:pPr>
            <w:r w:rsidRPr="00A0517F">
              <w:t>BMI</w:t>
            </w:r>
          </w:p>
          <w:p w14:paraId="13DC2C34" w14:textId="77777777" w:rsidR="00C57C6A" w:rsidRPr="00A0517F" w:rsidRDefault="00C57C6A" w:rsidP="0099709F">
            <w:pPr>
              <w:pStyle w:val="Tablebullet"/>
            </w:pPr>
            <w:r w:rsidRPr="00A0517F">
              <w:t>PaO</w:t>
            </w:r>
            <w:r w:rsidRPr="00A0517F">
              <w:rPr>
                <w:vertAlign w:val="subscript"/>
              </w:rPr>
              <w:t>2</w:t>
            </w:r>
          </w:p>
          <w:p w14:paraId="00988E74" w14:textId="77777777" w:rsidR="00C57C6A" w:rsidRPr="00A0517F" w:rsidRDefault="00C57C6A" w:rsidP="0099709F">
            <w:pPr>
              <w:pStyle w:val="Tablebullet"/>
            </w:pPr>
            <w:r w:rsidRPr="00A0517F">
              <w:t>Cor pulmonale.</w:t>
            </w:r>
          </w:p>
          <w:p w14:paraId="779D9728" w14:textId="77777777" w:rsidR="00C57C6A" w:rsidRPr="00A0517F" w:rsidRDefault="00C57C6A" w:rsidP="0099709F">
            <w:pPr>
              <w:pStyle w:val="Tabletext"/>
            </w:pPr>
            <w:r w:rsidRPr="00A0517F">
              <w:t>Calculate the BODE index (BMI, airflow obstruction, dyspnoea and exercise capacity) to assess prognosis where its component information is currently available.</w:t>
            </w:r>
          </w:p>
        </w:tc>
        <w:tc>
          <w:tcPr>
            <w:tcW w:w="1695" w:type="dxa"/>
            <w:tcBorders>
              <w:top w:val="single" w:sz="4" w:space="0" w:color="auto"/>
              <w:left w:val="single" w:sz="4" w:space="0" w:color="auto"/>
              <w:bottom w:val="single" w:sz="4" w:space="0" w:color="auto"/>
              <w:right w:val="single" w:sz="4" w:space="0" w:color="auto"/>
            </w:tcBorders>
          </w:tcPr>
          <w:p w14:paraId="73BCE160" w14:textId="77777777" w:rsidR="00C57C6A" w:rsidRPr="00A0517F" w:rsidRDefault="00F97CBD" w:rsidP="008B1C85">
            <w:pPr>
              <w:pStyle w:val="Tabletext"/>
              <w:jc w:val="center"/>
              <w:rPr>
                <w:rFonts w:cstheme="minorHAnsi"/>
              </w:rPr>
            </w:pPr>
            <w:r>
              <w:rPr>
                <w:rFonts w:cstheme="minorHAnsi"/>
              </w:rPr>
              <w:t>Not reported</w:t>
            </w:r>
          </w:p>
        </w:tc>
      </w:tr>
    </w:tbl>
    <w:p w14:paraId="32EB0A5D" w14:textId="77777777" w:rsidR="008B1C85" w:rsidRDefault="008B1C85" w:rsidP="008B1C85">
      <w:pPr>
        <w:pStyle w:val="09Tablefootnoteslast-nostick"/>
      </w:pPr>
      <w:r>
        <w:t>Abbreviations: BMI, body mass index; COPD, chronic obstructive pulmonary disease; FEV, forced expiratory volume; MRC, Medical Research Council; NGCG, National Clinical Guideline Centre; PaO</w:t>
      </w:r>
      <w:r>
        <w:rPr>
          <w:vertAlign w:val="subscript"/>
        </w:rPr>
        <w:t>2</w:t>
      </w:r>
      <w:r>
        <w:t>; partial pressure of oxygen in arterial blood;</w:t>
      </w:r>
      <w:r>
        <w:rPr>
          <w:vertAlign w:val="subscript"/>
        </w:rPr>
        <w:t xml:space="preserve"> </w:t>
      </w:r>
      <w:r w:rsidRPr="00EC4625">
        <w:t>T</w:t>
      </w:r>
      <w:r w:rsidRPr="00F13F03">
        <w:rPr>
          <w:vertAlign w:val="subscript"/>
        </w:rPr>
        <w:t>L</w:t>
      </w:r>
      <w:r w:rsidRPr="00EC4625">
        <w:t>CO</w:t>
      </w:r>
      <w:r>
        <w:t>, transfer factor for carbon monoxide; U, updated recommendation.</w:t>
      </w:r>
    </w:p>
    <w:p w14:paraId="7DF94DE0" w14:textId="77777777" w:rsidR="008B1C85" w:rsidRPr="00F7553D" w:rsidRDefault="008B1C85" w:rsidP="00D56F93">
      <w:pPr>
        <w:pStyle w:val="AttHeading4"/>
      </w:pPr>
      <w:r w:rsidRPr="00F7553D">
        <w:t>Summary</w:t>
      </w:r>
    </w:p>
    <w:p w14:paraId="602D7E23" w14:textId="77777777" w:rsidR="008B1C85" w:rsidRDefault="0063592C" w:rsidP="00B50F00">
      <w:r>
        <w:t xml:space="preserve">Table 40 </w:t>
      </w:r>
      <w:r w:rsidR="008B1C85">
        <w:t>summarises the guidance relating to the use of spirometry in long-term monitoring of asthma and COPD from the 11 included CPGs that were sum</w:t>
      </w:r>
      <w:r w:rsidR="008B1C85" w:rsidRPr="00AF5AE9">
        <w:t xml:space="preserve">marised in Section </w:t>
      </w:r>
      <w:r w:rsidR="00E9695E">
        <w:t>2.6.2</w:t>
      </w:r>
      <w:r w:rsidR="008B1C85">
        <w:t>.</w:t>
      </w:r>
    </w:p>
    <w:p w14:paraId="4C4CF6FB" w14:textId="77777777" w:rsidR="008B1C85" w:rsidRDefault="008B1C85" w:rsidP="00B50F00">
      <w:r>
        <w:t>Several asthma guidelines (GINA 2015; NCGC 2016) noted that low FEV</w:t>
      </w:r>
      <w:r>
        <w:rPr>
          <w:vertAlign w:val="subscript"/>
        </w:rPr>
        <w:t>1</w:t>
      </w:r>
      <w:r>
        <w:t xml:space="preserve"> is a strong independent predictor of risk of exacerbations, even after adjustment for symptom frequency, and therefore emphasises that lung function testing is a crucial part of the assessment of future risk of asthma exacerbation.</w:t>
      </w:r>
    </w:p>
    <w:p w14:paraId="3FABD519" w14:textId="77777777" w:rsidR="008B1C85" w:rsidRDefault="008B1C85" w:rsidP="00B50F00">
      <w:r>
        <w:t xml:space="preserve">Few of the guidelines were explicit about whether reversibility testing would be conducted at follow-up; however the </w:t>
      </w:r>
      <w:r>
        <w:rPr>
          <w:i/>
        </w:rPr>
        <w:t>Australian Asthma Handbook</w:t>
      </w:r>
      <w:r>
        <w:t xml:space="preserve"> (NAC 2015) advises that spirometry should be performed before and after bronchodilator, noting that MBS reimbursement is only available if pre- and post-bronchodilator reading are taken and a permanent recorded tracing is retained.</w:t>
      </w:r>
    </w:p>
    <w:p w14:paraId="3E1AF8B9" w14:textId="77777777" w:rsidR="008B1C85" w:rsidRPr="00FF265B" w:rsidRDefault="008B1C85" w:rsidP="00B50F00">
      <w:r>
        <w:t>In the COPD guidelines, the general consensus is that FEV</w:t>
      </w:r>
      <w:r>
        <w:rPr>
          <w:vertAlign w:val="subscript"/>
        </w:rPr>
        <w:t>1</w:t>
      </w:r>
      <w:r>
        <w:t xml:space="preserve"> is a poor predictor of disease status and prognosis, but that spirometry has a role alongside other tests in long-term monitoring.</w:t>
      </w:r>
    </w:p>
    <w:p w14:paraId="2BC4A67A" w14:textId="2F0BCBE6" w:rsidR="008B1C85" w:rsidRPr="006B6E93" w:rsidRDefault="0063592C" w:rsidP="00DF3A06">
      <w:pPr>
        <w:pStyle w:val="Appcaption"/>
      </w:pPr>
      <w:r w:rsidRPr="00911855">
        <w:lastRenderedPageBreak/>
        <w:t xml:space="preserve">Table </w:t>
      </w:r>
      <w:fldSimple w:instr=" SEQ Title \* ARABIC ">
        <w:r w:rsidR="00F2203C">
          <w:rPr>
            <w:noProof/>
          </w:rPr>
          <w:t>40</w:t>
        </w:r>
      </w:fldSimple>
      <w:r w:rsidR="008B1C85" w:rsidRPr="00911855">
        <w:rPr>
          <w:noProof/>
        </w:rPr>
        <w:tab/>
      </w:r>
      <w:r w:rsidR="00E615FD">
        <w:rPr>
          <w:noProof/>
        </w:rPr>
        <w:t xml:space="preserve"> </w:t>
      </w:r>
      <w:r w:rsidR="008B1C85" w:rsidRPr="00911855">
        <w:t>Summary of guidance from current CPGs relating to the use of spirometry in long-term monitoring of</w:t>
      </w:r>
      <w:r w:rsidR="008B1C85" w:rsidRPr="006B6E93">
        <w:t xml:space="preserve"> </w:t>
      </w:r>
      <w:r w:rsidR="008B1C85">
        <w:t xml:space="preserve">asthma and </w:t>
      </w:r>
      <w:r w:rsidR="008B1C85" w:rsidRPr="006B6E93">
        <w:t>COPD</w:t>
      </w:r>
    </w:p>
    <w:tbl>
      <w:tblPr>
        <w:tblStyle w:val="TableGrid"/>
        <w:tblW w:w="9242" w:type="dxa"/>
        <w:tblLayout w:type="fixed"/>
        <w:tblCellMar>
          <w:left w:w="28" w:type="dxa"/>
          <w:right w:w="28" w:type="dxa"/>
        </w:tblCellMar>
        <w:tblLook w:val="04A0" w:firstRow="1" w:lastRow="0" w:firstColumn="1" w:lastColumn="0" w:noHBand="0" w:noVBand="1"/>
        <w:tblDescription w:val="Appendix C table 39 is a summary of Clinical Practice Guidelines (CPG)for the use of spirometry in long-term monitoring of asthma and Chronic Obstructive Pulmonary Disease (COPD). Australian guidance for asthma is provided by NAC 2013 and 2015, NCGC 2016 and BRT/SIGN 2014. International guidance for asthma is provided by GINA 2015. Australian guidance for COPD is provided by LFA/TSANZ 2015, Abramson 2014, GOLD 2016 and Qaseem 2011. International guidance for COPD is provided by VA/DoD 2014 and and NCGC 2010."/>
      </w:tblPr>
      <w:tblGrid>
        <w:gridCol w:w="879"/>
        <w:gridCol w:w="1417"/>
        <w:gridCol w:w="1134"/>
        <w:gridCol w:w="993"/>
        <w:gridCol w:w="992"/>
        <w:gridCol w:w="1417"/>
        <w:gridCol w:w="1418"/>
        <w:gridCol w:w="992"/>
      </w:tblGrid>
      <w:tr w:rsidR="00E9419C" w:rsidRPr="006B6E93" w14:paraId="64D823D8" w14:textId="77777777" w:rsidTr="00E9419C">
        <w:trPr>
          <w:tblHeader/>
        </w:trPr>
        <w:tc>
          <w:tcPr>
            <w:tcW w:w="879" w:type="dxa"/>
            <w:tcBorders>
              <w:top w:val="single" w:sz="4" w:space="0" w:color="auto"/>
              <w:left w:val="single" w:sz="4" w:space="0" w:color="auto"/>
              <w:bottom w:val="single" w:sz="4" w:space="0" w:color="auto"/>
              <w:right w:val="single" w:sz="4" w:space="0" w:color="auto"/>
            </w:tcBorders>
          </w:tcPr>
          <w:p w14:paraId="323364EC" w14:textId="77777777" w:rsidR="00E9419C" w:rsidRPr="00C57C6A" w:rsidRDefault="00E9419C" w:rsidP="00134608">
            <w:pPr>
              <w:pStyle w:val="Tableheading"/>
            </w:pPr>
            <w:r>
              <w:t>Condition</w:t>
            </w:r>
          </w:p>
        </w:tc>
        <w:tc>
          <w:tcPr>
            <w:tcW w:w="1417" w:type="dxa"/>
            <w:tcBorders>
              <w:top w:val="single" w:sz="4" w:space="0" w:color="auto"/>
              <w:left w:val="single" w:sz="4" w:space="0" w:color="auto"/>
              <w:bottom w:val="single" w:sz="4" w:space="0" w:color="auto"/>
              <w:right w:val="single" w:sz="4" w:space="0" w:color="auto"/>
            </w:tcBorders>
          </w:tcPr>
          <w:p w14:paraId="78B379F6" w14:textId="77777777" w:rsidR="00E9419C" w:rsidRPr="00C57C6A" w:rsidRDefault="00E9419C" w:rsidP="00134608">
            <w:pPr>
              <w:pStyle w:val="Tableheading"/>
            </w:pPr>
            <w:r w:rsidRPr="00C57C6A">
              <w:t>Guideline</w:t>
            </w:r>
          </w:p>
        </w:tc>
        <w:tc>
          <w:tcPr>
            <w:tcW w:w="1134" w:type="dxa"/>
            <w:tcBorders>
              <w:top w:val="single" w:sz="4" w:space="0" w:color="auto"/>
              <w:left w:val="single" w:sz="4" w:space="0" w:color="auto"/>
              <w:bottom w:val="single" w:sz="4" w:space="0" w:color="auto"/>
              <w:right w:val="single" w:sz="4" w:space="0" w:color="auto"/>
            </w:tcBorders>
          </w:tcPr>
          <w:p w14:paraId="185AD678" w14:textId="77777777" w:rsidR="00E9419C" w:rsidRPr="00C57C6A" w:rsidRDefault="00E9419C" w:rsidP="0099709F">
            <w:pPr>
              <w:pStyle w:val="Tableheading"/>
            </w:pPr>
            <w:r w:rsidRPr="00C57C6A">
              <w:t>Population</w:t>
            </w:r>
          </w:p>
        </w:tc>
        <w:tc>
          <w:tcPr>
            <w:tcW w:w="993" w:type="dxa"/>
            <w:tcBorders>
              <w:top w:val="single" w:sz="4" w:space="0" w:color="auto"/>
              <w:left w:val="single" w:sz="4" w:space="0" w:color="auto"/>
              <w:bottom w:val="single" w:sz="4" w:space="0" w:color="auto"/>
              <w:right w:val="single" w:sz="4" w:space="0" w:color="auto"/>
            </w:tcBorders>
          </w:tcPr>
          <w:p w14:paraId="6FE2760F" w14:textId="77777777" w:rsidR="00E9419C" w:rsidRPr="00C57C6A" w:rsidRDefault="00E9419C" w:rsidP="00E9419C">
            <w:pPr>
              <w:pStyle w:val="Tableheading"/>
            </w:pPr>
            <w:r w:rsidRPr="00C57C6A">
              <w:t xml:space="preserve">Pre- </w:t>
            </w:r>
            <w:r w:rsidRPr="00A403FC">
              <w:t>BD</w:t>
            </w:r>
            <w:r>
              <w:t xml:space="preserve"> </w:t>
            </w:r>
            <w:r w:rsidRPr="00C57C6A">
              <w:t>spirometry</w:t>
            </w:r>
          </w:p>
        </w:tc>
        <w:tc>
          <w:tcPr>
            <w:tcW w:w="992" w:type="dxa"/>
            <w:tcBorders>
              <w:top w:val="single" w:sz="4" w:space="0" w:color="auto"/>
              <w:left w:val="single" w:sz="4" w:space="0" w:color="auto"/>
              <w:bottom w:val="single" w:sz="4" w:space="0" w:color="auto"/>
              <w:right w:val="single" w:sz="4" w:space="0" w:color="auto"/>
            </w:tcBorders>
          </w:tcPr>
          <w:p w14:paraId="5DD80DB1" w14:textId="77777777" w:rsidR="00E9419C" w:rsidRPr="00C57C6A" w:rsidRDefault="00E9419C" w:rsidP="00134608">
            <w:pPr>
              <w:pStyle w:val="Tableheading"/>
            </w:pPr>
            <w:r>
              <w:t>P</w:t>
            </w:r>
            <w:r w:rsidRPr="00A403FC">
              <w:t>ost-BD</w:t>
            </w:r>
            <w:r>
              <w:t xml:space="preserve"> </w:t>
            </w:r>
            <w:r w:rsidRPr="00C57C6A">
              <w:t>spirometry</w:t>
            </w:r>
            <w:r w:rsidRPr="00C57C6A" w:rsidDel="00E9419C">
              <w:t xml:space="preserve"> </w:t>
            </w:r>
          </w:p>
        </w:tc>
        <w:tc>
          <w:tcPr>
            <w:tcW w:w="1417" w:type="dxa"/>
            <w:tcBorders>
              <w:top w:val="single" w:sz="4" w:space="0" w:color="auto"/>
              <w:left w:val="single" w:sz="4" w:space="0" w:color="auto"/>
              <w:bottom w:val="single" w:sz="4" w:space="0" w:color="auto"/>
              <w:right w:val="single" w:sz="4" w:space="0" w:color="auto"/>
            </w:tcBorders>
          </w:tcPr>
          <w:p w14:paraId="44921D09" w14:textId="77777777" w:rsidR="00E9419C" w:rsidRPr="00C57C6A" w:rsidRDefault="00E9419C" w:rsidP="0099709F">
            <w:pPr>
              <w:pStyle w:val="Tableheading"/>
            </w:pPr>
            <w:r w:rsidRPr="00C57C6A">
              <w:t xml:space="preserve">Pre- </w:t>
            </w:r>
            <w:r w:rsidRPr="00C57C6A">
              <w:rPr>
                <w:u w:val="single"/>
              </w:rPr>
              <w:t>and</w:t>
            </w:r>
            <w:r w:rsidRPr="00A403FC">
              <w:t xml:space="preserve"> post-BD spirometry</w:t>
            </w:r>
            <w:r>
              <w:t xml:space="preserve"> </w:t>
            </w:r>
            <w:r w:rsidRPr="00C57C6A">
              <w:t>(reversibility)</w:t>
            </w:r>
          </w:p>
        </w:tc>
        <w:tc>
          <w:tcPr>
            <w:tcW w:w="1418" w:type="dxa"/>
            <w:tcBorders>
              <w:top w:val="single" w:sz="4" w:space="0" w:color="auto"/>
              <w:left w:val="single" w:sz="4" w:space="0" w:color="auto"/>
              <w:bottom w:val="single" w:sz="4" w:space="0" w:color="auto"/>
              <w:right w:val="single" w:sz="4" w:space="0" w:color="auto"/>
            </w:tcBorders>
          </w:tcPr>
          <w:p w14:paraId="3470C507" w14:textId="77777777" w:rsidR="00E9419C" w:rsidRPr="00C57C6A" w:rsidRDefault="00E9419C" w:rsidP="0099709F">
            <w:pPr>
              <w:pStyle w:val="Tableheading"/>
            </w:pPr>
            <w:r w:rsidRPr="00C57C6A">
              <w:t>Spirometry recommended, but timing not specified</w:t>
            </w:r>
          </w:p>
        </w:tc>
        <w:tc>
          <w:tcPr>
            <w:tcW w:w="992" w:type="dxa"/>
            <w:tcBorders>
              <w:top w:val="single" w:sz="4" w:space="0" w:color="auto"/>
              <w:left w:val="single" w:sz="4" w:space="0" w:color="auto"/>
              <w:bottom w:val="single" w:sz="4" w:space="0" w:color="auto"/>
              <w:right w:val="single" w:sz="4" w:space="0" w:color="auto"/>
            </w:tcBorders>
          </w:tcPr>
          <w:p w14:paraId="65436074" w14:textId="77777777" w:rsidR="00E9419C" w:rsidRPr="00C57C6A" w:rsidRDefault="00E9419C" w:rsidP="0099709F">
            <w:pPr>
              <w:pStyle w:val="Tableheading"/>
            </w:pPr>
            <w:r w:rsidRPr="00C57C6A">
              <w:t>Source of guidance</w:t>
            </w:r>
          </w:p>
        </w:tc>
      </w:tr>
      <w:tr w:rsidR="00E9419C" w:rsidRPr="006B6E93" w14:paraId="0470E428" w14:textId="77777777" w:rsidTr="00E9419C">
        <w:trPr>
          <w:trHeight w:val="258"/>
        </w:trPr>
        <w:tc>
          <w:tcPr>
            <w:tcW w:w="879" w:type="dxa"/>
            <w:vMerge w:val="restart"/>
            <w:tcBorders>
              <w:top w:val="single" w:sz="4" w:space="0" w:color="auto"/>
              <w:left w:val="single" w:sz="4" w:space="0" w:color="auto"/>
              <w:right w:val="single" w:sz="4" w:space="0" w:color="auto"/>
            </w:tcBorders>
          </w:tcPr>
          <w:p w14:paraId="52E41046" w14:textId="77777777" w:rsidR="00E9419C" w:rsidRDefault="00E9419C" w:rsidP="008B1C85">
            <w:pPr>
              <w:pStyle w:val="Tabletext"/>
            </w:pPr>
            <w:r>
              <w:t>Asthma</w:t>
            </w:r>
          </w:p>
        </w:tc>
        <w:tc>
          <w:tcPr>
            <w:tcW w:w="1417" w:type="dxa"/>
            <w:vMerge w:val="restart"/>
            <w:tcBorders>
              <w:top w:val="single" w:sz="4" w:space="0" w:color="auto"/>
              <w:left w:val="single" w:sz="4" w:space="0" w:color="auto"/>
              <w:right w:val="single" w:sz="4" w:space="0" w:color="auto"/>
            </w:tcBorders>
            <w:shd w:val="clear" w:color="auto" w:fill="auto"/>
          </w:tcPr>
          <w:p w14:paraId="12514279" w14:textId="77777777" w:rsidR="00E9419C" w:rsidRPr="006B6E93" w:rsidRDefault="00E9419C" w:rsidP="008B1C85">
            <w:pPr>
              <w:pStyle w:val="Tabletext"/>
            </w:pPr>
            <w:r>
              <w:t>NAC (2015)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6FC4CB" w14:textId="77777777" w:rsidR="00E9419C" w:rsidRPr="005774BD" w:rsidRDefault="00E9419C" w:rsidP="0099709F">
            <w:pPr>
              <w:pStyle w:val="Tabletext"/>
            </w:pPr>
            <w:r>
              <w:t>Adults</w:t>
            </w:r>
          </w:p>
        </w:tc>
        <w:tc>
          <w:tcPr>
            <w:tcW w:w="993" w:type="dxa"/>
            <w:tcBorders>
              <w:top w:val="single" w:sz="4" w:space="0" w:color="auto"/>
              <w:left w:val="single" w:sz="4" w:space="0" w:color="auto"/>
              <w:right w:val="single" w:sz="4" w:space="0" w:color="auto"/>
            </w:tcBorders>
            <w:shd w:val="clear" w:color="auto" w:fill="auto"/>
          </w:tcPr>
          <w:p w14:paraId="24DD795D" w14:textId="77777777" w:rsidR="00E9419C" w:rsidRPr="005774BD" w:rsidRDefault="00E615FD" w:rsidP="0099709F">
            <w:pPr>
              <w:pStyle w:val="Tabletext"/>
              <w:jc w:val="center"/>
            </w:pPr>
            <w:r>
              <w:t>NA</w:t>
            </w:r>
          </w:p>
        </w:tc>
        <w:tc>
          <w:tcPr>
            <w:tcW w:w="992" w:type="dxa"/>
            <w:tcBorders>
              <w:top w:val="single" w:sz="4" w:space="0" w:color="auto"/>
              <w:left w:val="single" w:sz="4" w:space="0" w:color="auto"/>
              <w:right w:val="single" w:sz="4" w:space="0" w:color="auto"/>
            </w:tcBorders>
            <w:shd w:val="clear" w:color="auto" w:fill="auto"/>
          </w:tcPr>
          <w:p w14:paraId="5F85A18D" w14:textId="77777777" w:rsidR="00E9419C" w:rsidRPr="005774BD" w:rsidRDefault="00E615FD" w:rsidP="0099709F">
            <w:pPr>
              <w:pStyle w:val="Tabletext"/>
              <w:jc w:val="center"/>
            </w:pPr>
            <w:r>
              <w:t>NA</w:t>
            </w:r>
          </w:p>
        </w:tc>
        <w:tc>
          <w:tcPr>
            <w:tcW w:w="1417" w:type="dxa"/>
            <w:tcBorders>
              <w:top w:val="single" w:sz="4" w:space="0" w:color="auto"/>
              <w:left w:val="single" w:sz="4" w:space="0" w:color="auto"/>
              <w:right w:val="single" w:sz="4" w:space="0" w:color="auto"/>
            </w:tcBorders>
            <w:shd w:val="clear" w:color="auto" w:fill="auto"/>
          </w:tcPr>
          <w:p w14:paraId="249383FA" w14:textId="77777777" w:rsidR="00E9419C" w:rsidRPr="005774BD" w:rsidRDefault="00E9419C" w:rsidP="0099709F">
            <w:pPr>
              <w:pStyle w:val="Tabletext"/>
              <w:jc w:val="center"/>
            </w:pPr>
            <w:r>
              <w:t>Yes</w:t>
            </w:r>
          </w:p>
        </w:tc>
        <w:tc>
          <w:tcPr>
            <w:tcW w:w="1418" w:type="dxa"/>
            <w:tcBorders>
              <w:top w:val="single" w:sz="4" w:space="0" w:color="auto"/>
              <w:left w:val="single" w:sz="4" w:space="0" w:color="auto"/>
              <w:right w:val="single" w:sz="4" w:space="0" w:color="auto"/>
            </w:tcBorders>
            <w:shd w:val="clear" w:color="auto" w:fill="auto"/>
          </w:tcPr>
          <w:p w14:paraId="4A3ADAEC" w14:textId="77777777" w:rsidR="00E9419C" w:rsidRPr="005774BD" w:rsidRDefault="00E615FD" w:rsidP="0099709F">
            <w:pPr>
              <w:pStyle w:val="Tabletext"/>
              <w:jc w:val="center"/>
            </w:pPr>
            <w:r>
              <w:t>NA</w:t>
            </w:r>
          </w:p>
        </w:tc>
        <w:tc>
          <w:tcPr>
            <w:tcW w:w="992" w:type="dxa"/>
            <w:tcBorders>
              <w:top w:val="single" w:sz="4" w:space="0" w:color="auto"/>
              <w:left w:val="single" w:sz="4" w:space="0" w:color="auto"/>
              <w:right w:val="single" w:sz="4" w:space="0" w:color="auto"/>
            </w:tcBorders>
            <w:shd w:val="clear" w:color="auto" w:fill="auto"/>
          </w:tcPr>
          <w:p w14:paraId="4EED660D" w14:textId="77777777" w:rsidR="00E9419C" w:rsidRPr="005774BD" w:rsidRDefault="00E9419C" w:rsidP="0099709F">
            <w:pPr>
              <w:pStyle w:val="Tabletext"/>
              <w:jc w:val="center"/>
            </w:pPr>
            <w:r>
              <w:t>Consensus</w:t>
            </w:r>
          </w:p>
        </w:tc>
      </w:tr>
      <w:tr w:rsidR="00E9419C" w:rsidRPr="006B6E93" w14:paraId="242989FF" w14:textId="77777777" w:rsidTr="00E9419C">
        <w:trPr>
          <w:trHeight w:val="258"/>
        </w:trPr>
        <w:tc>
          <w:tcPr>
            <w:tcW w:w="879" w:type="dxa"/>
            <w:vMerge/>
            <w:tcBorders>
              <w:left w:val="single" w:sz="4" w:space="0" w:color="auto"/>
              <w:right w:val="single" w:sz="4" w:space="0" w:color="auto"/>
            </w:tcBorders>
          </w:tcPr>
          <w:p w14:paraId="79ED876D" w14:textId="77777777" w:rsidR="00E9419C" w:rsidRDefault="00E9419C" w:rsidP="008B1C85">
            <w:pPr>
              <w:pStyle w:val="Tabletext"/>
            </w:pPr>
          </w:p>
        </w:tc>
        <w:tc>
          <w:tcPr>
            <w:tcW w:w="1417" w:type="dxa"/>
            <w:vMerge/>
            <w:tcBorders>
              <w:left w:val="single" w:sz="4" w:space="0" w:color="auto"/>
              <w:bottom w:val="single" w:sz="4" w:space="0" w:color="auto"/>
              <w:right w:val="single" w:sz="4" w:space="0" w:color="auto"/>
            </w:tcBorders>
            <w:shd w:val="clear" w:color="auto" w:fill="auto"/>
          </w:tcPr>
          <w:p w14:paraId="287169F1" w14:textId="77777777" w:rsidR="00E9419C" w:rsidRDefault="00E9419C" w:rsidP="008B1C85">
            <w:pPr>
              <w:pStyle w:val="Tabletext"/>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FA1A72" w14:textId="77777777" w:rsidR="00E9419C" w:rsidRDefault="00E9419C" w:rsidP="008B1C85">
            <w:pPr>
              <w:pStyle w:val="Tabletext"/>
            </w:pPr>
            <w:r>
              <w:t>Children ≥6 yrs</w:t>
            </w:r>
          </w:p>
        </w:tc>
        <w:tc>
          <w:tcPr>
            <w:tcW w:w="993" w:type="dxa"/>
            <w:tcBorders>
              <w:left w:val="single" w:sz="4" w:space="0" w:color="auto"/>
              <w:bottom w:val="single" w:sz="4" w:space="0" w:color="auto"/>
              <w:right w:val="single" w:sz="4" w:space="0" w:color="auto"/>
            </w:tcBorders>
            <w:shd w:val="clear" w:color="auto" w:fill="auto"/>
          </w:tcPr>
          <w:p w14:paraId="12D53D5E" w14:textId="77777777" w:rsidR="00E9419C" w:rsidRDefault="00E615FD" w:rsidP="008B1C85">
            <w:pPr>
              <w:pStyle w:val="Tabletext"/>
              <w:jc w:val="center"/>
            </w:pPr>
            <w:r>
              <w:t>NA</w:t>
            </w:r>
          </w:p>
        </w:tc>
        <w:tc>
          <w:tcPr>
            <w:tcW w:w="992" w:type="dxa"/>
            <w:tcBorders>
              <w:left w:val="single" w:sz="4" w:space="0" w:color="auto"/>
              <w:bottom w:val="single" w:sz="4" w:space="0" w:color="auto"/>
              <w:right w:val="single" w:sz="4" w:space="0" w:color="auto"/>
            </w:tcBorders>
            <w:shd w:val="clear" w:color="auto" w:fill="auto"/>
          </w:tcPr>
          <w:p w14:paraId="199FEA3C" w14:textId="77777777" w:rsidR="00E9419C" w:rsidRDefault="00E615FD" w:rsidP="008B1C85">
            <w:pPr>
              <w:pStyle w:val="Tabletext"/>
              <w:jc w:val="center"/>
            </w:pPr>
            <w:r>
              <w:t>NA</w:t>
            </w:r>
          </w:p>
        </w:tc>
        <w:tc>
          <w:tcPr>
            <w:tcW w:w="1417" w:type="dxa"/>
            <w:tcBorders>
              <w:left w:val="single" w:sz="4" w:space="0" w:color="auto"/>
              <w:bottom w:val="single" w:sz="4" w:space="0" w:color="auto"/>
              <w:right w:val="single" w:sz="4" w:space="0" w:color="auto"/>
            </w:tcBorders>
            <w:shd w:val="clear" w:color="auto" w:fill="auto"/>
          </w:tcPr>
          <w:p w14:paraId="26E9C448" w14:textId="77777777" w:rsidR="00E9419C" w:rsidRDefault="00E615FD" w:rsidP="008B1C85">
            <w:pPr>
              <w:pStyle w:val="Tabletext"/>
              <w:jc w:val="center"/>
            </w:pPr>
            <w:r>
              <w:t>NA</w:t>
            </w:r>
          </w:p>
        </w:tc>
        <w:tc>
          <w:tcPr>
            <w:tcW w:w="1418" w:type="dxa"/>
            <w:tcBorders>
              <w:left w:val="single" w:sz="4" w:space="0" w:color="auto"/>
              <w:bottom w:val="single" w:sz="4" w:space="0" w:color="auto"/>
              <w:right w:val="single" w:sz="4" w:space="0" w:color="auto"/>
            </w:tcBorders>
            <w:shd w:val="clear" w:color="auto" w:fill="auto"/>
          </w:tcPr>
          <w:p w14:paraId="711BD8BE" w14:textId="77777777" w:rsidR="00E9419C" w:rsidRDefault="00E9419C" w:rsidP="008B1C85">
            <w:pPr>
              <w:pStyle w:val="Tabletext"/>
              <w:jc w:val="center"/>
            </w:pPr>
            <w:r>
              <w:t>Yes</w:t>
            </w:r>
          </w:p>
        </w:tc>
        <w:tc>
          <w:tcPr>
            <w:tcW w:w="992" w:type="dxa"/>
            <w:tcBorders>
              <w:left w:val="single" w:sz="4" w:space="0" w:color="auto"/>
              <w:bottom w:val="single" w:sz="4" w:space="0" w:color="auto"/>
              <w:right w:val="single" w:sz="4" w:space="0" w:color="auto"/>
            </w:tcBorders>
            <w:shd w:val="clear" w:color="auto" w:fill="auto"/>
          </w:tcPr>
          <w:p w14:paraId="5456E204" w14:textId="77777777" w:rsidR="00E9419C" w:rsidRDefault="00E9419C" w:rsidP="008B1C85">
            <w:pPr>
              <w:pStyle w:val="Tabletext"/>
              <w:jc w:val="center"/>
            </w:pPr>
            <w:r>
              <w:t>Consensus</w:t>
            </w:r>
          </w:p>
        </w:tc>
      </w:tr>
      <w:tr w:rsidR="00E9419C" w:rsidRPr="006B6E93" w14:paraId="0447FF25" w14:textId="77777777" w:rsidTr="00E9419C">
        <w:tc>
          <w:tcPr>
            <w:tcW w:w="879" w:type="dxa"/>
            <w:vMerge/>
            <w:tcBorders>
              <w:left w:val="single" w:sz="4" w:space="0" w:color="auto"/>
              <w:right w:val="single" w:sz="4" w:space="0" w:color="auto"/>
            </w:tcBorders>
          </w:tcPr>
          <w:p w14:paraId="689FCD9B" w14:textId="77777777" w:rsidR="00E9419C" w:rsidRDefault="00E9419C" w:rsidP="008B1C85">
            <w:pPr>
              <w:pStyle w:val="Tabletext"/>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9FA892" w14:textId="77777777" w:rsidR="00E9419C" w:rsidRPr="006B6E93" w:rsidRDefault="00E9419C" w:rsidP="008B1C85">
            <w:pPr>
              <w:pStyle w:val="Tabletext"/>
            </w:pPr>
            <w:r>
              <w:t>NAC (2013)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12CD24" w14:textId="77777777" w:rsidR="00E9419C" w:rsidRPr="001648C4" w:rsidRDefault="00E9419C" w:rsidP="008B1C85">
            <w:pPr>
              <w:pStyle w:val="Tabletext"/>
            </w:pPr>
            <w:r>
              <w:t>Adults &gt;65 yrs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54D1B2" w14:textId="77777777" w:rsidR="00E9419C" w:rsidRPr="006B6E93" w:rsidRDefault="00E615FD" w:rsidP="008B1C85">
            <w:pPr>
              <w:pStyle w:val="Tabletext"/>
              <w:jc w:val="center"/>
            </w:pPr>
            <w:r>
              <w:t>NA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FD578D" w14:textId="77777777" w:rsidR="00E9419C" w:rsidRPr="006B6E93" w:rsidRDefault="00E615FD" w:rsidP="008B1C85">
            <w:pPr>
              <w:pStyle w:val="Tabletext"/>
              <w:jc w:val="center"/>
            </w:pPr>
            <w: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14BDC5" w14:textId="77777777" w:rsidR="00E9419C" w:rsidRPr="006B6E93" w:rsidRDefault="00E615FD" w:rsidP="008B1C85">
            <w:pPr>
              <w:pStyle w:val="Tabletext"/>
              <w:jc w:val="center"/>
            </w:pPr>
            <w:r>
              <w:t>NA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C13104" w14:textId="77777777" w:rsidR="00E9419C" w:rsidRPr="006B6E93" w:rsidRDefault="00E9419C" w:rsidP="008B1C85">
            <w:pPr>
              <w:pStyle w:val="Tabletext"/>
              <w:jc w:val="center"/>
            </w:pPr>
            <w:r>
              <w:t>Yes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82496F" w14:textId="77777777" w:rsidR="00E9419C" w:rsidRDefault="00E9419C" w:rsidP="008B1C85">
            <w:pPr>
              <w:pStyle w:val="Tabletext"/>
              <w:jc w:val="center"/>
            </w:pPr>
            <w:r>
              <w:t>Unclear</w:t>
            </w:r>
          </w:p>
        </w:tc>
      </w:tr>
      <w:tr w:rsidR="00E615FD" w:rsidRPr="006B6E93" w14:paraId="0417455A" w14:textId="77777777" w:rsidTr="00E9419C">
        <w:trPr>
          <w:trHeight w:val="285"/>
        </w:trPr>
        <w:tc>
          <w:tcPr>
            <w:tcW w:w="879" w:type="dxa"/>
            <w:vMerge/>
            <w:tcBorders>
              <w:left w:val="single" w:sz="4" w:space="0" w:color="auto"/>
              <w:right w:val="single" w:sz="4" w:space="0" w:color="auto"/>
            </w:tcBorders>
          </w:tcPr>
          <w:p w14:paraId="5913DD6C" w14:textId="77777777" w:rsidR="00E615FD" w:rsidRDefault="00E615FD" w:rsidP="008B1C85">
            <w:pPr>
              <w:pStyle w:val="Tabletext"/>
            </w:pPr>
          </w:p>
        </w:tc>
        <w:tc>
          <w:tcPr>
            <w:tcW w:w="1417" w:type="dxa"/>
            <w:vMerge w:val="restart"/>
            <w:tcBorders>
              <w:top w:val="single" w:sz="4" w:space="0" w:color="auto"/>
              <w:left w:val="single" w:sz="4" w:space="0" w:color="auto"/>
              <w:right w:val="single" w:sz="4" w:space="0" w:color="auto"/>
            </w:tcBorders>
          </w:tcPr>
          <w:p w14:paraId="6A224DCD" w14:textId="77777777" w:rsidR="00E615FD" w:rsidRPr="006B6E93" w:rsidRDefault="00E615FD" w:rsidP="008B1C85">
            <w:pPr>
              <w:pStyle w:val="Tabletext"/>
            </w:pPr>
            <w:r>
              <w:t>NCGC (2016)</w:t>
            </w:r>
          </w:p>
        </w:tc>
        <w:tc>
          <w:tcPr>
            <w:tcW w:w="1134" w:type="dxa"/>
            <w:tcBorders>
              <w:top w:val="single" w:sz="4" w:space="0" w:color="auto"/>
              <w:left w:val="single" w:sz="4" w:space="0" w:color="auto"/>
              <w:right w:val="single" w:sz="4" w:space="0" w:color="auto"/>
            </w:tcBorders>
          </w:tcPr>
          <w:p w14:paraId="410F9BF2" w14:textId="77777777" w:rsidR="00E615FD" w:rsidRPr="000A27B6" w:rsidRDefault="00E615FD" w:rsidP="0099709F">
            <w:pPr>
              <w:pStyle w:val="Tabletext"/>
            </w:pPr>
            <w:r>
              <w:t>Adults</w:t>
            </w:r>
          </w:p>
        </w:tc>
        <w:tc>
          <w:tcPr>
            <w:tcW w:w="993" w:type="dxa"/>
            <w:tcBorders>
              <w:top w:val="single" w:sz="4" w:space="0" w:color="auto"/>
              <w:left w:val="single" w:sz="4" w:space="0" w:color="auto"/>
              <w:bottom w:val="single" w:sz="4" w:space="0" w:color="auto"/>
              <w:right w:val="single" w:sz="4" w:space="0" w:color="auto"/>
            </w:tcBorders>
          </w:tcPr>
          <w:p w14:paraId="0EDE7107" w14:textId="77777777" w:rsidR="00E615FD" w:rsidRPr="000A27B6" w:rsidRDefault="00E615FD" w:rsidP="0099709F">
            <w:pPr>
              <w:pStyle w:val="Tabletext"/>
              <w:jc w:val="center"/>
            </w:pPr>
            <w:r w:rsidRPr="00DA1BA4">
              <w:t>NA</w:t>
            </w:r>
          </w:p>
        </w:tc>
        <w:tc>
          <w:tcPr>
            <w:tcW w:w="992" w:type="dxa"/>
            <w:tcBorders>
              <w:top w:val="single" w:sz="4" w:space="0" w:color="auto"/>
              <w:left w:val="single" w:sz="4" w:space="0" w:color="auto"/>
              <w:right w:val="single" w:sz="4" w:space="0" w:color="auto"/>
            </w:tcBorders>
          </w:tcPr>
          <w:p w14:paraId="06A2D26B" w14:textId="77777777" w:rsidR="00E615FD" w:rsidRPr="000A27B6" w:rsidRDefault="00E615FD" w:rsidP="0099709F">
            <w:pPr>
              <w:pStyle w:val="Tabletext"/>
              <w:jc w:val="center"/>
            </w:pPr>
            <w:r w:rsidRPr="00DA1BA4">
              <w:t>NA</w:t>
            </w:r>
          </w:p>
        </w:tc>
        <w:tc>
          <w:tcPr>
            <w:tcW w:w="1417" w:type="dxa"/>
            <w:tcBorders>
              <w:top w:val="single" w:sz="4" w:space="0" w:color="auto"/>
              <w:left w:val="single" w:sz="4" w:space="0" w:color="auto"/>
              <w:right w:val="single" w:sz="4" w:space="0" w:color="auto"/>
            </w:tcBorders>
          </w:tcPr>
          <w:p w14:paraId="2F6F012E" w14:textId="77777777" w:rsidR="00E615FD" w:rsidRPr="000A27B6" w:rsidRDefault="00E615FD" w:rsidP="0099709F">
            <w:pPr>
              <w:pStyle w:val="Tabletext"/>
              <w:jc w:val="center"/>
            </w:pPr>
            <w:r w:rsidRPr="00DA1BA4">
              <w:t>NA</w:t>
            </w:r>
          </w:p>
        </w:tc>
        <w:tc>
          <w:tcPr>
            <w:tcW w:w="1418" w:type="dxa"/>
            <w:tcBorders>
              <w:top w:val="single" w:sz="4" w:space="0" w:color="auto"/>
              <w:left w:val="single" w:sz="4" w:space="0" w:color="auto"/>
              <w:right w:val="single" w:sz="4" w:space="0" w:color="auto"/>
            </w:tcBorders>
          </w:tcPr>
          <w:p w14:paraId="508CFEED" w14:textId="77777777" w:rsidR="00E615FD" w:rsidRPr="00905B0E" w:rsidRDefault="00E615FD" w:rsidP="0099709F">
            <w:pPr>
              <w:pStyle w:val="Tabletext"/>
              <w:jc w:val="center"/>
              <w:rPr>
                <w:vertAlign w:val="superscript"/>
              </w:rPr>
            </w:pPr>
            <w:r>
              <w:t>Yes</w:t>
            </w:r>
            <w:r>
              <w:rPr>
                <w:vertAlign w:val="superscript"/>
              </w:rPr>
              <w:t>a</w:t>
            </w:r>
          </w:p>
        </w:tc>
        <w:tc>
          <w:tcPr>
            <w:tcW w:w="992" w:type="dxa"/>
            <w:tcBorders>
              <w:top w:val="single" w:sz="4" w:space="0" w:color="auto"/>
              <w:left w:val="single" w:sz="4" w:space="0" w:color="auto"/>
              <w:right w:val="single" w:sz="4" w:space="0" w:color="auto"/>
            </w:tcBorders>
          </w:tcPr>
          <w:p w14:paraId="4C1CB34C" w14:textId="77777777" w:rsidR="00E615FD" w:rsidRPr="00905B0E" w:rsidRDefault="00E615FD" w:rsidP="0099709F">
            <w:pPr>
              <w:pStyle w:val="Tabletext"/>
              <w:jc w:val="center"/>
            </w:pPr>
            <w:r>
              <w:t>Consensus</w:t>
            </w:r>
          </w:p>
        </w:tc>
      </w:tr>
      <w:tr w:rsidR="00E615FD" w:rsidRPr="006B6E93" w14:paraId="0E9D9E89" w14:textId="77777777" w:rsidTr="00E9419C">
        <w:trPr>
          <w:trHeight w:val="285"/>
        </w:trPr>
        <w:tc>
          <w:tcPr>
            <w:tcW w:w="879" w:type="dxa"/>
            <w:vMerge/>
            <w:tcBorders>
              <w:left w:val="single" w:sz="4" w:space="0" w:color="auto"/>
              <w:right w:val="single" w:sz="4" w:space="0" w:color="auto"/>
            </w:tcBorders>
          </w:tcPr>
          <w:p w14:paraId="0BCC3FE7" w14:textId="77777777" w:rsidR="00E615FD" w:rsidRDefault="00E615FD" w:rsidP="008B1C85">
            <w:pPr>
              <w:pStyle w:val="Tabletext"/>
            </w:pPr>
          </w:p>
        </w:tc>
        <w:tc>
          <w:tcPr>
            <w:tcW w:w="1417" w:type="dxa"/>
            <w:vMerge/>
            <w:tcBorders>
              <w:left w:val="single" w:sz="4" w:space="0" w:color="auto"/>
              <w:bottom w:val="single" w:sz="4" w:space="0" w:color="auto"/>
              <w:right w:val="single" w:sz="4" w:space="0" w:color="auto"/>
            </w:tcBorders>
          </w:tcPr>
          <w:p w14:paraId="35BC28DB" w14:textId="77777777" w:rsidR="00E615FD" w:rsidRDefault="00E615FD" w:rsidP="008B1C85">
            <w:pPr>
              <w:pStyle w:val="Tabletext"/>
            </w:pPr>
          </w:p>
        </w:tc>
        <w:tc>
          <w:tcPr>
            <w:tcW w:w="1134" w:type="dxa"/>
            <w:tcBorders>
              <w:left w:val="single" w:sz="4" w:space="0" w:color="auto"/>
              <w:bottom w:val="single" w:sz="4" w:space="0" w:color="auto"/>
              <w:right w:val="single" w:sz="4" w:space="0" w:color="auto"/>
            </w:tcBorders>
          </w:tcPr>
          <w:p w14:paraId="0E782C48" w14:textId="77777777" w:rsidR="00E615FD" w:rsidRDefault="00E615FD" w:rsidP="008B1C85">
            <w:pPr>
              <w:pStyle w:val="Tabletext"/>
            </w:pPr>
            <w:r>
              <w:t>Children ≥5 yrs</w:t>
            </w:r>
          </w:p>
        </w:tc>
        <w:tc>
          <w:tcPr>
            <w:tcW w:w="993" w:type="dxa"/>
            <w:tcBorders>
              <w:top w:val="single" w:sz="4" w:space="0" w:color="auto"/>
              <w:left w:val="single" w:sz="4" w:space="0" w:color="auto"/>
              <w:bottom w:val="single" w:sz="4" w:space="0" w:color="auto"/>
              <w:right w:val="single" w:sz="4" w:space="0" w:color="auto"/>
            </w:tcBorders>
          </w:tcPr>
          <w:p w14:paraId="33478E03" w14:textId="77777777" w:rsidR="00E615FD" w:rsidRDefault="00E615FD" w:rsidP="008B1C85">
            <w:pPr>
              <w:pStyle w:val="Tabletext"/>
              <w:jc w:val="center"/>
            </w:pPr>
            <w:r w:rsidRPr="00DA1BA4">
              <w:t>NA</w:t>
            </w:r>
          </w:p>
        </w:tc>
        <w:tc>
          <w:tcPr>
            <w:tcW w:w="992" w:type="dxa"/>
            <w:tcBorders>
              <w:left w:val="single" w:sz="4" w:space="0" w:color="auto"/>
              <w:bottom w:val="single" w:sz="4" w:space="0" w:color="auto"/>
              <w:right w:val="single" w:sz="4" w:space="0" w:color="auto"/>
            </w:tcBorders>
          </w:tcPr>
          <w:p w14:paraId="5B1FEA58" w14:textId="77777777" w:rsidR="00E615FD" w:rsidRDefault="00E615FD" w:rsidP="008B1C85">
            <w:pPr>
              <w:pStyle w:val="Tabletext"/>
              <w:jc w:val="center"/>
            </w:pPr>
            <w:r w:rsidRPr="00DA1BA4">
              <w:t>NA</w:t>
            </w:r>
          </w:p>
        </w:tc>
        <w:tc>
          <w:tcPr>
            <w:tcW w:w="1417" w:type="dxa"/>
            <w:tcBorders>
              <w:left w:val="single" w:sz="4" w:space="0" w:color="auto"/>
              <w:bottom w:val="single" w:sz="4" w:space="0" w:color="auto"/>
              <w:right w:val="single" w:sz="4" w:space="0" w:color="auto"/>
            </w:tcBorders>
          </w:tcPr>
          <w:p w14:paraId="726E2954" w14:textId="77777777" w:rsidR="00E615FD" w:rsidRDefault="00E615FD" w:rsidP="008B1C85">
            <w:pPr>
              <w:pStyle w:val="Tabletext"/>
              <w:jc w:val="center"/>
            </w:pPr>
            <w:r w:rsidRPr="00DA1BA4">
              <w:t>NA</w:t>
            </w:r>
          </w:p>
        </w:tc>
        <w:tc>
          <w:tcPr>
            <w:tcW w:w="1418" w:type="dxa"/>
            <w:tcBorders>
              <w:left w:val="single" w:sz="4" w:space="0" w:color="auto"/>
              <w:bottom w:val="single" w:sz="4" w:space="0" w:color="auto"/>
              <w:right w:val="single" w:sz="4" w:space="0" w:color="auto"/>
            </w:tcBorders>
          </w:tcPr>
          <w:p w14:paraId="073462EC" w14:textId="77777777" w:rsidR="00E615FD" w:rsidRPr="0099709F" w:rsidRDefault="00E615FD" w:rsidP="008B1C85">
            <w:pPr>
              <w:pStyle w:val="Tabletext"/>
              <w:jc w:val="center"/>
              <w:rPr>
                <w:vertAlign w:val="superscript"/>
              </w:rPr>
            </w:pPr>
            <w:r>
              <w:t>Yes</w:t>
            </w:r>
            <w:r>
              <w:rPr>
                <w:vertAlign w:val="superscript"/>
              </w:rPr>
              <w:t>a</w:t>
            </w:r>
          </w:p>
        </w:tc>
        <w:tc>
          <w:tcPr>
            <w:tcW w:w="992" w:type="dxa"/>
            <w:tcBorders>
              <w:left w:val="single" w:sz="4" w:space="0" w:color="auto"/>
              <w:bottom w:val="single" w:sz="4" w:space="0" w:color="auto"/>
              <w:right w:val="single" w:sz="4" w:space="0" w:color="auto"/>
            </w:tcBorders>
          </w:tcPr>
          <w:p w14:paraId="7FC39E52" w14:textId="77777777" w:rsidR="00E615FD" w:rsidRDefault="00E615FD" w:rsidP="008B1C85">
            <w:pPr>
              <w:pStyle w:val="Tabletext"/>
              <w:jc w:val="center"/>
            </w:pPr>
            <w:r>
              <w:t>Consensus</w:t>
            </w:r>
          </w:p>
        </w:tc>
      </w:tr>
      <w:tr w:rsidR="00E615FD" w:rsidRPr="006B6E93" w14:paraId="783F984D" w14:textId="77777777" w:rsidTr="0048467B">
        <w:trPr>
          <w:trHeight w:val="258"/>
        </w:trPr>
        <w:tc>
          <w:tcPr>
            <w:tcW w:w="879" w:type="dxa"/>
            <w:vMerge/>
            <w:tcBorders>
              <w:left w:val="single" w:sz="4" w:space="0" w:color="auto"/>
              <w:right w:val="single" w:sz="4" w:space="0" w:color="auto"/>
            </w:tcBorders>
            <w:shd w:val="clear" w:color="auto" w:fill="DBE5F1" w:themeFill="accent1" w:themeFillTint="33"/>
          </w:tcPr>
          <w:p w14:paraId="4FD7B33A" w14:textId="77777777" w:rsidR="00E615FD" w:rsidRDefault="00E615FD" w:rsidP="008B1C85">
            <w:pPr>
              <w:pStyle w:val="Tabletext"/>
            </w:pPr>
          </w:p>
        </w:tc>
        <w:tc>
          <w:tcPr>
            <w:tcW w:w="1417" w:type="dxa"/>
            <w:vMerge w:val="restart"/>
            <w:tcBorders>
              <w:top w:val="single" w:sz="4" w:space="0" w:color="auto"/>
              <w:left w:val="single" w:sz="4" w:space="0" w:color="auto"/>
              <w:right w:val="single" w:sz="4" w:space="0" w:color="auto"/>
            </w:tcBorders>
            <w:shd w:val="clear" w:color="auto" w:fill="FFFFFF" w:themeFill="background1"/>
          </w:tcPr>
          <w:p w14:paraId="2103A086" w14:textId="77777777" w:rsidR="00E615FD" w:rsidRPr="006B6E93" w:rsidRDefault="00E615FD" w:rsidP="008B1C85">
            <w:pPr>
              <w:pStyle w:val="Tabletext"/>
            </w:pPr>
            <w:r>
              <w:t>GINA (2015)</w:t>
            </w:r>
          </w:p>
        </w:tc>
        <w:tc>
          <w:tcPr>
            <w:tcW w:w="1134" w:type="dxa"/>
            <w:tcBorders>
              <w:top w:val="single" w:sz="4" w:space="0" w:color="auto"/>
              <w:left w:val="single" w:sz="4" w:space="0" w:color="auto"/>
              <w:right w:val="single" w:sz="4" w:space="0" w:color="auto"/>
            </w:tcBorders>
            <w:shd w:val="clear" w:color="auto" w:fill="FFFFFF" w:themeFill="background1"/>
          </w:tcPr>
          <w:p w14:paraId="2331F01A" w14:textId="77777777" w:rsidR="00E615FD" w:rsidRPr="00C40B14" w:rsidRDefault="00E615FD" w:rsidP="0099709F">
            <w:pPr>
              <w:pStyle w:val="Tabletext"/>
            </w:pPr>
            <w:r>
              <w:t>Adults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DD4CA7E" w14:textId="77777777" w:rsidR="00E615FD" w:rsidRPr="00C40B14" w:rsidRDefault="00E615FD" w:rsidP="008B1C85">
            <w:pPr>
              <w:pStyle w:val="Tabletext"/>
              <w:jc w:val="center"/>
            </w:pPr>
            <w:r w:rsidRPr="00DA1BA4">
              <w:t>NA</w:t>
            </w:r>
          </w:p>
        </w:tc>
        <w:tc>
          <w:tcPr>
            <w:tcW w:w="992" w:type="dxa"/>
            <w:tcBorders>
              <w:top w:val="single" w:sz="4" w:space="0" w:color="auto"/>
              <w:left w:val="single" w:sz="4" w:space="0" w:color="auto"/>
              <w:right w:val="single" w:sz="4" w:space="0" w:color="auto"/>
            </w:tcBorders>
            <w:shd w:val="clear" w:color="auto" w:fill="FFFFFF" w:themeFill="background1"/>
          </w:tcPr>
          <w:p w14:paraId="776934B0" w14:textId="77777777" w:rsidR="00E615FD" w:rsidRPr="00C40B14" w:rsidRDefault="00E615FD" w:rsidP="008B1C85">
            <w:pPr>
              <w:pStyle w:val="Tabletext"/>
              <w:jc w:val="center"/>
            </w:pPr>
            <w:r w:rsidRPr="00DA1BA4">
              <w:t>NA</w:t>
            </w:r>
          </w:p>
        </w:tc>
        <w:tc>
          <w:tcPr>
            <w:tcW w:w="1417" w:type="dxa"/>
            <w:tcBorders>
              <w:top w:val="single" w:sz="4" w:space="0" w:color="auto"/>
              <w:left w:val="single" w:sz="4" w:space="0" w:color="auto"/>
              <w:right w:val="single" w:sz="4" w:space="0" w:color="auto"/>
            </w:tcBorders>
            <w:shd w:val="clear" w:color="auto" w:fill="FFFFFF" w:themeFill="background1"/>
          </w:tcPr>
          <w:p w14:paraId="1A1739E1" w14:textId="77777777" w:rsidR="00E615FD" w:rsidRPr="00C40B14" w:rsidRDefault="00E615FD" w:rsidP="008B1C85">
            <w:pPr>
              <w:pStyle w:val="Tabletext"/>
              <w:jc w:val="center"/>
            </w:pPr>
            <w:r w:rsidRPr="00DA1BA4">
              <w:t>NA</w:t>
            </w:r>
          </w:p>
        </w:tc>
        <w:tc>
          <w:tcPr>
            <w:tcW w:w="1418" w:type="dxa"/>
            <w:tcBorders>
              <w:top w:val="single" w:sz="4" w:space="0" w:color="auto"/>
              <w:left w:val="single" w:sz="4" w:space="0" w:color="auto"/>
              <w:right w:val="single" w:sz="4" w:space="0" w:color="auto"/>
            </w:tcBorders>
            <w:shd w:val="clear" w:color="auto" w:fill="FFFFFF" w:themeFill="background1"/>
          </w:tcPr>
          <w:p w14:paraId="08141C9F" w14:textId="77777777" w:rsidR="00E615FD" w:rsidRPr="00C40B14" w:rsidRDefault="00E615FD" w:rsidP="008B1C85">
            <w:pPr>
              <w:pStyle w:val="Tabletext"/>
              <w:jc w:val="center"/>
            </w:pPr>
            <w:r>
              <w:t>Yes</w:t>
            </w:r>
          </w:p>
        </w:tc>
        <w:tc>
          <w:tcPr>
            <w:tcW w:w="992" w:type="dxa"/>
            <w:tcBorders>
              <w:top w:val="single" w:sz="4" w:space="0" w:color="auto"/>
              <w:left w:val="single" w:sz="4" w:space="0" w:color="auto"/>
              <w:right w:val="single" w:sz="4" w:space="0" w:color="auto"/>
            </w:tcBorders>
            <w:shd w:val="clear" w:color="auto" w:fill="FFFFFF" w:themeFill="background1"/>
          </w:tcPr>
          <w:p w14:paraId="069AB5DD" w14:textId="77777777" w:rsidR="00E615FD" w:rsidRPr="00C40B14" w:rsidRDefault="00E615FD" w:rsidP="008B1C85">
            <w:pPr>
              <w:pStyle w:val="Tabletext"/>
              <w:jc w:val="center"/>
            </w:pPr>
            <w:r>
              <w:t>Evidence</w:t>
            </w:r>
          </w:p>
        </w:tc>
      </w:tr>
      <w:tr w:rsidR="00E615FD" w:rsidRPr="006B6E93" w14:paraId="4D76E112" w14:textId="77777777" w:rsidTr="0048467B">
        <w:trPr>
          <w:trHeight w:val="258"/>
        </w:trPr>
        <w:tc>
          <w:tcPr>
            <w:tcW w:w="879" w:type="dxa"/>
            <w:vMerge/>
            <w:tcBorders>
              <w:left w:val="single" w:sz="4" w:space="0" w:color="auto"/>
              <w:right w:val="single" w:sz="4" w:space="0" w:color="auto"/>
            </w:tcBorders>
            <w:shd w:val="clear" w:color="auto" w:fill="DBE5F1" w:themeFill="accent1" w:themeFillTint="33"/>
          </w:tcPr>
          <w:p w14:paraId="3AC2CAF1" w14:textId="77777777" w:rsidR="00E615FD" w:rsidRDefault="00E615FD" w:rsidP="008B1C85">
            <w:pPr>
              <w:pStyle w:val="Tabletext"/>
            </w:pPr>
          </w:p>
        </w:tc>
        <w:tc>
          <w:tcPr>
            <w:tcW w:w="1417" w:type="dxa"/>
            <w:vMerge/>
            <w:tcBorders>
              <w:left w:val="single" w:sz="4" w:space="0" w:color="auto"/>
              <w:bottom w:val="single" w:sz="4" w:space="0" w:color="auto"/>
              <w:right w:val="single" w:sz="4" w:space="0" w:color="auto"/>
            </w:tcBorders>
            <w:shd w:val="clear" w:color="auto" w:fill="FFFFFF" w:themeFill="background1"/>
          </w:tcPr>
          <w:p w14:paraId="5DF05AE3" w14:textId="77777777" w:rsidR="00E615FD" w:rsidRDefault="00E615FD" w:rsidP="008B1C85">
            <w:pPr>
              <w:pStyle w:val="Tabletext"/>
            </w:pPr>
          </w:p>
        </w:tc>
        <w:tc>
          <w:tcPr>
            <w:tcW w:w="1134" w:type="dxa"/>
            <w:tcBorders>
              <w:left w:val="single" w:sz="4" w:space="0" w:color="auto"/>
              <w:bottom w:val="single" w:sz="4" w:space="0" w:color="auto"/>
              <w:right w:val="single" w:sz="4" w:space="0" w:color="auto"/>
            </w:tcBorders>
            <w:shd w:val="clear" w:color="auto" w:fill="FFFFFF" w:themeFill="background1"/>
          </w:tcPr>
          <w:p w14:paraId="68DBA069" w14:textId="77777777" w:rsidR="00E615FD" w:rsidRDefault="00E615FD" w:rsidP="008B1C85">
            <w:pPr>
              <w:pStyle w:val="Tabletext"/>
            </w:pPr>
            <w:r>
              <w:t>Children ≥6 yrs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CA5D634" w14:textId="77777777" w:rsidR="00E615FD" w:rsidRDefault="00E615FD" w:rsidP="008B1C85">
            <w:pPr>
              <w:pStyle w:val="Tabletext"/>
              <w:jc w:val="center"/>
            </w:pPr>
            <w:r w:rsidRPr="00DA1BA4">
              <w:t>NA</w:t>
            </w:r>
          </w:p>
        </w:tc>
        <w:tc>
          <w:tcPr>
            <w:tcW w:w="992" w:type="dxa"/>
            <w:tcBorders>
              <w:left w:val="single" w:sz="4" w:space="0" w:color="auto"/>
              <w:bottom w:val="single" w:sz="4" w:space="0" w:color="auto"/>
              <w:right w:val="single" w:sz="4" w:space="0" w:color="auto"/>
            </w:tcBorders>
            <w:shd w:val="clear" w:color="auto" w:fill="FFFFFF" w:themeFill="background1"/>
          </w:tcPr>
          <w:p w14:paraId="11175E9D" w14:textId="77777777" w:rsidR="00E615FD" w:rsidRDefault="00E615FD" w:rsidP="008B1C85">
            <w:pPr>
              <w:pStyle w:val="Tabletext"/>
              <w:jc w:val="center"/>
            </w:pPr>
            <w:r w:rsidRPr="00DA1BA4">
              <w:t>NA</w:t>
            </w:r>
          </w:p>
        </w:tc>
        <w:tc>
          <w:tcPr>
            <w:tcW w:w="1417" w:type="dxa"/>
            <w:tcBorders>
              <w:left w:val="single" w:sz="4" w:space="0" w:color="auto"/>
              <w:bottom w:val="single" w:sz="4" w:space="0" w:color="auto"/>
              <w:right w:val="single" w:sz="4" w:space="0" w:color="auto"/>
            </w:tcBorders>
            <w:shd w:val="clear" w:color="auto" w:fill="FFFFFF" w:themeFill="background1"/>
          </w:tcPr>
          <w:p w14:paraId="489558B8" w14:textId="77777777" w:rsidR="00E615FD" w:rsidRDefault="00E615FD" w:rsidP="008B1C85">
            <w:pPr>
              <w:pStyle w:val="Tabletext"/>
              <w:jc w:val="center"/>
            </w:pPr>
            <w:r w:rsidRPr="00DA1BA4">
              <w:t>NA</w:t>
            </w:r>
          </w:p>
        </w:tc>
        <w:tc>
          <w:tcPr>
            <w:tcW w:w="1418" w:type="dxa"/>
            <w:tcBorders>
              <w:left w:val="single" w:sz="4" w:space="0" w:color="auto"/>
              <w:bottom w:val="single" w:sz="4" w:space="0" w:color="auto"/>
              <w:right w:val="single" w:sz="4" w:space="0" w:color="auto"/>
            </w:tcBorders>
            <w:shd w:val="clear" w:color="auto" w:fill="FFFFFF" w:themeFill="background1"/>
          </w:tcPr>
          <w:p w14:paraId="247960B7" w14:textId="77777777" w:rsidR="00E615FD" w:rsidRDefault="00E615FD" w:rsidP="008B1C85">
            <w:pPr>
              <w:pStyle w:val="Tabletext"/>
              <w:jc w:val="center"/>
            </w:pPr>
            <w:r>
              <w:t>Yes</w:t>
            </w:r>
          </w:p>
        </w:tc>
        <w:tc>
          <w:tcPr>
            <w:tcW w:w="992" w:type="dxa"/>
            <w:tcBorders>
              <w:left w:val="single" w:sz="4" w:space="0" w:color="auto"/>
              <w:bottom w:val="single" w:sz="4" w:space="0" w:color="auto"/>
              <w:right w:val="single" w:sz="4" w:space="0" w:color="auto"/>
            </w:tcBorders>
            <w:shd w:val="clear" w:color="auto" w:fill="FFFFFF" w:themeFill="background1"/>
          </w:tcPr>
          <w:p w14:paraId="5F800619" w14:textId="77777777" w:rsidR="00E615FD" w:rsidRDefault="00E615FD" w:rsidP="008B1C85">
            <w:pPr>
              <w:pStyle w:val="Tabletext"/>
              <w:jc w:val="center"/>
            </w:pPr>
            <w:r>
              <w:t>Evidence</w:t>
            </w:r>
          </w:p>
        </w:tc>
      </w:tr>
      <w:tr w:rsidR="00E615FD" w:rsidRPr="006B6E93" w14:paraId="330637C6" w14:textId="77777777" w:rsidTr="00E9419C">
        <w:tc>
          <w:tcPr>
            <w:tcW w:w="879" w:type="dxa"/>
            <w:vMerge/>
            <w:tcBorders>
              <w:left w:val="single" w:sz="4" w:space="0" w:color="auto"/>
              <w:bottom w:val="single" w:sz="4" w:space="0" w:color="auto"/>
              <w:right w:val="single" w:sz="4" w:space="0" w:color="auto"/>
            </w:tcBorders>
          </w:tcPr>
          <w:p w14:paraId="64A55045" w14:textId="77777777" w:rsidR="00E615FD" w:rsidRDefault="00E615FD" w:rsidP="008B1C85">
            <w:pPr>
              <w:pStyle w:val="Tabletext"/>
            </w:pPr>
          </w:p>
        </w:tc>
        <w:tc>
          <w:tcPr>
            <w:tcW w:w="1417" w:type="dxa"/>
            <w:tcBorders>
              <w:top w:val="single" w:sz="4" w:space="0" w:color="auto"/>
              <w:left w:val="single" w:sz="4" w:space="0" w:color="auto"/>
              <w:bottom w:val="single" w:sz="4" w:space="0" w:color="auto"/>
              <w:right w:val="single" w:sz="4" w:space="0" w:color="auto"/>
            </w:tcBorders>
          </w:tcPr>
          <w:p w14:paraId="35055403" w14:textId="77777777" w:rsidR="00E615FD" w:rsidRPr="006B6E93" w:rsidRDefault="00E615FD" w:rsidP="008B1C85">
            <w:pPr>
              <w:pStyle w:val="Tabletext"/>
            </w:pPr>
            <w:r>
              <w:t>BTS/SIGN (2014)</w:t>
            </w:r>
          </w:p>
        </w:tc>
        <w:tc>
          <w:tcPr>
            <w:tcW w:w="1134" w:type="dxa"/>
            <w:tcBorders>
              <w:top w:val="single" w:sz="4" w:space="0" w:color="auto"/>
              <w:left w:val="single" w:sz="4" w:space="0" w:color="auto"/>
              <w:bottom w:val="single" w:sz="4" w:space="0" w:color="auto"/>
              <w:right w:val="single" w:sz="4" w:space="0" w:color="auto"/>
            </w:tcBorders>
          </w:tcPr>
          <w:p w14:paraId="2874D4FA" w14:textId="77777777" w:rsidR="00E615FD" w:rsidRPr="000A27B6" w:rsidRDefault="00E615FD" w:rsidP="008B1C85">
            <w:pPr>
              <w:pStyle w:val="Tabletext"/>
            </w:pPr>
            <w:r w:rsidRPr="000A27B6">
              <w:t>Adults</w:t>
            </w:r>
          </w:p>
        </w:tc>
        <w:tc>
          <w:tcPr>
            <w:tcW w:w="993" w:type="dxa"/>
            <w:tcBorders>
              <w:top w:val="single" w:sz="4" w:space="0" w:color="auto"/>
              <w:left w:val="single" w:sz="4" w:space="0" w:color="auto"/>
              <w:bottom w:val="single" w:sz="4" w:space="0" w:color="auto"/>
              <w:right w:val="single" w:sz="4" w:space="0" w:color="auto"/>
            </w:tcBorders>
          </w:tcPr>
          <w:p w14:paraId="251B4527" w14:textId="77777777" w:rsidR="00E615FD" w:rsidRPr="00F57E97" w:rsidRDefault="00E615FD" w:rsidP="008B1C85">
            <w:pPr>
              <w:pStyle w:val="Tabletext"/>
              <w:jc w:val="center"/>
            </w:pPr>
            <w:r w:rsidRPr="00DA1BA4">
              <w:t>NA</w:t>
            </w:r>
          </w:p>
        </w:tc>
        <w:tc>
          <w:tcPr>
            <w:tcW w:w="992" w:type="dxa"/>
            <w:tcBorders>
              <w:top w:val="single" w:sz="4" w:space="0" w:color="auto"/>
              <w:left w:val="single" w:sz="4" w:space="0" w:color="auto"/>
              <w:bottom w:val="single" w:sz="4" w:space="0" w:color="auto"/>
              <w:right w:val="single" w:sz="4" w:space="0" w:color="auto"/>
            </w:tcBorders>
          </w:tcPr>
          <w:p w14:paraId="2238A3D7" w14:textId="77777777" w:rsidR="00E615FD" w:rsidRPr="00F57E97" w:rsidRDefault="00E615FD" w:rsidP="008B1C85">
            <w:pPr>
              <w:pStyle w:val="Tabletext"/>
              <w:jc w:val="center"/>
            </w:pPr>
            <w:r w:rsidRPr="00DA1BA4">
              <w:t>NA</w:t>
            </w:r>
          </w:p>
        </w:tc>
        <w:tc>
          <w:tcPr>
            <w:tcW w:w="1417" w:type="dxa"/>
            <w:tcBorders>
              <w:top w:val="single" w:sz="4" w:space="0" w:color="auto"/>
              <w:left w:val="single" w:sz="4" w:space="0" w:color="auto"/>
              <w:bottom w:val="single" w:sz="4" w:space="0" w:color="auto"/>
              <w:right w:val="single" w:sz="4" w:space="0" w:color="auto"/>
            </w:tcBorders>
          </w:tcPr>
          <w:p w14:paraId="71F22B32" w14:textId="77777777" w:rsidR="00E615FD" w:rsidRPr="000A27B6" w:rsidRDefault="00E615FD" w:rsidP="008B1C85">
            <w:pPr>
              <w:pStyle w:val="Tabletext"/>
              <w:jc w:val="center"/>
            </w:pPr>
            <w:r w:rsidRPr="00DA1BA4">
              <w:t>NA</w:t>
            </w:r>
          </w:p>
        </w:tc>
        <w:tc>
          <w:tcPr>
            <w:tcW w:w="1418" w:type="dxa"/>
            <w:tcBorders>
              <w:top w:val="single" w:sz="4" w:space="0" w:color="auto"/>
              <w:left w:val="single" w:sz="4" w:space="0" w:color="auto"/>
              <w:bottom w:val="single" w:sz="4" w:space="0" w:color="auto"/>
              <w:right w:val="single" w:sz="4" w:space="0" w:color="auto"/>
            </w:tcBorders>
          </w:tcPr>
          <w:p w14:paraId="727010ED" w14:textId="77777777" w:rsidR="00E615FD" w:rsidRPr="005F6144" w:rsidRDefault="00E615FD" w:rsidP="008B1C85">
            <w:pPr>
              <w:pStyle w:val="Tabletext"/>
              <w:jc w:val="center"/>
              <w:rPr>
                <w:vertAlign w:val="superscript"/>
              </w:rPr>
            </w:pPr>
            <w:r>
              <w:t>Yes</w:t>
            </w:r>
            <w:r>
              <w:rPr>
                <w:vertAlign w:val="superscript"/>
              </w:rPr>
              <w:t>b</w:t>
            </w:r>
          </w:p>
        </w:tc>
        <w:tc>
          <w:tcPr>
            <w:tcW w:w="992" w:type="dxa"/>
            <w:tcBorders>
              <w:top w:val="single" w:sz="4" w:space="0" w:color="auto"/>
              <w:left w:val="single" w:sz="4" w:space="0" w:color="auto"/>
              <w:bottom w:val="single" w:sz="4" w:space="0" w:color="auto"/>
              <w:right w:val="single" w:sz="4" w:space="0" w:color="auto"/>
            </w:tcBorders>
          </w:tcPr>
          <w:p w14:paraId="5046465D" w14:textId="77777777" w:rsidR="00E615FD" w:rsidRPr="00F57E97" w:rsidRDefault="00E615FD" w:rsidP="008B1C85">
            <w:pPr>
              <w:pStyle w:val="Tabletext"/>
              <w:jc w:val="center"/>
            </w:pPr>
            <w:r>
              <w:t>Consensus</w:t>
            </w:r>
          </w:p>
        </w:tc>
      </w:tr>
      <w:tr w:rsidR="00E615FD" w:rsidRPr="006B6E93" w14:paraId="5D929C90" w14:textId="77777777" w:rsidTr="00E9419C">
        <w:tc>
          <w:tcPr>
            <w:tcW w:w="879" w:type="dxa"/>
            <w:vMerge w:val="restart"/>
            <w:tcBorders>
              <w:top w:val="single" w:sz="4" w:space="0" w:color="auto"/>
              <w:left w:val="single" w:sz="4" w:space="0" w:color="auto"/>
              <w:right w:val="single" w:sz="4" w:space="0" w:color="auto"/>
            </w:tcBorders>
            <w:shd w:val="clear" w:color="auto" w:fill="FFFFFF" w:themeFill="background1"/>
          </w:tcPr>
          <w:p w14:paraId="1096868B" w14:textId="77777777" w:rsidR="00E615FD" w:rsidRPr="006B6E93" w:rsidRDefault="00E615FD" w:rsidP="008B1C85">
            <w:pPr>
              <w:pStyle w:val="Tabletext"/>
            </w:pPr>
            <w:r>
              <w:t>COPD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9B42D47" w14:textId="77777777" w:rsidR="00E615FD" w:rsidRPr="006B6E93" w:rsidRDefault="00E615FD" w:rsidP="008B1C85">
            <w:pPr>
              <w:pStyle w:val="Tabletext"/>
            </w:pPr>
            <w:r w:rsidRPr="006B6E93">
              <w:t>LFA/TSANZ (2015)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039F222" w14:textId="77777777" w:rsidR="00E615FD" w:rsidRPr="00C40B14" w:rsidRDefault="00E615FD" w:rsidP="008B1C85">
            <w:pPr>
              <w:pStyle w:val="Tabletext"/>
            </w:pPr>
            <w:r>
              <w:t>Adults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A0AC737" w14:textId="77777777" w:rsidR="00E615FD" w:rsidRPr="006B6E93" w:rsidRDefault="00E615FD" w:rsidP="008B1C85">
            <w:pPr>
              <w:pStyle w:val="Tabletext"/>
              <w:jc w:val="center"/>
            </w:pPr>
            <w:r w:rsidRPr="00DA1BA4">
              <w:t>NA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A8939AF" w14:textId="77777777" w:rsidR="00E615FD" w:rsidRPr="006B6E93" w:rsidRDefault="00E615FD" w:rsidP="008B1C85">
            <w:pPr>
              <w:pStyle w:val="Tabletext"/>
              <w:jc w:val="center"/>
            </w:pPr>
            <w:r w:rsidRPr="00DA1BA4">
              <w:t>NA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76CAF5" w14:textId="77777777" w:rsidR="00E615FD" w:rsidRPr="006B6E93" w:rsidRDefault="00E615FD" w:rsidP="008B1C85">
            <w:pPr>
              <w:pStyle w:val="Tabletext"/>
              <w:jc w:val="center"/>
            </w:pPr>
            <w:r w:rsidRPr="00DA1BA4">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15517C9" w14:textId="77777777" w:rsidR="00E615FD" w:rsidRPr="006B6E93" w:rsidRDefault="00E615FD" w:rsidP="008B1C85">
            <w:pPr>
              <w:pStyle w:val="Tabletext"/>
              <w:jc w:val="center"/>
            </w:pPr>
            <w:r>
              <w:t>Yes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87E3A62" w14:textId="77777777" w:rsidR="00E615FD" w:rsidRPr="006B6E93" w:rsidRDefault="00E615FD" w:rsidP="008B1C85">
            <w:pPr>
              <w:pStyle w:val="Tabletext"/>
              <w:jc w:val="center"/>
            </w:pPr>
            <w:r>
              <w:t>Consensus</w:t>
            </w:r>
            <w:r w:rsidRPr="00BC6C5E">
              <w:rPr>
                <w:vertAlign w:val="superscript"/>
              </w:rPr>
              <w:t>c</w:t>
            </w:r>
          </w:p>
        </w:tc>
      </w:tr>
      <w:tr w:rsidR="00E615FD" w:rsidRPr="006B6E93" w14:paraId="0000A50E" w14:textId="77777777" w:rsidTr="00E9419C">
        <w:tc>
          <w:tcPr>
            <w:tcW w:w="879" w:type="dxa"/>
            <w:vMerge/>
            <w:tcBorders>
              <w:left w:val="single" w:sz="4" w:space="0" w:color="auto"/>
              <w:right w:val="single" w:sz="4" w:space="0" w:color="auto"/>
            </w:tcBorders>
            <w:shd w:val="clear" w:color="auto" w:fill="FFFFFF" w:themeFill="background1"/>
          </w:tcPr>
          <w:p w14:paraId="5C8D393F" w14:textId="77777777" w:rsidR="00E615FD" w:rsidRPr="006B6E93" w:rsidRDefault="00E615FD" w:rsidP="008B1C85">
            <w:pPr>
              <w:pStyle w:val="Tabletext"/>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DA062C" w14:textId="77777777" w:rsidR="00E615FD" w:rsidRPr="006B6E93" w:rsidRDefault="00E615FD" w:rsidP="008B1C85">
            <w:pPr>
              <w:pStyle w:val="Tabletext"/>
            </w:pPr>
            <w:r w:rsidRPr="006B6E93">
              <w:t>Abramson (2014)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72B891F" w14:textId="77777777" w:rsidR="00E615FD" w:rsidRPr="00C40B14" w:rsidRDefault="00E615FD" w:rsidP="008B1C85">
            <w:pPr>
              <w:pStyle w:val="Tabletext"/>
            </w:pPr>
            <w:r>
              <w:t>Adults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C383A83" w14:textId="77777777" w:rsidR="00E615FD" w:rsidRPr="006B6E93" w:rsidRDefault="00E615FD" w:rsidP="008B1C85">
            <w:pPr>
              <w:pStyle w:val="Tabletext"/>
              <w:jc w:val="center"/>
            </w:pPr>
            <w:r w:rsidRPr="00DA1BA4">
              <w:t>NA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4297BAC" w14:textId="77777777" w:rsidR="00E615FD" w:rsidRPr="006B6E93" w:rsidRDefault="00E615FD" w:rsidP="008B1C85">
            <w:pPr>
              <w:pStyle w:val="Tabletext"/>
              <w:jc w:val="center"/>
            </w:pPr>
            <w:r w:rsidRPr="00DA1BA4">
              <w:t>NA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7A4549" w14:textId="77777777" w:rsidR="00E615FD" w:rsidRPr="00F570A8" w:rsidRDefault="00E615FD" w:rsidP="008B1C85">
            <w:pPr>
              <w:pStyle w:val="Tabletext"/>
              <w:jc w:val="center"/>
            </w:pPr>
            <w:r w:rsidRPr="00DA1BA4">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BC0C628" w14:textId="77777777" w:rsidR="00E615FD" w:rsidRPr="006B6E93" w:rsidRDefault="00E615FD" w:rsidP="008B1C85">
            <w:pPr>
              <w:pStyle w:val="Tabletext"/>
              <w:jc w:val="center"/>
            </w:pPr>
            <w:r>
              <w:t>Yes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D7EAEB1" w14:textId="77777777" w:rsidR="00E615FD" w:rsidRPr="006B6E93" w:rsidRDefault="00E615FD" w:rsidP="008B1C85">
            <w:pPr>
              <w:pStyle w:val="Tabletext"/>
              <w:jc w:val="center"/>
            </w:pPr>
            <w:r>
              <w:t>Not applicable</w:t>
            </w:r>
          </w:p>
        </w:tc>
      </w:tr>
      <w:tr w:rsidR="00E615FD" w:rsidRPr="002A50CB" w14:paraId="219BBED3" w14:textId="77777777" w:rsidTr="00E9419C">
        <w:tc>
          <w:tcPr>
            <w:tcW w:w="879" w:type="dxa"/>
            <w:vMerge/>
            <w:tcBorders>
              <w:left w:val="single" w:sz="4" w:space="0" w:color="auto"/>
              <w:right w:val="single" w:sz="4" w:space="0" w:color="auto"/>
            </w:tcBorders>
          </w:tcPr>
          <w:p w14:paraId="33C8BB2A" w14:textId="77777777" w:rsidR="00E615FD" w:rsidRDefault="00E615FD" w:rsidP="008B1C85">
            <w:pPr>
              <w:pStyle w:val="Tabletext"/>
            </w:pPr>
          </w:p>
        </w:tc>
        <w:tc>
          <w:tcPr>
            <w:tcW w:w="1417" w:type="dxa"/>
            <w:tcBorders>
              <w:top w:val="single" w:sz="4" w:space="0" w:color="auto"/>
              <w:left w:val="single" w:sz="4" w:space="0" w:color="auto"/>
              <w:bottom w:val="single" w:sz="4" w:space="0" w:color="auto"/>
              <w:right w:val="single" w:sz="4" w:space="0" w:color="auto"/>
            </w:tcBorders>
          </w:tcPr>
          <w:p w14:paraId="36C11320" w14:textId="77777777" w:rsidR="00E615FD" w:rsidRPr="006B6E93" w:rsidRDefault="00E615FD" w:rsidP="008B1C85">
            <w:pPr>
              <w:pStyle w:val="Tabletext"/>
            </w:pPr>
            <w:r>
              <w:t>GOLD (2016)</w:t>
            </w:r>
          </w:p>
        </w:tc>
        <w:tc>
          <w:tcPr>
            <w:tcW w:w="1134" w:type="dxa"/>
            <w:tcBorders>
              <w:top w:val="single" w:sz="4" w:space="0" w:color="auto"/>
              <w:left w:val="single" w:sz="4" w:space="0" w:color="auto"/>
              <w:bottom w:val="single" w:sz="4" w:space="0" w:color="auto"/>
              <w:right w:val="single" w:sz="4" w:space="0" w:color="auto"/>
            </w:tcBorders>
          </w:tcPr>
          <w:p w14:paraId="28078439" w14:textId="77777777" w:rsidR="00E615FD" w:rsidRPr="00C40B14" w:rsidRDefault="00E615FD" w:rsidP="008B1C85">
            <w:pPr>
              <w:pStyle w:val="Tabletext"/>
            </w:pPr>
            <w:r>
              <w:t>Adults</w:t>
            </w:r>
          </w:p>
        </w:tc>
        <w:tc>
          <w:tcPr>
            <w:tcW w:w="993" w:type="dxa"/>
            <w:tcBorders>
              <w:top w:val="single" w:sz="4" w:space="0" w:color="auto"/>
              <w:left w:val="single" w:sz="4" w:space="0" w:color="auto"/>
              <w:bottom w:val="single" w:sz="4" w:space="0" w:color="auto"/>
              <w:right w:val="single" w:sz="4" w:space="0" w:color="auto"/>
            </w:tcBorders>
          </w:tcPr>
          <w:p w14:paraId="43685121" w14:textId="77777777" w:rsidR="00E615FD" w:rsidRPr="006B6E93" w:rsidRDefault="00E615FD" w:rsidP="008B1C85">
            <w:pPr>
              <w:pStyle w:val="Tabletext"/>
              <w:jc w:val="center"/>
            </w:pPr>
            <w:r w:rsidRPr="00DA1BA4">
              <w:t>NA</w:t>
            </w:r>
          </w:p>
        </w:tc>
        <w:tc>
          <w:tcPr>
            <w:tcW w:w="992" w:type="dxa"/>
            <w:tcBorders>
              <w:top w:val="single" w:sz="4" w:space="0" w:color="auto"/>
              <w:left w:val="single" w:sz="4" w:space="0" w:color="auto"/>
              <w:bottom w:val="single" w:sz="4" w:space="0" w:color="auto"/>
              <w:right w:val="single" w:sz="4" w:space="0" w:color="auto"/>
            </w:tcBorders>
          </w:tcPr>
          <w:p w14:paraId="13FD3156" w14:textId="77777777" w:rsidR="00E615FD" w:rsidRPr="006B6E93" w:rsidRDefault="00E615FD" w:rsidP="008B1C85">
            <w:pPr>
              <w:pStyle w:val="Tabletext"/>
              <w:jc w:val="center"/>
            </w:pPr>
            <w:r w:rsidRPr="00DA1BA4">
              <w:t>NA</w:t>
            </w:r>
          </w:p>
        </w:tc>
        <w:tc>
          <w:tcPr>
            <w:tcW w:w="1417" w:type="dxa"/>
            <w:tcBorders>
              <w:top w:val="single" w:sz="4" w:space="0" w:color="auto"/>
              <w:left w:val="single" w:sz="4" w:space="0" w:color="auto"/>
              <w:bottom w:val="single" w:sz="4" w:space="0" w:color="auto"/>
              <w:right w:val="single" w:sz="4" w:space="0" w:color="auto"/>
            </w:tcBorders>
          </w:tcPr>
          <w:p w14:paraId="735A7B9E" w14:textId="77777777" w:rsidR="00E615FD" w:rsidRPr="006B6E93" w:rsidRDefault="00E615FD" w:rsidP="008B1C85">
            <w:pPr>
              <w:pStyle w:val="Tabletext"/>
              <w:jc w:val="center"/>
            </w:pPr>
            <w:r w:rsidRPr="00DA1BA4">
              <w:t>NA</w:t>
            </w:r>
          </w:p>
        </w:tc>
        <w:tc>
          <w:tcPr>
            <w:tcW w:w="1418" w:type="dxa"/>
            <w:tcBorders>
              <w:top w:val="single" w:sz="4" w:space="0" w:color="auto"/>
              <w:left w:val="single" w:sz="4" w:space="0" w:color="auto"/>
              <w:bottom w:val="single" w:sz="4" w:space="0" w:color="auto"/>
              <w:right w:val="single" w:sz="4" w:space="0" w:color="auto"/>
            </w:tcBorders>
          </w:tcPr>
          <w:p w14:paraId="71455242" w14:textId="77777777" w:rsidR="00E615FD" w:rsidRPr="006B6E93" w:rsidRDefault="00E615FD" w:rsidP="008B1C85">
            <w:pPr>
              <w:pStyle w:val="Tabletext"/>
              <w:jc w:val="center"/>
            </w:pPr>
            <w:r>
              <w:t>Yes</w:t>
            </w:r>
          </w:p>
        </w:tc>
        <w:tc>
          <w:tcPr>
            <w:tcW w:w="992" w:type="dxa"/>
            <w:tcBorders>
              <w:top w:val="single" w:sz="4" w:space="0" w:color="auto"/>
              <w:left w:val="single" w:sz="4" w:space="0" w:color="auto"/>
              <w:bottom w:val="single" w:sz="4" w:space="0" w:color="auto"/>
              <w:right w:val="single" w:sz="4" w:space="0" w:color="auto"/>
            </w:tcBorders>
          </w:tcPr>
          <w:p w14:paraId="0B71A38B" w14:textId="77777777" w:rsidR="00E615FD" w:rsidRPr="006B6E93" w:rsidRDefault="00E615FD" w:rsidP="008B1C85">
            <w:pPr>
              <w:pStyle w:val="Tabletext"/>
              <w:jc w:val="center"/>
            </w:pPr>
            <w:r>
              <w:t>Unclear</w:t>
            </w:r>
          </w:p>
        </w:tc>
      </w:tr>
      <w:tr w:rsidR="00E615FD" w:rsidRPr="006B6E93" w14:paraId="245E939D" w14:textId="77777777" w:rsidTr="00ED65C1">
        <w:tc>
          <w:tcPr>
            <w:tcW w:w="879" w:type="dxa"/>
            <w:vMerge/>
            <w:tcBorders>
              <w:left w:val="single" w:sz="4" w:space="0" w:color="auto"/>
              <w:right w:val="single" w:sz="4" w:space="0" w:color="auto"/>
            </w:tcBorders>
            <w:shd w:val="clear" w:color="auto" w:fill="DBE5F1" w:themeFill="accent1" w:themeFillTint="33"/>
          </w:tcPr>
          <w:p w14:paraId="6EF46863" w14:textId="77777777" w:rsidR="00E615FD" w:rsidRDefault="00E615FD" w:rsidP="008B1C85">
            <w:pPr>
              <w:pStyle w:val="Tabletext"/>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1557F99" w14:textId="77777777" w:rsidR="00E615FD" w:rsidRPr="006B6E93" w:rsidRDefault="00E615FD" w:rsidP="008B1C85">
            <w:pPr>
              <w:pStyle w:val="Tabletext"/>
            </w:pPr>
            <w:r>
              <w:t>VA/DoD</w:t>
            </w:r>
            <w:r w:rsidRPr="006B6E93">
              <w:t xml:space="preserve"> (2014)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80CDE22" w14:textId="77777777" w:rsidR="00E615FD" w:rsidRPr="00C40B14" w:rsidRDefault="00E615FD" w:rsidP="008B1C85">
            <w:pPr>
              <w:pStyle w:val="Tabletext"/>
            </w:pPr>
            <w:r>
              <w:t>Adults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0B2981D" w14:textId="77777777" w:rsidR="00E615FD" w:rsidRPr="006B6E93" w:rsidRDefault="00E615FD" w:rsidP="008B1C85">
            <w:pPr>
              <w:pStyle w:val="Tabletext"/>
              <w:jc w:val="center"/>
            </w:pPr>
            <w:r w:rsidRPr="00DA1BA4">
              <w:t>NA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E82819A" w14:textId="77777777" w:rsidR="00E615FD" w:rsidRPr="006B6E93" w:rsidRDefault="00E615FD" w:rsidP="008B1C85">
            <w:pPr>
              <w:pStyle w:val="Tabletext"/>
              <w:jc w:val="center"/>
            </w:pPr>
            <w:r w:rsidRPr="00DA1BA4">
              <w:t>NA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FB2CE75" w14:textId="77777777" w:rsidR="00E615FD" w:rsidRPr="006B6E93" w:rsidRDefault="00E615FD" w:rsidP="008B1C85">
            <w:pPr>
              <w:pStyle w:val="Tabletext"/>
              <w:jc w:val="center"/>
            </w:pPr>
            <w:r w:rsidRPr="00DA1BA4">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9A72C5A" w14:textId="77777777" w:rsidR="00E615FD" w:rsidRPr="006B6E93" w:rsidRDefault="00E615FD" w:rsidP="008B1C85">
            <w:pPr>
              <w:pStyle w:val="Tabletext"/>
              <w:jc w:val="center"/>
            </w:pPr>
            <w:r>
              <w:t>No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D5D6E56" w14:textId="77777777" w:rsidR="00E615FD" w:rsidRPr="00D23A8A" w:rsidRDefault="00E615FD" w:rsidP="008B1C85">
            <w:pPr>
              <w:pStyle w:val="Tabletext"/>
              <w:jc w:val="center"/>
            </w:pPr>
            <w:r w:rsidRPr="00D23A8A">
              <w:t>Unclear</w:t>
            </w:r>
          </w:p>
        </w:tc>
      </w:tr>
      <w:tr w:rsidR="00E615FD" w:rsidRPr="006B6E93" w14:paraId="0B547DAB" w14:textId="77777777" w:rsidTr="00E9419C">
        <w:tc>
          <w:tcPr>
            <w:tcW w:w="879" w:type="dxa"/>
            <w:vMerge/>
            <w:tcBorders>
              <w:left w:val="single" w:sz="4" w:space="0" w:color="auto"/>
              <w:right w:val="single" w:sz="4" w:space="0" w:color="auto"/>
            </w:tcBorders>
          </w:tcPr>
          <w:p w14:paraId="5B51B49E" w14:textId="77777777" w:rsidR="00E615FD" w:rsidRPr="006B6E93" w:rsidRDefault="00E615FD" w:rsidP="008B1C85">
            <w:pPr>
              <w:pStyle w:val="Tabletext"/>
            </w:pPr>
          </w:p>
        </w:tc>
        <w:tc>
          <w:tcPr>
            <w:tcW w:w="1417" w:type="dxa"/>
            <w:tcBorders>
              <w:top w:val="single" w:sz="4" w:space="0" w:color="auto"/>
              <w:left w:val="single" w:sz="4" w:space="0" w:color="auto"/>
              <w:bottom w:val="single" w:sz="4" w:space="0" w:color="auto"/>
              <w:right w:val="single" w:sz="4" w:space="0" w:color="auto"/>
            </w:tcBorders>
          </w:tcPr>
          <w:p w14:paraId="688AEF48" w14:textId="77777777" w:rsidR="00E615FD" w:rsidRPr="006B6E93" w:rsidRDefault="00E615FD" w:rsidP="008B1C85">
            <w:pPr>
              <w:pStyle w:val="Tabletext"/>
            </w:pPr>
            <w:r w:rsidRPr="006B6E93">
              <w:t>Qaseem (2011)</w:t>
            </w:r>
          </w:p>
        </w:tc>
        <w:tc>
          <w:tcPr>
            <w:tcW w:w="1134" w:type="dxa"/>
            <w:tcBorders>
              <w:top w:val="single" w:sz="4" w:space="0" w:color="auto"/>
              <w:left w:val="single" w:sz="4" w:space="0" w:color="auto"/>
              <w:bottom w:val="single" w:sz="4" w:space="0" w:color="auto"/>
              <w:right w:val="single" w:sz="4" w:space="0" w:color="auto"/>
            </w:tcBorders>
          </w:tcPr>
          <w:p w14:paraId="350A8DD9" w14:textId="77777777" w:rsidR="00E615FD" w:rsidRPr="00C40B14" w:rsidRDefault="00E615FD" w:rsidP="008B1C85">
            <w:pPr>
              <w:pStyle w:val="Tabletext"/>
            </w:pPr>
            <w:r>
              <w:t>Adults</w:t>
            </w:r>
          </w:p>
        </w:tc>
        <w:tc>
          <w:tcPr>
            <w:tcW w:w="993" w:type="dxa"/>
            <w:tcBorders>
              <w:top w:val="single" w:sz="4" w:space="0" w:color="auto"/>
              <w:left w:val="single" w:sz="4" w:space="0" w:color="auto"/>
              <w:bottom w:val="single" w:sz="4" w:space="0" w:color="auto"/>
              <w:right w:val="single" w:sz="4" w:space="0" w:color="auto"/>
            </w:tcBorders>
          </w:tcPr>
          <w:p w14:paraId="70F09EDD" w14:textId="77777777" w:rsidR="00E615FD" w:rsidRPr="006B6E93" w:rsidRDefault="00E615FD" w:rsidP="008B1C85">
            <w:pPr>
              <w:pStyle w:val="Tabletext"/>
              <w:jc w:val="center"/>
            </w:pPr>
            <w:r w:rsidRPr="00DA1BA4">
              <w:t>NA</w:t>
            </w:r>
          </w:p>
        </w:tc>
        <w:tc>
          <w:tcPr>
            <w:tcW w:w="992" w:type="dxa"/>
            <w:tcBorders>
              <w:top w:val="single" w:sz="4" w:space="0" w:color="auto"/>
              <w:left w:val="single" w:sz="4" w:space="0" w:color="auto"/>
              <w:bottom w:val="single" w:sz="4" w:space="0" w:color="auto"/>
              <w:right w:val="single" w:sz="4" w:space="0" w:color="auto"/>
            </w:tcBorders>
          </w:tcPr>
          <w:p w14:paraId="5A0B66BD" w14:textId="77777777" w:rsidR="00E615FD" w:rsidRPr="006B6E93" w:rsidRDefault="00E615FD" w:rsidP="008B1C85">
            <w:pPr>
              <w:pStyle w:val="Tabletext"/>
              <w:jc w:val="center"/>
            </w:pPr>
            <w:r w:rsidRPr="00DA1BA4">
              <w:t>NA</w:t>
            </w:r>
          </w:p>
        </w:tc>
        <w:tc>
          <w:tcPr>
            <w:tcW w:w="1417" w:type="dxa"/>
            <w:tcBorders>
              <w:top w:val="single" w:sz="4" w:space="0" w:color="auto"/>
              <w:left w:val="single" w:sz="4" w:space="0" w:color="auto"/>
              <w:bottom w:val="single" w:sz="4" w:space="0" w:color="auto"/>
              <w:right w:val="single" w:sz="4" w:space="0" w:color="auto"/>
            </w:tcBorders>
          </w:tcPr>
          <w:p w14:paraId="02715494" w14:textId="77777777" w:rsidR="00E615FD" w:rsidRPr="006B6E93" w:rsidRDefault="00E615FD" w:rsidP="008B1C85">
            <w:pPr>
              <w:pStyle w:val="Tabletext"/>
              <w:jc w:val="center"/>
            </w:pPr>
            <w:r w:rsidRPr="00DA1BA4">
              <w:t>NA</w:t>
            </w:r>
          </w:p>
        </w:tc>
        <w:tc>
          <w:tcPr>
            <w:tcW w:w="1418" w:type="dxa"/>
            <w:tcBorders>
              <w:top w:val="single" w:sz="4" w:space="0" w:color="auto"/>
              <w:left w:val="single" w:sz="4" w:space="0" w:color="auto"/>
              <w:bottom w:val="single" w:sz="4" w:space="0" w:color="auto"/>
              <w:right w:val="single" w:sz="4" w:space="0" w:color="auto"/>
            </w:tcBorders>
          </w:tcPr>
          <w:p w14:paraId="50C6652A" w14:textId="77777777" w:rsidR="00E615FD" w:rsidRPr="006B6E93" w:rsidRDefault="00E615FD" w:rsidP="008B1C85">
            <w:pPr>
              <w:pStyle w:val="Tabletext"/>
              <w:jc w:val="center"/>
            </w:pPr>
            <w:r>
              <w:t>No</w:t>
            </w:r>
          </w:p>
        </w:tc>
        <w:tc>
          <w:tcPr>
            <w:tcW w:w="992" w:type="dxa"/>
            <w:tcBorders>
              <w:top w:val="single" w:sz="4" w:space="0" w:color="auto"/>
              <w:left w:val="single" w:sz="4" w:space="0" w:color="auto"/>
              <w:bottom w:val="single" w:sz="4" w:space="0" w:color="auto"/>
              <w:right w:val="single" w:sz="4" w:space="0" w:color="auto"/>
            </w:tcBorders>
          </w:tcPr>
          <w:p w14:paraId="6623ED53" w14:textId="77777777" w:rsidR="00E615FD" w:rsidRPr="00F76317" w:rsidRDefault="00E615FD" w:rsidP="008B1C85">
            <w:pPr>
              <w:pStyle w:val="Tabletext"/>
              <w:jc w:val="center"/>
              <w:rPr>
                <w:vertAlign w:val="superscript"/>
              </w:rPr>
            </w:pPr>
            <w:r>
              <w:t>Evidence</w:t>
            </w:r>
            <w:r>
              <w:rPr>
                <w:vertAlign w:val="superscript"/>
              </w:rPr>
              <w:t>d</w:t>
            </w:r>
          </w:p>
        </w:tc>
      </w:tr>
      <w:tr w:rsidR="00E615FD" w:rsidRPr="006B6E93" w14:paraId="3C2BD3F2" w14:textId="77777777" w:rsidTr="00ED65C1">
        <w:tc>
          <w:tcPr>
            <w:tcW w:w="879" w:type="dxa"/>
            <w:vMerge/>
            <w:tcBorders>
              <w:left w:val="single" w:sz="4" w:space="0" w:color="auto"/>
              <w:bottom w:val="single" w:sz="4" w:space="0" w:color="auto"/>
              <w:right w:val="single" w:sz="4" w:space="0" w:color="auto"/>
            </w:tcBorders>
            <w:shd w:val="clear" w:color="auto" w:fill="DBE5F1" w:themeFill="accent1" w:themeFillTint="33"/>
          </w:tcPr>
          <w:p w14:paraId="4365CDE8" w14:textId="77777777" w:rsidR="00E615FD" w:rsidRPr="006B6E93" w:rsidRDefault="00E615FD" w:rsidP="008B1C85">
            <w:pPr>
              <w:pStyle w:val="Tabletext"/>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3990D61" w14:textId="77777777" w:rsidR="00E615FD" w:rsidRPr="006B6E93" w:rsidRDefault="00E615FD" w:rsidP="008B1C85">
            <w:pPr>
              <w:pStyle w:val="Tabletext"/>
            </w:pPr>
            <w:r w:rsidRPr="006B6E93">
              <w:t>NCGC (2010)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1A322C0" w14:textId="77777777" w:rsidR="00E615FD" w:rsidRPr="00C40B14" w:rsidRDefault="00E615FD" w:rsidP="008B1C85">
            <w:pPr>
              <w:pStyle w:val="Tabletext"/>
            </w:pPr>
            <w:r>
              <w:t>Adults</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A78D16E" w14:textId="77777777" w:rsidR="00E615FD" w:rsidRPr="006B6E93" w:rsidRDefault="00E615FD" w:rsidP="008B1C85">
            <w:pPr>
              <w:pStyle w:val="Tabletext"/>
              <w:jc w:val="center"/>
            </w:pPr>
            <w:r w:rsidRPr="00DA1BA4">
              <w:t>NA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8072CD9" w14:textId="77777777" w:rsidR="00E615FD" w:rsidRPr="005C7630" w:rsidRDefault="00E615FD" w:rsidP="008B1C85">
            <w:pPr>
              <w:pStyle w:val="Tabletext"/>
              <w:jc w:val="center"/>
            </w:pPr>
            <w:r w:rsidRPr="00DA1BA4">
              <w:t>NA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6504A09" w14:textId="77777777" w:rsidR="00E615FD" w:rsidRPr="006B6E93" w:rsidRDefault="00E615FD" w:rsidP="00ED65C1">
            <w:pPr>
              <w:pStyle w:val="Tabletext"/>
              <w:jc w:val="center"/>
            </w:pPr>
            <w:r w:rsidRPr="00DA1BA4">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13526DD" w14:textId="77777777" w:rsidR="00E615FD" w:rsidRPr="006B6E93" w:rsidRDefault="00E615FD" w:rsidP="008B1C85">
            <w:pPr>
              <w:pStyle w:val="Tabletext"/>
              <w:jc w:val="center"/>
            </w:pPr>
            <w:r>
              <w:t>Yes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F20E631" w14:textId="77777777" w:rsidR="00E615FD" w:rsidRPr="006B6E93" w:rsidRDefault="00E615FD" w:rsidP="008B1C85">
            <w:pPr>
              <w:pStyle w:val="Tabletext"/>
              <w:jc w:val="center"/>
            </w:pPr>
            <w:r>
              <w:t>Unclear</w:t>
            </w:r>
          </w:p>
        </w:tc>
      </w:tr>
    </w:tbl>
    <w:p w14:paraId="786EC533" w14:textId="77777777" w:rsidR="008B1C85" w:rsidRDefault="008B1C85" w:rsidP="008B1C85">
      <w:pPr>
        <w:pStyle w:val="08Tablefootnotes"/>
      </w:pPr>
      <w:r>
        <w:t>Note</w:t>
      </w:r>
      <w:r w:rsidRPr="001D2F87">
        <w:t>: Australian guidance is shaded white; international guidance is shaded blue.</w:t>
      </w:r>
      <w:r w:rsidR="00E615FD">
        <w:t xml:space="preserve"> NA means not applicable.</w:t>
      </w:r>
    </w:p>
    <w:p w14:paraId="4C903102" w14:textId="77777777" w:rsidR="008B1C85" w:rsidRDefault="008B1C85" w:rsidP="008B1C85">
      <w:pPr>
        <w:pStyle w:val="08Tablefootnotes"/>
      </w:pPr>
      <w:r w:rsidRPr="00A83758">
        <w:t>Ab</w:t>
      </w:r>
      <w:r>
        <w:t xml:space="preserve">breviations: BD, bronchodilator; BTS, British Thoracic Society; COPD, chronic obstructive pulmonary disease; GINA, Global Initiative for Asthma; GOLD, Global Initiative for Chronic Obstructive Lung Disease; LFA, Lung Foundation Australia; NAC, National Asthma Council Australia, NCGC, National </w:t>
      </w:r>
      <w:r w:rsidRPr="00645FF5">
        <w:t>Clinical</w:t>
      </w:r>
      <w:r>
        <w:t xml:space="preserve"> Guidelines Centre; SIGN, Scottish Intercollegiate Guidelines Network; TSANZ, The Thoracic Society of Australia and New Zealand.</w:t>
      </w:r>
    </w:p>
    <w:p w14:paraId="52B500C1" w14:textId="77777777" w:rsidR="008B1C85" w:rsidRDefault="008B1C85" w:rsidP="008B1C85">
      <w:pPr>
        <w:pStyle w:val="08Tablefootnotes"/>
      </w:pPr>
      <w:r>
        <w:rPr>
          <w:b/>
        </w:rPr>
        <w:t>a</w:t>
      </w:r>
      <w:r>
        <w:t xml:space="preserve"> Despite a lack of evidence, the GDG felt that spirometry should be monitored due to ease of use and the additional information it provides over PEF. Nonetheless, the consensus recommendation indicates that either spirometry (FEV</w:t>
      </w:r>
      <w:r>
        <w:rPr>
          <w:vertAlign w:val="subscript"/>
        </w:rPr>
        <w:t>1</w:t>
      </w:r>
      <w:r>
        <w:t>) or PEF could be used for monitoring purposes.</w:t>
      </w:r>
    </w:p>
    <w:p w14:paraId="04EABC97" w14:textId="77777777" w:rsidR="008B1C85" w:rsidRDefault="008B1C85" w:rsidP="008B1C85">
      <w:pPr>
        <w:pStyle w:val="08Tablefootnotes"/>
      </w:pPr>
      <w:r>
        <w:rPr>
          <w:b/>
        </w:rPr>
        <w:t>b</w:t>
      </w:r>
      <w:r>
        <w:t xml:space="preserve"> Lung function may be monitored using spirometry or peak expiratory flow.</w:t>
      </w:r>
    </w:p>
    <w:p w14:paraId="3C51A37B" w14:textId="77777777" w:rsidR="008B1C85" w:rsidRDefault="008B1C85" w:rsidP="008B1C85">
      <w:pPr>
        <w:pStyle w:val="08Tablefootnotes"/>
      </w:pPr>
      <w:r>
        <w:rPr>
          <w:b/>
        </w:rPr>
        <w:t>c</w:t>
      </w:r>
      <w:r>
        <w:t xml:space="preserve"> The NHLBI/WHO Workshop report is cited as a reference.</w:t>
      </w:r>
    </w:p>
    <w:p w14:paraId="22F9691F" w14:textId="77777777" w:rsidR="008B1C85" w:rsidRDefault="008B1C85" w:rsidP="008B1C85">
      <w:pPr>
        <w:pStyle w:val="09Tablefootnoteslast-nostick"/>
      </w:pPr>
      <w:r>
        <w:rPr>
          <w:b/>
        </w:rPr>
        <w:t>d</w:t>
      </w:r>
      <w:r>
        <w:t xml:space="preserve"> No evidence was found to support the use of routine periodic spirometry after initiation of therapy in order to monitor disease status or guide therapy modification.</w:t>
      </w:r>
    </w:p>
    <w:p w14:paraId="55429005" w14:textId="77777777" w:rsidR="008B1C85" w:rsidRPr="00DB0522" w:rsidRDefault="00ED65C1" w:rsidP="008B1C85">
      <w:pPr>
        <w:pStyle w:val="AttHeading2"/>
      </w:pPr>
      <w:bookmarkStart w:id="368" w:name="_Toc456613616"/>
      <w:r>
        <w:t xml:space="preserve">2.7 </w:t>
      </w:r>
      <w:r w:rsidR="008B1C85" w:rsidRPr="00DB0522">
        <w:t>What is the published evidence for the cost-effectiveness of spirometry for the diagnosis of people presenting with respiratory symptoms?</w:t>
      </w:r>
      <w:bookmarkEnd w:id="368"/>
    </w:p>
    <w:p w14:paraId="759BEDC6" w14:textId="77777777" w:rsidR="008B1C85" w:rsidRDefault="00ED65C1" w:rsidP="008B1C85">
      <w:pPr>
        <w:pStyle w:val="AttHeading3"/>
      </w:pPr>
      <w:r>
        <w:t xml:space="preserve">2.7.1 </w:t>
      </w:r>
      <w:r w:rsidR="008B1C85">
        <w:t>Systematic Reviews</w:t>
      </w:r>
    </w:p>
    <w:p w14:paraId="79FDBC96" w14:textId="77777777" w:rsidR="008B1C85" w:rsidRPr="00F7553D" w:rsidRDefault="008B1C85" w:rsidP="00D56F93">
      <w:pPr>
        <w:pStyle w:val="AttHeading4"/>
      </w:pPr>
      <w:r w:rsidRPr="00F7553D">
        <w:t>Cranston et al (2006)[APHCRI]</w:t>
      </w:r>
    </w:p>
    <w:p w14:paraId="1638C9D8" w14:textId="77777777" w:rsidR="008B1C85" w:rsidRDefault="008B1C85" w:rsidP="008B1C85">
      <w:r>
        <w:t xml:space="preserve">The systematic review by Cranston et al (2006) included the following question: </w:t>
      </w:r>
    </w:p>
    <w:p w14:paraId="1BA426FB" w14:textId="77777777" w:rsidR="008B1C85" w:rsidRDefault="008B1C85" w:rsidP="008B1C85">
      <w:pPr>
        <w:pStyle w:val="BodyText"/>
        <w:ind w:left="567"/>
        <w:rPr>
          <w:i/>
        </w:rPr>
      </w:pPr>
      <w:r w:rsidRPr="000E0D16">
        <w:rPr>
          <w:i/>
        </w:rPr>
        <w:t>How much does the performance of spirometry in primary care</w:t>
      </w:r>
      <w:r>
        <w:rPr>
          <w:i/>
        </w:rPr>
        <w:t xml:space="preserve"> cost and is it cost-effective?</w:t>
      </w:r>
    </w:p>
    <w:p w14:paraId="037837EA" w14:textId="77777777" w:rsidR="008B1C85" w:rsidRDefault="008B1C85" w:rsidP="00B50F00">
      <w:r>
        <w:t>All of the identified studies related to the use of spirometry for screening and opportunistic case-finding rather than as a diagnostic tool in general practice.</w:t>
      </w:r>
    </w:p>
    <w:p w14:paraId="3605BF7C" w14:textId="1C4E3A89" w:rsidR="008B1C85" w:rsidRDefault="008B1C85" w:rsidP="00B50F00">
      <w:r>
        <w:lastRenderedPageBreak/>
        <w:t xml:space="preserve">Although a cost-effectiveness analysis was not undertaken, the direct costs of the performance of spirometry in primary care in South Australia were estimated by Cranston and colleagues (2006). For the purpose of this MBS Review, these costs have been updated and are shown in </w:t>
      </w:r>
      <w:r>
        <w:fldChar w:fldCharType="begin"/>
      </w:r>
      <w:r>
        <w:instrText xml:space="preserve"> REF _Ref442799863 \n \h </w:instrText>
      </w:r>
      <w:r>
        <w:fldChar w:fldCharType="separate"/>
      </w:r>
      <w:r w:rsidR="00F2203C">
        <w:t>0</w:t>
      </w:r>
      <w:r>
        <w:fldChar w:fldCharType="end"/>
      </w:r>
      <w:r>
        <w:t>.</w:t>
      </w:r>
    </w:p>
    <w:p w14:paraId="158FC9B9" w14:textId="77777777" w:rsidR="008B1C85" w:rsidRDefault="008B1C85" w:rsidP="008B1C85">
      <w:pPr>
        <w:pStyle w:val="AttHeading3"/>
      </w:pPr>
      <w:r>
        <w:t>Clinical Practice Guidelines</w:t>
      </w:r>
    </w:p>
    <w:p w14:paraId="483A713C" w14:textId="77777777" w:rsidR="008B1C85" w:rsidRPr="00A61DE8" w:rsidRDefault="008B1C85" w:rsidP="00D56F93">
      <w:pPr>
        <w:pStyle w:val="AttHeading4"/>
      </w:pPr>
      <w:r w:rsidRPr="00A61DE8">
        <w:t>National Clinical Guideline Centre (2016)</w:t>
      </w:r>
    </w:p>
    <w:p w14:paraId="0516D907" w14:textId="77777777" w:rsidR="008B1C85" w:rsidRPr="00E91900" w:rsidRDefault="008B1C85" w:rsidP="008B1C85">
      <w:r>
        <w:t xml:space="preserve">The NCGC clinical guideline on asthma diagnosis and monitoring included two cost-effectiveness questions that specifically relate to spirometry: </w:t>
      </w:r>
    </w:p>
    <w:p w14:paraId="589086EE" w14:textId="77777777" w:rsidR="008B1C85" w:rsidRDefault="008B1C85" w:rsidP="008B1C85">
      <w:pPr>
        <w:pStyle w:val="BodyText"/>
        <w:ind w:left="567"/>
        <w:rPr>
          <w:i/>
        </w:rPr>
      </w:pPr>
      <w:r w:rsidRPr="003612C9">
        <w:rPr>
          <w:i/>
        </w:rPr>
        <w:t>In people under investigation for asthma, what is the cost-effectiveness of spirom</w:t>
      </w:r>
      <w:r>
        <w:rPr>
          <w:i/>
        </w:rPr>
        <w:t>etry/flow volume loop measures?</w:t>
      </w:r>
    </w:p>
    <w:p w14:paraId="3B954ACD" w14:textId="77777777" w:rsidR="008B1C85" w:rsidRDefault="008B1C85" w:rsidP="008B1C85">
      <w:pPr>
        <w:pStyle w:val="BodyText"/>
        <w:ind w:left="567"/>
      </w:pPr>
      <w:r w:rsidRPr="003612C9">
        <w:rPr>
          <w:i/>
        </w:rPr>
        <w:t>In people under investigation for asthma, what is the cost-effectiveness of bronchodilator response (using PEF or FEV</w:t>
      </w:r>
      <w:r w:rsidRPr="003612C9">
        <w:rPr>
          <w:i/>
          <w:vertAlign w:val="subscript"/>
        </w:rPr>
        <w:t>1</w:t>
      </w:r>
      <w:r w:rsidRPr="003612C9">
        <w:rPr>
          <w:i/>
        </w:rPr>
        <w:t>)?</w:t>
      </w:r>
    </w:p>
    <w:p w14:paraId="69637B5A" w14:textId="77777777" w:rsidR="008B1C85" w:rsidRPr="00814ED7" w:rsidRDefault="008B1C85" w:rsidP="008B1C85">
      <w:r>
        <w:t xml:space="preserve">The literature search did not identify any relevant economic evaluations. An original health economic model was therefore developed to assess the cost-effectiveness of several diagnostic pathways in adults, which included spirometry. </w:t>
      </w:r>
      <w:r w:rsidRPr="00F9186B">
        <w:t xml:space="preserve">The model assessed the additional costs of </w:t>
      </w:r>
      <w:r>
        <w:t xml:space="preserve">the </w:t>
      </w:r>
      <w:r w:rsidRPr="00F9186B">
        <w:t>tests against cost-savings from unnecessary asthma medication, and the increased health outcomes from providing correct treatment.</w:t>
      </w:r>
      <w:r>
        <w:t xml:space="preserve"> </w:t>
      </w:r>
      <w:r w:rsidRPr="00814ED7">
        <w:t xml:space="preserve">The economic evaluation was a cost-utility analysis, where lifetime </w:t>
      </w:r>
      <w:r>
        <w:t xml:space="preserve">costs and quality-adjusted life </w:t>
      </w:r>
      <w:r w:rsidRPr="00814ED7">
        <w:t>years</w:t>
      </w:r>
      <w:r>
        <w:t xml:space="preserve"> (QALYs) were considered from the perspective of the United Kingdom National Health Service (</w:t>
      </w:r>
      <w:r w:rsidRPr="00814ED7">
        <w:t>NHS</w:t>
      </w:r>
      <w:r>
        <w:t>)</w:t>
      </w:r>
      <w:r w:rsidRPr="00814ED7">
        <w:t xml:space="preserve"> and personal social services. The model was based on two parts:</w:t>
      </w:r>
    </w:p>
    <w:p w14:paraId="28802694" w14:textId="77777777" w:rsidR="008B1C85" w:rsidRPr="00814ED7" w:rsidRDefault="008B1C85" w:rsidP="009E6EE1">
      <w:pPr>
        <w:pStyle w:val="NormalBulleted"/>
        <w:numPr>
          <w:ilvl w:val="0"/>
          <w:numId w:val="52"/>
        </w:numPr>
      </w:pPr>
      <w:r>
        <w:t>A d</w:t>
      </w:r>
      <w:r w:rsidRPr="00814ED7">
        <w:t xml:space="preserve">ecision tree </w:t>
      </w:r>
      <w:r>
        <w:t xml:space="preserve">that used </w:t>
      </w:r>
      <w:r w:rsidRPr="00814ED7">
        <w:t>the sensitivity and specificity</w:t>
      </w:r>
      <w:r>
        <w:t xml:space="preserve"> of each diagnostic test</w:t>
      </w:r>
      <w:r w:rsidRPr="00814ED7">
        <w:t>, combined with data on the prevalence of a</w:t>
      </w:r>
      <w:r>
        <w:t>sthma in the defined population</w:t>
      </w:r>
      <w:r w:rsidRPr="00814ED7">
        <w:t>.</w:t>
      </w:r>
    </w:p>
    <w:p w14:paraId="5754D168" w14:textId="77777777" w:rsidR="008B1C85" w:rsidRDefault="008B1C85" w:rsidP="009E6EE1">
      <w:pPr>
        <w:pStyle w:val="NormalBulleted"/>
        <w:numPr>
          <w:ilvl w:val="0"/>
          <w:numId w:val="52"/>
        </w:numPr>
      </w:pPr>
      <w:r>
        <w:t>A M</w:t>
      </w:r>
      <w:r w:rsidRPr="00814ED7">
        <w:t>arkov model to fully evaluate the patients’ health and cost outcomes</w:t>
      </w:r>
      <w:r>
        <w:t xml:space="preserve"> after diagnostic testing, incorporating</w:t>
      </w:r>
      <w:r w:rsidRPr="00814ED7">
        <w:t xml:space="preserve"> time spent misdiagnosed and the associated decrease in quality of life, higher mortality risks and wasted NHS resources.</w:t>
      </w:r>
    </w:p>
    <w:p w14:paraId="6BF27438" w14:textId="77777777" w:rsidR="008B1C85" w:rsidRDefault="008B1C85" w:rsidP="008B1C85">
      <w:r>
        <w:t xml:space="preserve">The cost-effectiveness of six different diagnostic strategies was assessed. The diagnostic strategies were created using combinations of spirometry, bronchodilator reversibility, </w:t>
      </w:r>
      <w:r w:rsidRPr="003642CD">
        <w:t>fractional exhaled nitric oxide</w:t>
      </w:r>
      <w:r>
        <w:t xml:space="preserve"> (FeNO), PEF variability, and challenge tests. </w:t>
      </w:r>
      <w:r w:rsidRPr="00F9186B">
        <w:t xml:space="preserve">The GDG agreed that spirometry should be used as the first line diagnostic test in all </w:t>
      </w:r>
      <w:r>
        <w:t xml:space="preserve">six diagnostic pathways because </w:t>
      </w:r>
      <w:r w:rsidRPr="00F9186B">
        <w:t>it is a widely available test that can also help with the diagnosis of other conditions</w:t>
      </w:r>
      <w:r>
        <w:t>,</w:t>
      </w:r>
      <w:r w:rsidRPr="00F9186B">
        <w:t xml:space="preserve"> such as COPD. The GDG agreed that </w:t>
      </w:r>
      <w:r>
        <w:t xml:space="preserve">a </w:t>
      </w:r>
      <w:r w:rsidRPr="00F9186B">
        <w:t>br</w:t>
      </w:r>
      <w:r>
        <w:t>onchodilator reversibility test</w:t>
      </w:r>
      <w:r w:rsidRPr="00F9186B">
        <w:t xml:space="preserve"> should be used on all patients with an obstructive spirometry</w:t>
      </w:r>
      <w:r>
        <w:t xml:space="preserve"> because it </w:t>
      </w:r>
      <w:r w:rsidRPr="00F9186B">
        <w:t>can be performed at a low cost immediately after initial spirometry, and a positive result is recognised as strong indication that the individual has asthma.</w:t>
      </w:r>
    </w:p>
    <w:p w14:paraId="4F6188B2" w14:textId="77777777" w:rsidR="008B1C85" w:rsidRDefault="008B1C85" w:rsidP="009E6EE1">
      <w:pPr>
        <w:pStyle w:val="NormalBulleted"/>
        <w:numPr>
          <w:ilvl w:val="0"/>
          <w:numId w:val="53"/>
        </w:numPr>
      </w:pPr>
      <w:r>
        <w:t xml:space="preserve">Strategy 1 – </w:t>
      </w:r>
      <w:r w:rsidRPr="003D5937">
        <w:t>involve</w:t>
      </w:r>
      <w:r>
        <w:t>d</w:t>
      </w:r>
      <w:r w:rsidRPr="003D5937">
        <w:t xml:space="preserve"> spirometry</w:t>
      </w:r>
      <w:r>
        <w:t xml:space="preserve">, bronchodilator reversibility and </w:t>
      </w:r>
      <w:r w:rsidRPr="003D5937">
        <w:t>FeNO</w:t>
      </w:r>
      <w:r>
        <w:t>.</w:t>
      </w:r>
    </w:p>
    <w:p w14:paraId="6BC5F458" w14:textId="77777777" w:rsidR="008B1C85" w:rsidRDefault="008B1C85" w:rsidP="009E6EE1">
      <w:pPr>
        <w:pStyle w:val="NormalBulleted"/>
        <w:numPr>
          <w:ilvl w:val="0"/>
          <w:numId w:val="53"/>
        </w:numPr>
      </w:pPr>
      <w:r>
        <w:t>S</w:t>
      </w:r>
      <w:r w:rsidRPr="003D5937">
        <w:t xml:space="preserve">trategy </w:t>
      </w:r>
      <w:r>
        <w:t>2 – expanded on Strategy 1 to involve</w:t>
      </w:r>
      <w:r w:rsidRPr="003D5937">
        <w:t xml:space="preserve"> PEF variability.</w:t>
      </w:r>
    </w:p>
    <w:p w14:paraId="243BD273" w14:textId="77777777" w:rsidR="008B1C85" w:rsidRDefault="008B1C85" w:rsidP="009E6EE1">
      <w:pPr>
        <w:pStyle w:val="NormalBulleted"/>
        <w:numPr>
          <w:ilvl w:val="0"/>
          <w:numId w:val="53"/>
        </w:numPr>
      </w:pPr>
      <w:r>
        <w:t>S</w:t>
      </w:r>
      <w:r w:rsidRPr="003D5937">
        <w:t xml:space="preserve">trategy </w:t>
      </w:r>
      <w:r>
        <w:t>3 – expanded on Strategy 2 to involve</w:t>
      </w:r>
      <w:r w:rsidRPr="003D5937">
        <w:t xml:space="preserve"> a methacholine challenge test</w:t>
      </w:r>
      <w:r>
        <w:t>.</w:t>
      </w:r>
    </w:p>
    <w:p w14:paraId="260550A2" w14:textId="77777777" w:rsidR="008B1C85" w:rsidRDefault="008B1C85" w:rsidP="009E6EE1">
      <w:pPr>
        <w:pStyle w:val="NormalBulleted"/>
        <w:numPr>
          <w:ilvl w:val="0"/>
          <w:numId w:val="53"/>
        </w:numPr>
      </w:pPr>
      <w:r>
        <w:t>Strategies 4, 5, 6 – each of these strategies expanded on</w:t>
      </w:r>
      <w:r w:rsidRPr="003D5937">
        <w:t xml:space="preserve"> the use</w:t>
      </w:r>
      <w:r>
        <w:t xml:space="preserve"> of challenge tests in S</w:t>
      </w:r>
      <w:r w:rsidRPr="003D5937">
        <w:t>trategy 3.</w:t>
      </w:r>
    </w:p>
    <w:p w14:paraId="34F31BF0" w14:textId="77777777" w:rsidR="008B1C85" w:rsidRDefault="008B1C85" w:rsidP="008B1C85">
      <w:r>
        <w:lastRenderedPageBreak/>
        <w:t>The</w:t>
      </w:r>
      <w:r w:rsidRPr="008E31C3">
        <w:t xml:space="preserve"> fi</w:t>
      </w:r>
      <w:r>
        <w:t>nal strategy considered was current practice, which involved</w:t>
      </w:r>
      <w:r w:rsidRPr="008E31C3">
        <w:t xml:space="preserve"> not giving the patient any tests and diagnosing without the use of objective tests.</w:t>
      </w:r>
      <w:r>
        <w:t xml:space="preserve"> T</w:t>
      </w:r>
      <w:r w:rsidRPr="008E31C3">
        <w:t xml:space="preserve">he only costs that </w:t>
      </w:r>
      <w:r>
        <w:t>are</w:t>
      </w:r>
      <w:r w:rsidRPr="008E31C3">
        <w:t xml:space="preserve"> incurred in this strategy </w:t>
      </w:r>
      <w:r>
        <w:t>are</w:t>
      </w:r>
      <w:r w:rsidRPr="008E31C3">
        <w:t xml:space="preserve"> those that occur after the diagnosis is made (e.g. the cost of asthma treatment). An assumption was made that all people with asthma are correctly diagnosed giving this strategy a sensitivity of 100%.</w:t>
      </w:r>
    </w:p>
    <w:p w14:paraId="6D838BCB" w14:textId="77777777" w:rsidR="008B1C85" w:rsidRDefault="0063592C" w:rsidP="008B1C85">
      <w:r>
        <w:t>Table 41</w:t>
      </w:r>
      <w:r w:rsidR="00703523">
        <w:t xml:space="preserve"> </w:t>
      </w:r>
      <w:r w:rsidR="008B1C85">
        <w:t xml:space="preserve">shows the overall sensitivity and specificity of each diagnostic strategy, and the costs associated with objective tests for each strategy. </w:t>
      </w:r>
      <w:r w:rsidR="008B1C85" w:rsidRPr="00023719">
        <w:t>The main limitations of the model concerned the lack of clinical data informing parameters associated with misdiagnosis.</w:t>
      </w:r>
    </w:p>
    <w:p w14:paraId="6A96E121" w14:textId="68A1DA30" w:rsidR="008B1C85" w:rsidRDefault="0063592C" w:rsidP="00DF3A06">
      <w:pPr>
        <w:pStyle w:val="Appcaption"/>
      </w:pPr>
      <w:r>
        <w:t xml:space="preserve">Table </w:t>
      </w:r>
      <w:fldSimple w:instr=" SEQ Title \* ARABIC ">
        <w:r w:rsidR="00F2203C">
          <w:rPr>
            <w:noProof/>
          </w:rPr>
          <w:t>41</w:t>
        </w:r>
      </w:fldSimple>
      <w:r w:rsidR="008B1C85">
        <w:tab/>
        <w:t>NCGC (2016): Diagnostic accuracy and cost of testing in each strategy</w:t>
      </w:r>
    </w:p>
    <w:tbl>
      <w:tblPr>
        <w:tblStyle w:val="TableGrid"/>
        <w:tblW w:w="0" w:type="auto"/>
        <w:tblLook w:val="04A0" w:firstRow="1" w:lastRow="0" w:firstColumn="1" w:lastColumn="0" w:noHBand="0" w:noVBand="1"/>
        <w:tblDescription w:val="Appendix C table 40 list the 2016 National Clinical Guideline Centre (NCGC) diagnostic accuracy and cost of testing in each strategy. This table contains 8 column headings: column 1. Item, column 2. Current practice and column 3-8. List strategies 1 to 6."/>
      </w:tblPr>
      <w:tblGrid>
        <w:gridCol w:w="1141"/>
        <w:gridCol w:w="1131"/>
        <w:gridCol w:w="1131"/>
        <w:gridCol w:w="1132"/>
        <w:gridCol w:w="1131"/>
        <w:gridCol w:w="1132"/>
        <w:gridCol w:w="1131"/>
        <w:gridCol w:w="1132"/>
      </w:tblGrid>
      <w:tr w:rsidR="00134608" w14:paraId="658992EB" w14:textId="77777777" w:rsidTr="00134608">
        <w:trPr>
          <w:tblHeader/>
        </w:trPr>
        <w:tc>
          <w:tcPr>
            <w:tcW w:w="1147" w:type="dxa"/>
            <w:tcBorders>
              <w:top w:val="single" w:sz="4" w:space="0" w:color="auto"/>
              <w:left w:val="single" w:sz="4" w:space="0" w:color="auto"/>
              <w:bottom w:val="single" w:sz="4" w:space="0" w:color="auto"/>
              <w:right w:val="single" w:sz="4" w:space="0" w:color="auto"/>
            </w:tcBorders>
          </w:tcPr>
          <w:p w14:paraId="3947AEE4" w14:textId="77777777" w:rsidR="00134608" w:rsidRPr="00C57C6A" w:rsidRDefault="00262F3B" w:rsidP="008B1C85">
            <w:pPr>
              <w:pStyle w:val="01Tableheadingorsubheading"/>
              <w:rPr>
                <w:color w:val="000000" w:themeColor="text1"/>
              </w:rPr>
            </w:pPr>
            <w:r>
              <w:rPr>
                <w:color w:val="000000" w:themeColor="text1"/>
              </w:rPr>
              <w:t>Sensitivity / Specificity / Cost</w:t>
            </w:r>
          </w:p>
        </w:tc>
        <w:tc>
          <w:tcPr>
            <w:tcW w:w="1148" w:type="dxa"/>
            <w:tcBorders>
              <w:top w:val="single" w:sz="4" w:space="0" w:color="auto"/>
              <w:left w:val="single" w:sz="4" w:space="0" w:color="auto"/>
              <w:bottom w:val="single" w:sz="4" w:space="0" w:color="auto"/>
              <w:right w:val="single" w:sz="4" w:space="0" w:color="auto"/>
            </w:tcBorders>
          </w:tcPr>
          <w:p w14:paraId="0E0D3CFE" w14:textId="77777777" w:rsidR="00134608" w:rsidRPr="00C57C6A" w:rsidRDefault="00134608" w:rsidP="008B1C85">
            <w:pPr>
              <w:pStyle w:val="01Tableheadingorsubheading"/>
              <w:jc w:val="center"/>
              <w:rPr>
                <w:color w:val="000000" w:themeColor="text1"/>
              </w:rPr>
            </w:pPr>
            <w:r w:rsidRPr="00C57C6A">
              <w:rPr>
                <w:color w:val="000000" w:themeColor="text1"/>
              </w:rPr>
              <w:t>Current practice</w:t>
            </w:r>
          </w:p>
        </w:tc>
        <w:tc>
          <w:tcPr>
            <w:tcW w:w="1147" w:type="dxa"/>
            <w:tcBorders>
              <w:top w:val="single" w:sz="4" w:space="0" w:color="auto"/>
              <w:left w:val="single" w:sz="4" w:space="0" w:color="auto"/>
              <w:bottom w:val="single" w:sz="4" w:space="0" w:color="auto"/>
              <w:right w:val="single" w:sz="4" w:space="0" w:color="auto"/>
            </w:tcBorders>
          </w:tcPr>
          <w:p w14:paraId="2CE99FC9" w14:textId="77777777" w:rsidR="00134608" w:rsidRPr="00C57C6A" w:rsidRDefault="00134608" w:rsidP="008B1C85">
            <w:pPr>
              <w:pStyle w:val="01Tableheadingorsubheading"/>
              <w:jc w:val="center"/>
              <w:rPr>
                <w:color w:val="000000" w:themeColor="text1"/>
              </w:rPr>
            </w:pPr>
            <w:r w:rsidRPr="00C57C6A">
              <w:rPr>
                <w:color w:val="000000" w:themeColor="text1"/>
              </w:rPr>
              <w:t>Strategy 1</w:t>
            </w:r>
          </w:p>
        </w:tc>
        <w:tc>
          <w:tcPr>
            <w:tcW w:w="1148" w:type="dxa"/>
            <w:tcBorders>
              <w:top w:val="single" w:sz="4" w:space="0" w:color="auto"/>
              <w:left w:val="single" w:sz="4" w:space="0" w:color="auto"/>
              <w:bottom w:val="single" w:sz="4" w:space="0" w:color="auto"/>
              <w:right w:val="single" w:sz="4" w:space="0" w:color="auto"/>
            </w:tcBorders>
          </w:tcPr>
          <w:p w14:paraId="19A3AEC0" w14:textId="77777777" w:rsidR="00134608" w:rsidRPr="00C57C6A" w:rsidRDefault="00134608" w:rsidP="008B1C85">
            <w:pPr>
              <w:pStyle w:val="01Tableheadingorsubheading"/>
              <w:jc w:val="center"/>
              <w:rPr>
                <w:color w:val="000000" w:themeColor="text1"/>
              </w:rPr>
            </w:pPr>
            <w:r w:rsidRPr="00C57C6A">
              <w:rPr>
                <w:color w:val="000000" w:themeColor="text1"/>
              </w:rPr>
              <w:t>Strategy 2</w:t>
            </w:r>
          </w:p>
        </w:tc>
        <w:tc>
          <w:tcPr>
            <w:tcW w:w="1147" w:type="dxa"/>
            <w:tcBorders>
              <w:top w:val="single" w:sz="4" w:space="0" w:color="auto"/>
              <w:left w:val="single" w:sz="4" w:space="0" w:color="auto"/>
              <w:bottom w:val="single" w:sz="4" w:space="0" w:color="auto"/>
              <w:right w:val="single" w:sz="4" w:space="0" w:color="auto"/>
            </w:tcBorders>
          </w:tcPr>
          <w:p w14:paraId="3773AF3A" w14:textId="77777777" w:rsidR="00134608" w:rsidRPr="00C57C6A" w:rsidRDefault="00134608" w:rsidP="008B1C85">
            <w:pPr>
              <w:pStyle w:val="01Tableheadingorsubheading"/>
              <w:jc w:val="center"/>
              <w:rPr>
                <w:color w:val="000000" w:themeColor="text1"/>
              </w:rPr>
            </w:pPr>
            <w:r w:rsidRPr="00C57C6A">
              <w:rPr>
                <w:color w:val="000000" w:themeColor="text1"/>
              </w:rPr>
              <w:t>Strategy 3</w:t>
            </w:r>
          </w:p>
        </w:tc>
        <w:tc>
          <w:tcPr>
            <w:tcW w:w="1148" w:type="dxa"/>
            <w:tcBorders>
              <w:top w:val="single" w:sz="4" w:space="0" w:color="auto"/>
              <w:left w:val="single" w:sz="4" w:space="0" w:color="auto"/>
              <w:bottom w:val="single" w:sz="4" w:space="0" w:color="auto"/>
              <w:right w:val="single" w:sz="4" w:space="0" w:color="auto"/>
            </w:tcBorders>
          </w:tcPr>
          <w:p w14:paraId="6C1615BD" w14:textId="77777777" w:rsidR="00134608" w:rsidRPr="00C57C6A" w:rsidRDefault="00134608" w:rsidP="008B1C85">
            <w:pPr>
              <w:pStyle w:val="01Tableheadingorsubheading"/>
              <w:jc w:val="center"/>
              <w:rPr>
                <w:color w:val="000000" w:themeColor="text1"/>
              </w:rPr>
            </w:pPr>
            <w:r w:rsidRPr="00C57C6A">
              <w:rPr>
                <w:color w:val="000000" w:themeColor="text1"/>
              </w:rPr>
              <w:t>Strategy 4</w:t>
            </w:r>
          </w:p>
        </w:tc>
        <w:tc>
          <w:tcPr>
            <w:tcW w:w="1147" w:type="dxa"/>
            <w:tcBorders>
              <w:top w:val="single" w:sz="4" w:space="0" w:color="auto"/>
              <w:left w:val="single" w:sz="4" w:space="0" w:color="auto"/>
              <w:bottom w:val="single" w:sz="4" w:space="0" w:color="auto"/>
              <w:right w:val="single" w:sz="4" w:space="0" w:color="auto"/>
            </w:tcBorders>
          </w:tcPr>
          <w:p w14:paraId="264CF36A" w14:textId="77777777" w:rsidR="00134608" w:rsidRPr="00C57C6A" w:rsidRDefault="00134608" w:rsidP="008B1C85">
            <w:pPr>
              <w:pStyle w:val="01Tableheadingorsubheading"/>
              <w:jc w:val="center"/>
              <w:rPr>
                <w:color w:val="000000" w:themeColor="text1"/>
              </w:rPr>
            </w:pPr>
            <w:r w:rsidRPr="00C57C6A">
              <w:rPr>
                <w:color w:val="000000" w:themeColor="text1"/>
              </w:rPr>
              <w:t>Strategy 5</w:t>
            </w:r>
          </w:p>
        </w:tc>
        <w:tc>
          <w:tcPr>
            <w:tcW w:w="1148" w:type="dxa"/>
            <w:tcBorders>
              <w:top w:val="single" w:sz="4" w:space="0" w:color="auto"/>
              <w:left w:val="single" w:sz="4" w:space="0" w:color="auto"/>
              <w:bottom w:val="single" w:sz="4" w:space="0" w:color="auto"/>
              <w:right w:val="single" w:sz="4" w:space="0" w:color="auto"/>
            </w:tcBorders>
          </w:tcPr>
          <w:p w14:paraId="7122F7CE" w14:textId="77777777" w:rsidR="00134608" w:rsidRPr="00C57C6A" w:rsidRDefault="00134608" w:rsidP="008B1C85">
            <w:pPr>
              <w:pStyle w:val="01Tableheadingorsubheading"/>
              <w:jc w:val="center"/>
              <w:rPr>
                <w:color w:val="000000" w:themeColor="text1"/>
              </w:rPr>
            </w:pPr>
            <w:r w:rsidRPr="00C57C6A">
              <w:rPr>
                <w:color w:val="000000" w:themeColor="text1"/>
              </w:rPr>
              <w:t>Strategy 6</w:t>
            </w:r>
          </w:p>
        </w:tc>
      </w:tr>
      <w:tr w:rsidR="00134608" w14:paraId="07219A66" w14:textId="77777777" w:rsidTr="00134608">
        <w:tc>
          <w:tcPr>
            <w:tcW w:w="1147" w:type="dxa"/>
            <w:tcBorders>
              <w:top w:val="single" w:sz="4" w:space="0" w:color="auto"/>
              <w:left w:val="single" w:sz="4" w:space="0" w:color="auto"/>
              <w:bottom w:val="single" w:sz="4" w:space="0" w:color="auto"/>
              <w:right w:val="single" w:sz="4" w:space="0" w:color="auto"/>
            </w:tcBorders>
          </w:tcPr>
          <w:p w14:paraId="69D62F97" w14:textId="77777777" w:rsidR="00134608" w:rsidRDefault="00134608" w:rsidP="008B1C85">
            <w:pPr>
              <w:pStyle w:val="Tabletext"/>
            </w:pPr>
            <w:r>
              <w:t>Sensitivity</w:t>
            </w:r>
          </w:p>
        </w:tc>
        <w:tc>
          <w:tcPr>
            <w:tcW w:w="1148" w:type="dxa"/>
            <w:tcBorders>
              <w:top w:val="single" w:sz="4" w:space="0" w:color="auto"/>
              <w:left w:val="single" w:sz="4" w:space="0" w:color="auto"/>
              <w:bottom w:val="single" w:sz="4" w:space="0" w:color="auto"/>
              <w:right w:val="single" w:sz="4" w:space="0" w:color="auto"/>
            </w:tcBorders>
          </w:tcPr>
          <w:p w14:paraId="58EC951C" w14:textId="77777777" w:rsidR="00134608" w:rsidRDefault="00134608" w:rsidP="008B1C85">
            <w:pPr>
              <w:pStyle w:val="Tabletext"/>
              <w:jc w:val="center"/>
            </w:pPr>
            <w:r>
              <w:t>100%</w:t>
            </w:r>
          </w:p>
        </w:tc>
        <w:tc>
          <w:tcPr>
            <w:tcW w:w="1147" w:type="dxa"/>
            <w:tcBorders>
              <w:top w:val="single" w:sz="4" w:space="0" w:color="auto"/>
              <w:left w:val="single" w:sz="4" w:space="0" w:color="auto"/>
              <w:bottom w:val="single" w:sz="4" w:space="0" w:color="auto"/>
              <w:right w:val="single" w:sz="4" w:space="0" w:color="auto"/>
            </w:tcBorders>
          </w:tcPr>
          <w:p w14:paraId="07214A89" w14:textId="77777777" w:rsidR="00134608" w:rsidRDefault="00134608" w:rsidP="008B1C85">
            <w:pPr>
              <w:pStyle w:val="Tabletext"/>
              <w:jc w:val="center"/>
            </w:pPr>
            <w:r>
              <w:t>90.3%</w:t>
            </w:r>
          </w:p>
        </w:tc>
        <w:tc>
          <w:tcPr>
            <w:tcW w:w="1148" w:type="dxa"/>
            <w:tcBorders>
              <w:top w:val="single" w:sz="4" w:space="0" w:color="auto"/>
              <w:left w:val="single" w:sz="4" w:space="0" w:color="auto"/>
              <w:bottom w:val="single" w:sz="4" w:space="0" w:color="auto"/>
              <w:right w:val="single" w:sz="4" w:space="0" w:color="auto"/>
            </w:tcBorders>
          </w:tcPr>
          <w:p w14:paraId="23352ACF" w14:textId="77777777" w:rsidR="00134608" w:rsidRDefault="00134608" w:rsidP="008B1C85">
            <w:pPr>
              <w:pStyle w:val="Tabletext"/>
              <w:jc w:val="center"/>
            </w:pPr>
            <w:r>
              <w:t>89.3%</w:t>
            </w:r>
          </w:p>
        </w:tc>
        <w:tc>
          <w:tcPr>
            <w:tcW w:w="1147" w:type="dxa"/>
            <w:tcBorders>
              <w:top w:val="single" w:sz="4" w:space="0" w:color="auto"/>
              <w:left w:val="single" w:sz="4" w:space="0" w:color="auto"/>
              <w:bottom w:val="single" w:sz="4" w:space="0" w:color="auto"/>
              <w:right w:val="single" w:sz="4" w:space="0" w:color="auto"/>
            </w:tcBorders>
          </w:tcPr>
          <w:p w14:paraId="49B81426" w14:textId="77777777" w:rsidR="00134608" w:rsidRDefault="00134608" w:rsidP="008B1C85">
            <w:pPr>
              <w:pStyle w:val="Tabletext"/>
              <w:jc w:val="center"/>
            </w:pPr>
            <w:r>
              <w:t>86.3%</w:t>
            </w:r>
          </w:p>
        </w:tc>
        <w:tc>
          <w:tcPr>
            <w:tcW w:w="1148" w:type="dxa"/>
            <w:tcBorders>
              <w:top w:val="single" w:sz="4" w:space="0" w:color="auto"/>
              <w:left w:val="single" w:sz="4" w:space="0" w:color="auto"/>
              <w:bottom w:val="single" w:sz="4" w:space="0" w:color="auto"/>
              <w:right w:val="single" w:sz="4" w:space="0" w:color="auto"/>
            </w:tcBorders>
          </w:tcPr>
          <w:p w14:paraId="35E9E48D" w14:textId="77777777" w:rsidR="00134608" w:rsidRDefault="00134608" w:rsidP="008B1C85">
            <w:pPr>
              <w:pStyle w:val="Tabletext"/>
              <w:jc w:val="center"/>
            </w:pPr>
            <w:r>
              <w:t>88.7%</w:t>
            </w:r>
          </w:p>
        </w:tc>
        <w:tc>
          <w:tcPr>
            <w:tcW w:w="1147" w:type="dxa"/>
            <w:tcBorders>
              <w:top w:val="single" w:sz="4" w:space="0" w:color="auto"/>
              <w:left w:val="single" w:sz="4" w:space="0" w:color="auto"/>
              <w:bottom w:val="single" w:sz="4" w:space="0" w:color="auto"/>
              <w:right w:val="single" w:sz="4" w:space="0" w:color="auto"/>
            </w:tcBorders>
          </w:tcPr>
          <w:p w14:paraId="68F1BA87" w14:textId="77777777" w:rsidR="00134608" w:rsidRDefault="00134608" w:rsidP="008B1C85">
            <w:pPr>
              <w:pStyle w:val="Tabletext"/>
              <w:jc w:val="center"/>
            </w:pPr>
            <w:r>
              <w:t>87.7%</w:t>
            </w:r>
          </w:p>
        </w:tc>
        <w:tc>
          <w:tcPr>
            <w:tcW w:w="1148" w:type="dxa"/>
            <w:tcBorders>
              <w:top w:val="single" w:sz="4" w:space="0" w:color="auto"/>
              <w:left w:val="single" w:sz="4" w:space="0" w:color="auto"/>
              <w:bottom w:val="single" w:sz="4" w:space="0" w:color="auto"/>
              <w:right w:val="single" w:sz="4" w:space="0" w:color="auto"/>
            </w:tcBorders>
          </w:tcPr>
          <w:p w14:paraId="1C8DCDEC" w14:textId="77777777" w:rsidR="00134608" w:rsidRDefault="00134608" w:rsidP="008B1C85">
            <w:pPr>
              <w:pStyle w:val="Tabletext"/>
              <w:jc w:val="center"/>
            </w:pPr>
            <w:r>
              <w:t>90.3%</w:t>
            </w:r>
          </w:p>
        </w:tc>
      </w:tr>
      <w:tr w:rsidR="00134608" w14:paraId="7A6E0822" w14:textId="77777777" w:rsidTr="00134608">
        <w:tc>
          <w:tcPr>
            <w:tcW w:w="1147" w:type="dxa"/>
            <w:tcBorders>
              <w:top w:val="single" w:sz="4" w:space="0" w:color="auto"/>
              <w:left w:val="single" w:sz="4" w:space="0" w:color="auto"/>
              <w:bottom w:val="single" w:sz="4" w:space="0" w:color="auto"/>
              <w:right w:val="single" w:sz="4" w:space="0" w:color="auto"/>
            </w:tcBorders>
          </w:tcPr>
          <w:p w14:paraId="2F2CEF5B" w14:textId="77777777" w:rsidR="00134608" w:rsidRDefault="00134608" w:rsidP="008B1C85">
            <w:pPr>
              <w:pStyle w:val="Tabletext"/>
            </w:pPr>
            <w:r>
              <w:t>Specificity</w:t>
            </w:r>
          </w:p>
        </w:tc>
        <w:tc>
          <w:tcPr>
            <w:tcW w:w="1148" w:type="dxa"/>
            <w:tcBorders>
              <w:top w:val="single" w:sz="4" w:space="0" w:color="auto"/>
              <w:left w:val="single" w:sz="4" w:space="0" w:color="auto"/>
              <w:bottom w:val="single" w:sz="4" w:space="0" w:color="auto"/>
              <w:right w:val="single" w:sz="4" w:space="0" w:color="auto"/>
            </w:tcBorders>
          </w:tcPr>
          <w:p w14:paraId="69E747A7" w14:textId="77777777" w:rsidR="00134608" w:rsidRDefault="00134608" w:rsidP="008B1C85">
            <w:pPr>
              <w:pStyle w:val="Tabletext"/>
              <w:jc w:val="center"/>
            </w:pPr>
            <w:r>
              <w:t>65.8%</w:t>
            </w:r>
          </w:p>
        </w:tc>
        <w:tc>
          <w:tcPr>
            <w:tcW w:w="1147" w:type="dxa"/>
            <w:tcBorders>
              <w:top w:val="single" w:sz="4" w:space="0" w:color="auto"/>
              <w:left w:val="single" w:sz="4" w:space="0" w:color="auto"/>
              <w:bottom w:val="single" w:sz="4" w:space="0" w:color="auto"/>
              <w:right w:val="single" w:sz="4" w:space="0" w:color="auto"/>
            </w:tcBorders>
          </w:tcPr>
          <w:p w14:paraId="68B4CA73" w14:textId="77777777" w:rsidR="00134608" w:rsidRDefault="00134608" w:rsidP="008B1C85">
            <w:pPr>
              <w:pStyle w:val="Tabletext"/>
              <w:jc w:val="center"/>
            </w:pPr>
            <w:r>
              <w:t>69.1%</w:t>
            </w:r>
          </w:p>
        </w:tc>
        <w:tc>
          <w:tcPr>
            <w:tcW w:w="1148" w:type="dxa"/>
            <w:tcBorders>
              <w:top w:val="single" w:sz="4" w:space="0" w:color="auto"/>
              <w:left w:val="single" w:sz="4" w:space="0" w:color="auto"/>
              <w:bottom w:val="single" w:sz="4" w:space="0" w:color="auto"/>
              <w:right w:val="single" w:sz="4" w:space="0" w:color="auto"/>
            </w:tcBorders>
          </w:tcPr>
          <w:p w14:paraId="7AC7967C" w14:textId="77777777" w:rsidR="00134608" w:rsidRDefault="00134608" w:rsidP="008B1C85">
            <w:pPr>
              <w:pStyle w:val="Tabletext"/>
              <w:jc w:val="center"/>
            </w:pPr>
            <w:r>
              <w:t>82.4%</w:t>
            </w:r>
          </w:p>
        </w:tc>
        <w:tc>
          <w:tcPr>
            <w:tcW w:w="1147" w:type="dxa"/>
            <w:tcBorders>
              <w:top w:val="single" w:sz="4" w:space="0" w:color="auto"/>
              <w:left w:val="single" w:sz="4" w:space="0" w:color="auto"/>
              <w:bottom w:val="single" w:sz="4" w:space="0" w:color="auto"/>
              <w:right w:val="single" w:sz="4" w:space="0" w:color="auto"/>
            </w:tcBorders>
          </w:tcPr>
          <w:p w14:paraId="55E504C9" w14:textId="77777777" w:rsidR="00134608" w:rsidRDefault="00134608" w:rsidP="008B1C85">
            <w:pPr>
              <w:pStyle w:val="Tabletext"/>
              <w:jc w:val="center"/>
            </w:pPr>
            <w:r>
              <w:t>89.5%</w:t>
            </w:r>
          </w:p>
        </w:tc>
        <w:tc>
          <w:tcPr>
            <w:tcW w:w="1148" w:type="dxa"/>
            <w:tcBorders>
              <w:top w:val="single" w:sz="4" w:space="0" w:color="auto"/>
              <w:left w:val="single" w:sz="4" w:space="0" w:color="auto"/>
              <w:bottom w:val="single" w:sz="4" w:space="0" w:color="auto"/>
              <w:right w:val="single" w:sz="4" w:space="0" w:color="auto"/>
            </w:tcBorders>
          </w:tcPr>
          <w:p w14:paraId="4DF58908" w14:textId="77777777" w:rsidR="00134608" w:rsidRDefault="00134608" w:rsidP="008B1C85">
            <w:pPr>
              <w:pStyle w:val="Tabletext"/>
              <w:jc w:val="center"/>
            </w:pPr>
            <w:r>
              <w:t>89.4%</w:t>
            </w:r>
          </w:p>
        </w:tc>
        <w:tc>
          <w:tcPr>
            <w:tcW w:w="1147" w:type="dxa"/>
            <w:tcBorders>
              <w:top w:val="single" w:sz="4" w:space="0" w:color="auto"/>
              <w:left w:val="single" w:sz="4" w:space="0" w:color="auto"/>
              <w:bottom w:val="single" w:sz="4" w:space="0" w:color="auto"/>
              <w:right w:val="single" w:sz="4" w:space="0" w:color="auto"/>
            </w:tcBorders>
          </w:tcPr>
          <w:p w14:paraId="5F96D4F7" w14:textId="77777777" w:rsidR="00134608" w:rsidRDefault="00134608" w:rsidP="008B1C85">
            <w:pPr>
              <w:pStyle w:val="Tabletext"/>
              <w:jc w:val="center"/>
            </w:pPr>
            <w:r>
              <w:t>89.4%</w:t>
            </w:r>
          </w:p>
        </w:tc>
        <w:tc>
          <w:tcPr>
            <w:tcW w:w="1148" w:type="dxa"/>
            <w:tcBorders>
              <w:top w:val="single" w:sz="4" w:space="0" w:color="auto"/>
              <w:left w:val="single" w:sz="4" w:space="0" w:color="auto"/>
              <w:bottom w:val="single" w:sz="4" w:space="0" w:color="auto"/>
              <w:right w:val="single" w:sz="4" w:space="0" w:color="auto"/>
            </w:tcBorders>
          </w:tcPr>
          <w:p w14:paraId="3874F880" w14:textId="77777777" w:rsidR="00134608" w:rsidRDefault="00134608" w:rsidP="008B1C85">
            <w:pPr>
              <w:pStyle w:val="Tabletext"/>
              <w:jc w:val="center"/>
            </w:pPr>
            <w:r>
              <w:t>89.4%</w:t>
            </w:r>
          </w:p>
        </w:tc>
      </w:tr>
      <w:tr w:rsidR="00134608" w14:paraId="7A9DFC55" w14:textId="77777777" w:rsidTr="00134608">
        <w:tc>
          <w:tcPr>
            <w:tcW w:w="1147" w:type="dxa"/>
            <w:tcBorders>
              <w:top w:val="single" w:sz="4" w:space="0" w:color="auto"/>
              <w:left w:val="single" w:sz="4" w:space="0" w:color="auto"/>
              <w:bottom w:val="single" w:sz="4" w:space="0" w:color="auto"/>
              <w:right w:val="single" w:sz="4" w:space="0" w:color="auto"/>
            </w:tcBorders>
          </w:tcPr>
          <w:p w14:paraId="6A3B050C" w14:textId="77777777" w:rsidR="00134608" w:rsidRDefault="00134608" w:rsidP="008B1C85">
            <w:pPr>
              <w:pStyle w:val="Tabletext"/>
            </w:pPr>
            <w:r>
              <w:t>Cost</w:t>
            </w:r>
          </w:p>
        </w:tc>
        <w:tc>
          <w:tcPr>
            <w:tcW w:w="1148" w:type="dxa"/>
            <w:tcBorders>
              <w:top w:val="single" w:sz="4" w:space="0" w:color="auto"/>
              <w:left w:val="single" w:sz="4" w:space="0" w:color="auto"/>
              <w:bottom w:val="single" w:sz="4" w:space="0" w:color="auto"/>
              <w:right w:val="single" w:sz="4" w:space="0" w:color="auto"/>
            </w:tcBorders>
          </w:tcPr>
          <w:p w14:paraId="753D9192" w14:textId="77777777" w:rsidR="00134608" w:rsidRDefault="00134608" w:rsidP="008B1C85">
            <w:pPr>
              <w:pStyle w:val="Tabletext"/>
              <w:jc w:val="center"/>
            </w:pPr>
            <w:r>
              <w:t>£0</w:t>
            </w:r>
          </w:p>
        </w:tc>
        <w:tc>
          <w:tcPr>
            <w:tcW w:w="1147" w:type="dxa"/>
            <w:tcBorders>
              <w:top w:val="single" w:sz="4" w:space="0" w:color="auto"/>
              <w:left w:val="single" w:sz="4" w:space="0" w:color="auto"/>
              <w:bottom w:val="single" w:sz="4" w:space="0" w:color="auto"/>
              <w:right w:val="single" w:sz="4" w:space="0" w:color="auto"/>
            </w:tcBorders>
          </w:tcPr>
          <w:p w14:paraId="560683AD" w14:textId="77777777" w:rsidR="00134608" w:rsidRDefault="00134608" w:rsidP="008B1C85">
            <w:pPr>
              <w:pStyle w:val="Tabletext"/>
              <w:jc w:val="center"/>
            </w:pPr>
            <w:r>
              <w:t>£42</w:t>
            </w:r>
          </w:p>
        </w:tc>
        <w:tc>
          <w:tcPr>
            <w:tcW w:w="1148" w:type="dxa"/>
            <w:tcBorders>
              <w:top w:val="single" w:sz="4" w:space="0" w:color="auto"/>
              <w:left w:val="single" w:sz="4" w:space="0" w:color="auto"/>
              <w:bottom w:val="single" w:sz="4" w:space="0" w:color="auto"/>
              <w:right w:val="single" w:sz="4" w:space="0" w:color="auto"/>
            </w:tcBorders>
          </w:tcPr>
          <w:p w14:paraId="52F66494" w14:textId="77777777" w:rsidR="00134608" w:rsidRDefault="00134608" w:rsidP="008B1C85">
            <w:pPr>
              <w:pStyle w:val="Tabletext"/>
              <w:jc w:val="center"/>
            </w:pPr>
            <w:r>
              <w:t>£52</w:t>
            </w:r>
          </w:p>
        </w:tc>
        <w:tc>
          <w:tcPr>
            <w:tcW w:w="1147" w:type="dxa"/>
            <w:tcBorders>
              <w:top w:val="single" w:sz="4" w:space="0" w:color="auto"/>
              <w:left w:val="single" w:sz="4" w:space="0" w:color="auto"/>
              <w:bottom w:val="single" w:sz="4" w:space="0" w:color="auto"/>
              <w:right w:val="single" w:sz="4" w:space="0" w:color="auto"/>
            </w:tcBorders>
          </w:tcPr>
          <w:p w14:paraId="517D6EB6" w14:textId="77777777" w:rsidR="00134608" w:rsidRDefault="00134608" w:rsidP="008B1C85">
            <w:pPr>
              <w:pStyle w:val="Tabletext"/>
              <w:jc w:val="center"/>
            </w:pPr>
            <w:r>
              <w:t>£92</w:t>
            </w:r>
          </w:p>
        </w:tc>
        <w:tc>
          <w:tcPr>
            <w:tcW w:w="1148" w:type="dxa"/>
            <w:tcBorders>
              <w:top w:val="single" w:sz="4" w:space="0" w:color="auto"/>
              <w:left w:val="single" w:sz="4" w:space="0" w:color="auto"/>
              <w:bottom w:val="single" w:sz="4" w:space="0" w:color="auto"/>
              <w:right w:val="single" w:sz="4" w:space="0" w:color="auto"/>
            </w:tcBorders>
          </w:tcPr>
          <w:p w14:paraId="540D1A00" w14:textId="77777777" w:rsidR="00134608" w:rsidRDefault="00134608" w:rsidP="008B1C85">
            <w:pPr>
              <w:pStyle w:val="Tabletext"/>
              <w:jc w:val="center"/>
            </w:pPr>
            <w:r>
              <w:t>£100</w:t>
            </w:r>
          </w:p>
        </w:tc>
        <w:tc>
          <w:tcPr>
            <w:tcW w:w="1147" w:type="dxa"/>
            <w:tcBorders>
              <w:top w:val="single" w:sz="4" w:space="0" w:color="auto"/>
              <w:left w:val="single" w:sz="4" w:space="0" w:color="auto"/>
              <w:bottom w:val="single" w:sz="4" w:space="0" w:color="auto"/>
              <w:right w:val="single" w:sz="4" w:space="0" w:color="auto"/>
            </w:tcBorders>
          </w:tcPr>
          <w:p w14:paraId="15AB62B2" w14:textId="77777777" w:rsidR="00134608" w:rsidRDefault="00134608" w:rsidP="008B1C85">
            <w:pPr>
              <w:pStyle w:val="Tabletext"/>
              <w:jc w:val="center"/>
            </w:pPr>
            <w:r>
              <w:t>£95</w:t>
            </w:r>
          </w:p>
        </w:tc>
        <w:tc>
          <w:tcPr>
            <w:tcW w:w="1148" w:type="dxa"/>
            <w:tcBorders>
              <w:top w:val="single" w:sz="4" w:space="0" w:color="auto"/>
              <w:left w:val="single" w:sz="4" w:space="0" w:color="auto"/>
              <w:bottom w:val="single" w:sz="4" w:space="0" w:color="auto"/>
              <w:right w:val="single" w:sz="4" w:space="0" w:color="auto"/>
            </w:tcBorders>
          </w:tcPr>
          <w:p w14:paraId="6AF60155" w14:textId="77777777" w:rsidR="00134608" w:rsidRDefault="00134608" w:rsidP="008B1C85">
            <w:pPr>
              <w:pStyle w:val="Tabletext"/>
              <w:jc w:val="center"/>
            </w:pPr>
            <w:r>
              <w:t>£103</w:t>
            </w:r>
          </w:p>
        </w:tc>
      </w:tr>
    </w:tbl>
    <w:p w14:paraId="19E63CCC" w14:textId="77777777" w:rsidR="008B1C85" w:rsidRDefault="008B1C85" w:rsidP="008B1C85">
      <w:pPr>
        <w:pStyle w:val="09Tablefootnoteslast-nostick"/>
      </w:pPr>
      <w:r>
        <w:t>Source: NCGC (2016), Table 567 and Table 58</w:t>
      </w:r>
    </w:p>
    <w:p w14:paraId="30B71196" w14:textId="77777777" w:rsidR="008B1C85" w:rsidRDefault="008B1C85" w:rsidP="008B1C85">
      <w:r>
        <w:t xml:space="preserve">As shown </w:t>
      </w:r>
      <w:r w:rsidR="0063592C">
        <w:t>in Table 42</w:t>
      </w:r>
      <w:r>
        <w:t xml:space="preserve">, Strategy 3 was deemed to be the most cost-effective (44% probability of being cost-effective at £20,000 threshold). </w:t>
      </w:r>
      <w:r w:rsidRPr="0023159B">
        <w:t>In this strategy</w:t>
      </w:r>
      <w:r>
        <w:t>,</w:t>
      </w:r>
      <w:r w:rsidRPr="0023159B">
        <w:t xml:space="preserve"> </w:t>
      </w:r>
      <w:r>
        <w:t>all individuals</w:t>
      </w:r>
      <w:r w:rsidRPr="0023159B">
        <w:t xml:space="preserve"> with symptoms of asthma would und</w:t>
      </w:r>
      <w:r>
        <w:t>ergo a spirometry and FeNO test;</w:t>
      </w:r>
      <w:r w:rsidRPr="0023159B">
        <w:t xml:space="preserve"> those who had an obstructive spirometry would also receive a bronchodilator reversibility test. Only those who had non-obstructive spirometry and conflicting FeNO and PEF</w:t>
      </w:r>
      <w:r>
        <w:t xml:space="preserve"> </w:t>
      </w:r>
      <w:r w:rsidRPr="0023159B">
        <w:t>v</w:t>
      </w:r>
      <w:r>
        <w:t>ariability</w:t>
      </w:r>
      <w:r w:rsidRPr="0023159B">
        <w:t xml:space="preserve"> test results would receive a </w:t>
      </w:r>
      <w:r w:rsidRPr="003D5937">
        <w:t>methacholine</w:t>
      </w:r>
      <w:r>
        <w:t xml:space="preserve"> challenge test</w:t>
      </w:r>
      <w:r w:rsidRPr="0023159B">
        <w:t>.</w:t>
      </w:r>
      <w:r>
        <w:t xml:space="preserve"> </w:t>
      </w:r>
      <w:r w:rsidRPr="008E31C3">
        <w:t>Further challenge testing on patients with an obstructive spirometry provided higher health outcomes however were not cost-effective at a £20,000 per QALY threshold.</w:t>
      </w:r>
    </w:p>
    <w:p w14:paraId="7A2A7929" w14:textId="77777777" w:rsidR="00600CBD" w:rsidRDefault="008B1C85" w:rsidP="008B1C85">
      <w:r w:rsidRPr="00EE1293">
        <w:t xml:space="preserve">The model results showed that the strategy that </w:t>
      </w:r>
      <w:r w:rsidRPr="0023159B">
        <w:t>did no further testing after a positive bronchodilator reversibility test was dominated. Therefore, the cost-effectiveness of bronchodilator reversibility testing is contingent on the recommended diagnostic pathway being completed after the results are produced. Stopping the diagnostic pathway after the bron</w:t>
      </w:r>
      <w:r>
        <w:t>chodilator reversibility test</w:t>
      </w:r>
      <w:r w:rsidRPr="0023159B">
        <w:t xml:space="preserve"> is conducted will lead to higher costs and poorer health outcomes.</w:t>
      </w:r>
      <w:r w:rsidR="00600CBD">
        <w:br w:type="page"/>
      </w:r>
    </w:p>
    <w:p w14:paraId="4A7719A6" w14:textId="4E2CE2D1" w:rsidR="008B1C85" w:rsidRDefault="0063592C" w:rsidP="00DF3A06">
      <w:pPr>
        <w:pStyle w:val="Appcaption"/>
      </w:pPr>
      <w:r>
        <w:lastRenderedPageBreak/>
        <w:t xml:space="preserve">Table </w:t>
      </w:r>
      <w:fldSimple w:instr=" SEQ Title \* ARABIC ">
        <w:r w:rsidR="00F2203C">
          <w:rPr>
            <w:noProof/>
          </w:rPr>
          <w:t>42</w:t>
        </w:r>
      </w:fldSimple>
      <w:r>
        <w:rPr>
          <w:noProof/>
        </w:rPr>
        <w:t xml:space="preserve"> </w:t>
      </w:r>
      <w:r w:rsidR="008B1C85">
        <w:t>NCGC (2016): Base case results (probabilistic) from NCGC (2016) economic model for diagnosis of adult asthma</w:t>
      </w:r>
    </w:p>
    <w:tbl>
      <w:tblPr>
        <w:tblStyle w:val="TableGrid"/>
        <w:tblW w:w="0" w:type="auto"/>
        <w:tblLook w:val="04A0" w:firstRow="1" w:lastRow="0" w:firstColumn="1" w:lastColumn="0" w:noHBand="0" w:noVBand="1"/>
        <w:tblDescription w:val="Appendix C table 41 list the 2016 National Clinical Guideline Centre (NCGC) economic model for diagnosis of adult asthma. This table contains 6 column headings: 1Strategy, 2. Mean QALYs per patient, 3.Mean cost per patient (£), 4. NMB at £20,000 threshold, 5.Rank at £20,000 threshold and 6. Probability of being CE at £20,000 threshold."/>
      </w:tblPr>
      <w:tblGrid>
        <w:gridCol w:w="1413"/>
        <w:gridCol w:w="1417"/>
        <w:gridCol w:w="1417"/>
        <w:gridCol w:w="1418"/>
        <w:gridCol w:w="1418"/>
        <w:gridCol w:w="1978"/>
      </w:tblGrid>
      <w:tr w:rsidR="008B1C85" w14:paraId="7CF9BB12" w14:textId="77777777" w:rsidTr="00FF6AB5">
        <w:trPr>
          <w:tblHeader/>
        </w:trPr>
        <w:tc>
          <w:tcPr>
            <w:tcW w:w="1413" w:type="dxa"/>
            <w:tcBorders>
              <w:top w:val="single" w:sz="4" w:space="0" w:color="auto"/>
              <w:left w:val="single" w:sz="4" w:space="0" w:color="auto"/>
              <w:bottom w:val="single" w:sz="4" w:space="0" w:color="auto"/>
              <w:right w:val="single" w:sz="4" w:space="0" w:color="auto"/>
            </w:tcBorders>
          </w:tcPr>
          <w:p w14:paraId="561FC39B" w14:textId="77777777" w:rsidR="008B1C85" w:rsidRPr="00C57C6A" w:rsidRDefault="008B1C85" w:rsidP="00134608">
            <w:pPr>
              <w:pStyle w:val="Tableheading"/>
            </w:pPr>
            <w:r w:rsidRPr="00C57C6A">
              <w:t>Strategy</w:t>
            </w:r>
          </w:p>
        </w:tc>
        <w:tc>
          <w:tcPr>
            <w:tcW w:w="1417" w:type="dxa"/>
            <w:tcBorders>
              <w:top w:val="single" w:sz="4" w:space="0" w:color="auto"/>
              <w:left w:val="single" w:sz="4" w:space="0" w:color="auto"/>
              <w:bottom w:val="single" w:sz="4" w:space="0" w:color="auto"/>
              <w:right w:val="single" w:sz="4" w:space="0" w:color="auto"/>
            </w:tcBorders>
          </w:tcPr>
          <w:p w14:paraId="1B9FE408" w14:textId="77777777" w:rsidR="008B1C85" w:rsidRPr="00C57C6A" w:rsidRDefault="008B1C85" w:rsidP="00134608">
            <w:pPr>
              <w:pStyle w:val="Tableheading"/>
            </w:pPr>
            <w:r w:rsidRPr="00C57C6A">
              <w:t>Mean QALYs per patient</w:t>
            </w:r>
          </w:p>
        </w:tc>
        <w:tc>
          <w:tcPr>
            <w:tcW w:w="1417" w:type="dxa"/>
            <w:tcBorders>
              <w:top w:val="single" w:sz="4" w:space="0" w:color="auto"/>
              <w:left w:val="single" w:sz="4" w:space="0" w:color="auto"/>
              <w:bottom w:val="single" w:sz="4" w:space="0" w:color="auto"/>
              <w:right w:val="single" w:sz="4" w:space="0" w:color="auto"/>
            </w:tcBorders>
          </w:tcPr>
          <w:p w14:paraId="5FFBCEC3" w14:textId="77777777" w:rsidR="008B1C85" w:rsidRPr="00C57C6A" w:rsidRDefault="008B1C85" w:rsidP="00134608">
            <w:pPr>
              <w:pStyle w:val="Tableheading"/>
            </w:pPr>
            <w:r w:rsidRPr="00C57C6A">
              <w:t>Mean cost per patient (£)</w:t>
            </w:r>
          </w:p>
        </w:tc>
        <w:tc>
          <w:tcPr>
            <w:tcW w:w="1418" w:type="dxa"/>
            <w:tcBorders>
              <w:top w:val="single" w:sz="4" w:space="0" w:color="auto"/>
              <w:left w:val="single" w:sz="4" w:space="0" w:color="auto"/>
              <w:bottom w:val="single" w:sz="4" w:space="0" w:color="auto"/>
              <w:right w:val="single" w:sz="4" w:space="0" w:color="auto"/>
            </w:tcBorders>
          </w:tcPr>
          <w:p w14:paraId="5A37F018" w14:textId="77777777" w:rsidR="008B1C85" w:rsidRPr="00C57C6A" w:rsidRDefault="008B1C85" w:rsidP="00134608">
            <w:pPr>
              <w:pStyle w:val="Tableheading"/>
            </w:pPr>
            <w:r w:rsidRPr="00C57C6A">
              <w:t>NMB at £20,000 threshold</w:t>
            </w:r>
          </w:p>
        </w:tc>
        <w:tc>
          <w:tcPr>
            <w:tcW w:w="1418" w:type="dxa"/>
            <w:tcBorders>
              <w:top w:val="single" w:sz="4" w:space="0" w:color="auto"/>
              <w:left w:val="single" w:sz="4" w:space="0" w:color="auto"/>
              <w:bottom w:val="single" w:sz="4" w:space="0" w:color="auto"/>
              <w:right w:val="single" w:sz="4" w:space="0" w:color="auto"/>
            </w:tcBorders>
          </w:tcPr>
          <w:p w14:paraId="2F02C015" w14:textId="77777777" w:rsidR="008B1C85" w:rsidRPr="00C57C6A" w:rsidRDefault="008B1C85" w:rsidP="00134608">
            <w:pPr>
              <w:pStyle w:val="Tableheading"/>
            </w:pPr>
            <w:r w:rsidRPr="00C57C6A">
              <w:t>Rank at £20,000 threshold</w:t>
            </w:r>
          </w:p>
        </w:tc>
        <w:tc>
          <w:tcPr>
            <w:tcW w:w="1978" w:type="dxa"/>
            <w:tcBorders>
              <w:top w:val="single" w:sz="4" w:space="0" w:color="auto"/>
              <w:left w:val="single" w:sz="4" w:space="0" w:color="auto"/>
              <w:bottom w:val="single" w:sz="4" w:space="0" w:color="auto"/>
              <w:right w:val="single" w:sz="4" w:space="0" w:color="auto"/>
            </w:tcBorders>
          </w:tcPr>
          <w:p w14:paraId="178FA6AB" w14:textId="77777777" w:rsidR="008B1C85" w:rsidRPr="00C57C6A" w:rsidRDefault="008B1C85" w:rsidP="00134608">
            <w:pPr>
              <w:pStyle w:val="Tableheading"/>
            </w:pPr>
            <w:r w:rsidRPr="00C57C6A">
              <w:t>Probability of being CE at £20,000 threshold</w:t>
            </w:r>
          </w:p>
        </w:tc>
      </w:tr>
      <w:tr w:rsidR="008B1C85" w14:paraId="3266D5A0" w14:textId="77777777" w:rsidTr="008B1C85">
        <w:tc>
          <w:tcPr>
            <w:tcW w:w="1413" w:type="dxa"/>
            <w:tcBorders>
              <w:top w:val="single" w:sz="4" w:space="0" w:color="auto"/>
              <w:left w:val="single" w:sz="4" w:space="0" w:color="auto"/>
              <w:bottom w:val="single" w:sz="4" w:space="0" w:color="auto"/>
              <w:right w:val="single" w:sz="4" w:space="0" w:color="auto"/>
            </w:tcBorders>
          </w:tcPr>
          <w:p w14:paraId="138A9049" w14:textId="77777777" w:rsidR="008B1C85" w:rsidRPr="00134608" w:rsidRDefault="008B1C85" w:rsidP="00134608">
            <w:pPr>
              <w:pStyle w:val="Tabletext"/>
            </w:pPr>
            <w:r w:rsidRPr="00134608">
              <w:t>Current practice</w:t>
            </w:r>
          </w:p>
        </w:tc>
        <w:tc>
          <w:tcPr>
            <w:tcW w:w="1417" w:type="dxa"/>
            <w:tcBorders>
              <w:top w:val="single" w:sz="4" w:space="0" w:color="auto"/>
              <w:left w:val="single" w:sz="4" w:space="0" w:color="auto"/>
              <w:bottom w:val="single" w:sz="4" w:space="0" w:color="auto"/>
              <w:right w:val="single" w:sz="4" w:space="0" w:color="auto"/>
            </w:tcBorders>
          </w:tcPr>
          <w:p w14:paraId="45CE05FA" w14:textId="77777777" w:rsidR="008B1C85" w:rsidRPr="00134608" w:rsidRDefault="008B1C85" w:rsidP="00134608">
            <w:pPr>
              <w:pStyle w:val="Tabletext"/>
              <w:jc w:val="center"/>
            </w:pPr>
            <w:r w:rsidRPr="00134608">
              <w:t>16.7766</w:t>
            </w:r>
          </w:p>
        </w:tc>
        <w:tc>
          <w:tcPr>
            <w:tcW w:w="1417" w:type="dxa"/>
            <w:tcBorders>
              <w:top w:val="single" w:sz="4" w:space="0" w:color="auto"/>
              <w:left w:val="single" w:sz="4" w:space="0" w:color="auto"/>
              <w:bottom w:val="single" w:sz="4" w:space="0" w:color="auto"/>
              <w:right w:val="single" w:sz="4" w:space="0" w:color="auto"/>
            </w:tcBorders>
          </w:tcPr>
          <w:p w14:paraId="0BC83046" w14:textId="77777777" w:rsidR="008B1C85" w:rsidRPr="00134608" w:rsidRDefault="008B1C85" w:rsidP="00134608">
            <w:pPr>
              <w:pStyle w:val="Tabletext"/>
              <w:jc w:val="center"/>
            </w:pPr>
            <w:r w:rsidRPr="00134608">
              <w:t>3,730</w:t>
            </w:r>
          </w:p>
        </w:tc>
        <w:tc>
          <w:tcPr>
            <w:tcW w:w="1418" w:type="dxa"/>
            <w:tcBorders>
              <w:top w:val="single" w:sz="4" w:space="0" w:color="auto"/>
              <w:left w:val="single" w:sz="4" w:space="0" w:color="auto"/>
              <w:bottom w:val="single" w:sz="4" w:space="0" w:color="auto"/>
              <w:right w:val="single" w:sz="4" w:space="0" w:color="auto"/>
            </w:tcBorders>
          </w:tcPr>
          <w:p w14:paraId="19F0A8DA" w14:textId="77777777" w:rsidR="008B1C85" w:rsidRPr="00134608" w:rsidRDefault="008B1C85" w:rsidP="00134608">
            <w:pPr>
              <w:pStyle w:val="Tabletext"/>
              <w:jc w:val="center"/>
            </w:pPr>
            <w:r w:rsidRPr="00134608">
              <w:t>331,802</w:t>
            </w:r>
          </w:p>
        </w:tc>
        <w:tc>
          <w:tcPr>
            <w:tcW w:w="1418" w:type="dxa"/>
            <w:tcBorders>
              <w:top w:val="single" w:sz="4" w:space="0" w:color="auto"/>
              <w:left w:val="single" w:sz="4" w:space="0" w:color="auto"/>
              <w:bottom w:val="single" w:sz="4" w:space="0" w:color="auto"/>
              <w:right w:val="single" w:sz="4" w:space="0" w:color="auto"/>
            </w:tcBorders>
          </w:tcPr>
          <w:p w14:paraId="408A683F" w14:textId="77777777" w:rsidR="008B1C85" w:rsidRPr="00134608" w:rsidRDefault="008B1C85" w:rsidP="00134608">
            <w:pPr>
              <w:pStyle w:val="Tabletext"/>
              <w:jc w:val="center"/>
            </w:pPr>
            <w:r w:rsidRPr="00134608">
              <w:t>6</w:t>
            </w:r>
          </w:p>
        </w:tc>
        <w:tc>
          <w:tcPr>
            <w:tcW w:w="1978" w:type="dxa"/>
            <w:tcBorders>
              <w:top w:val="single" w:sz="4" w:space="0" w:color="auto"/>
              <w:left w:val="single" w:sz="4" w:space="0" w:color="auto"/>
              <w:bottom w:val="single" w:sz="4" w:space="0" w:color="auto"/>
              <w:right w:val="single" w:sz="4" w:space="0" w:color="auto"/>
            </w:tcBorders>
          </w:tcPr>
          <w:p w14:paraId="18CE0371" w14:textId="77777777" w:rsidR="008B1C85" w:rsidRPr="00134608" w:rsidRDefault="008B1C85" w:rsidP="00134608">
            <w:pPr>
              <w:pStyle w:val="Tabletext"/>
              <w:jc w:val="center"/>
            </w:pPr>
            <w:r w:rsidRPr="00134608">
              <w:t>6%</w:t>
            </w:r>
          </w:p>
        </w:tc>
      </w:tr>
      <w:tr w:rsidR="008B1C85" w14:paraId="06173C85" w14:textId="77777777" w:rsidTr="008B1C85">
        <w:tc>
          <w:tcPr>
            <w:tcW w:w="1413" w:type="dxa"/>
            <w:tcBorders>
              <w:top w:val="single" w:sz="4" w:space="0" w:color="auto"/>
              <w:left w:val="single" w:sz="4" w:space="0" w:color="auto"/>
              <w:bottom w:val="single" w:sz="4" w:space="0" w:color="auto"/>
              <w:right w:val="single" w:sz="4" w:space="0" w:color="auto"/>
            </w:tcBorders>
          </w:tcPr>
          <w:p w14:paraId="2E1E3138" w14:textId="77777777" w:rsidR="008B1C85" w:rsidRPr="00134608" w:rsidRDefault="008B1C85" w:rsidP="00134608">
            <w:pPr>
              <w:pStyle w:val="Tabletext"/>
            </w:pPr>
            <w:r w:rsidRPr="00134608">
              <w:t>Strategy 1</w:t>
            </w:r>
          </w:p>
        </w:tc>
        <w:tc>
          <w:tcPr>
            <w:tcW w:w="1417" w:type="dxa"/>
            <w:tcBorders>
              <w:top w:val="single" w:sz="4" w:space="0" w:color="auto"/>
              <w:left w:val="single" w:sz="4" w:space="0" w:color="auto"/>
              <w:bottom w:val="single" w:sz="4" w:space="0" w:color="auto"/>
              <w:right w:val="single" w:sz="4" w:space="0" w:color="auto"/>
            </w:tcBorders>
          </w:tcPr>
          <w:p w14:paraId="5752FFDE" w14:textId="77777777" w:rsidR="008B1C85" w:rsidRPr="00134608" w:rsidRDefault="008B1C85" w:rsidP="00134608">
            <w:pPr>
              <w:pStyle w:val="Tabletext"/>
              <w:jc w:val="center"/>
            </w:pPr>
            <w:r w:rsidRPr="00134608">
              <w:t>16.7760</w:t>
            </w:r>
          </w:p>
        </w:tc>
        <w:tc>
          <w:tcPr>
            <w:tcW w:w="1417" w:type="dxa"/>
            <w:tcBorders>
              <w:top w:val="single" w:sz="4" w:space="0" w:color="auto"/>
              <w:left w:val="single" w:sz="4" w:space="0" w:color="auto"/>
              <w:bottom w:val="single" w:sz="4" w:space="0" w:color="auto"/>
              <w:right w:val="single" w:sz="4" w:space="0" w:color="auto"/>
            </w:tcBorders>
          </w:tcPr>
          <w:p w14:paraId="262ECF47" w14:textId="77777777" w:rsidR="008B1C85" w:rsidRPr="00134608" w:rsidRDefault="008B1C85" w:rsidP="00134608">
            <w:pPr>
              <w:pStyle w:val="Tabletext"/>
              <w:jc w:val="center"/>
            </w:pPr>
            <w:r w:rsidRPr="00134608">
              <w:t>3,753</w:t>
            </w:r>
          </w:p>
        </w:tc>
        <w:tc>
          <w:tcPr>
            <w:tcW w:w="1418" w:type="dxa"/>
            <w:tcBorders>
              <w:top w:val="single" w:sz="4" w:space="0" w:color="auto"/>
              <w:left w:val="single" w:sz="4" w:space="0" w:color="auto"/>
              <w:bottom w:val="single" w:sz="4" w:space="0" w:color="auto"/>
              <w:right w:val="single" w:sz="4" w:space="0" w:color="auto"/>
            </w:tcBorders>
          </w:tcPr>
          <w:p w14:paraId="6CD29249" w14:textId="77777777" w:rsidR="008B1C85" w:rsidRPr="00134608" w:rsidRDefault="008B1C85" w:rsidP="00134608">
            <w:pPr>
              <w:pStyle w:val="Tabletext"/>
              <w:jc w:val="center"/>
            </w:pPr>
            <w:r w:rsidRPr="00134608">
              <w:t>331,768</w:t>
            </w:r>
          </w:p>
        </w:tc>
        <w:tc>
          <w:tcPr>
            <w:tcW w:w="1418" w:type="dxa"/>
            <w:tcBorders>
              <w:top w:val="single" w:sz="4" w:space="0" w:color="auto"/>
              <w:left w:val="single" w:sz="4" w:space="0" w:color="auto"/>
              <w:bottom w:val="single" w:sz="4" w:space="0" w:color="auto"/>
              <w:right w:val="single" w:sz="4" w:space="0" w:color="auto"/>
            </w:tcBorders>
          </w:tcPr>
          <w:p w14:paraId="6542DCE6" w14:textId="77777777" w:rsidR="008B1C85" w:rsidRPr="00134608" w:rsidRDefault="008B1C85" w:rsidP="00134608">
            <w:pPr>
              <w:pStyle w:val="Tabletext"/>
              <w:jc w:val="center"/>
            </w:pPr>
            <w:r w:rsidRPr="00134608">
              <w:t>7</w:t>
            </w:r>
          </w:p>
        </w:tc>
        <w:tc>
          <w:tcPr>
            <w:tcW w:w="1978" w:type="dxa"/>
            <w:tcBorders>
              <w:top w:val="single" w:sz="4" w:space="0" w:color="auto"/>
              <w:left w:val="single" w:sz="4" w:space="0" w:color="auto"/>
              <w:bottom w:val="single" w:sz="4" w:space="0" w:color="auto"/>
              <w:right w:val="single" w:sz="4" w:space="0" w:color="auto"/>
            </w:tcBorders>
          </w:tcPr>
          <w:p w14:paraId="5121506D" w14:textId="77777777" w:rsidR="008B1C85" w:rsidRPr="00134608" w:rsidRDefault="008B1C85" w:rsidP="00134608">
            <w:pPr>
              <w:pStyle w:val="Tabletext"/>
              <w:jc w:val="center"/>
            </w:pPr>
            <w:r w:rsidRPr="00134608">
              <w:t>0%</w:t>
            </w:r>
          </w:p>
        </w:tc>
      </w:tr>
      <w:tr w:rsidR="008B1C85" w14:paraId="4254E9CC" w14:textId="77777777" w:rsidTr="008B1C85">
        <w:tc>
          <w:tcPr>
            <w:tcW w:w="1413" w:type="dxa"/>
            <w:tcBorders>
              <w:top w:val="single" w:sz="4" w:space="0" w:color="auto"/>
              <w:left w:val="single" w:sz="4" w:space="0" w:color="auto"/>
              <w:bottom w:val="single" w:sz="4" w:space="0" w:color="auto"/>
              <w:right w:val="single" w:sz="4" w:space="0" w:color="auto"/>
            </w:tcBorders>
          </w:tcPr>
          <w:p w14:paraId="44796267" w14:textId="77777777" w:rsidR="008B1C85" w:rsidRPr="00134608" w:rsidRDefault="008B1C85" w:rsidP="00134608">
            <w:pPr>
              <w:pStyle w:val="Tabletext"/>
            </w:pPr>
            <w:r w:rsidRPr="00134608">
              <w:t>Strategy 2</w:t>
            </w:r>
          </w:p>
        </w:tc>
        <w:tc>
          <w:tcPr>
            <w:tcW w:w="1417" w:type="dxa"/>
            <w:tcBorders>
              <w:top w:val="single" w:sz="4" w:space="0" w:color="auto"/>
              <w:left w:val="single" w:sz="4" w:space="0" w:color="auto"/>
              <w:bottom w:val="single" w:sz="4" w:space="0" w:color="auto"/>
              <w:right w:val="single" w:sz="4" w:space="0" w:color="auto"/>
            </w:tcBorders>
          </w:tcPr>
          <w:p w14:paraId="7FC0EA12" w14:textId="77777777" w:rsidR="008B1C85" w:rsidRPr="00134608" w:rsidRDefault="008B1C85" w:rsidP="00134608">
            <w:pPr>
              <w:pStyle w:val="Tabletext"/>
              <w:jc w:val="center"/>
            </w:pPr>
            <w:r w:rsidRPr="00134608">
              <w:t>16.7776</w:t>
            </w:r>
          </w:p>
        </w:tc>
        <w:tc>
          <w:tcPr>
            <w:tcW w:w="1417" w:type="dxa"/>
            <w:tcBorders>
              <w:top w:val="single" w:sz="4" w:space="0" w:color="auto"/>
              <w:left w:val="single" w:sz="4" w:space="0" w:color="auto"/>
              <w:bottom w:val="single" w:sz="4" w:space="0" w:color="auto"/>
              <w:right w:val="single" w:sz="4" w:space="0" w:color="auto"/>
            </w:tcBorders>
          </w:tcPr>
          <w:p w14:paraId="26E0C0E2" w14:textId="77777777" w:rsidR="008B1C85" w:rsidRPr="00134608" w:rsidRDefault="008B1C85" w:rsidP="00134608">
            <w:pPr>
              <w:pStyle w:val="Tabletext"/>
              <w:jc w:val="center"/>
            </w:pPr>
            <w:r w:rsidRPr="00134608">
              <w:t>3,686</w:t>
            </w:r>
          </w:p>
        </w:tc>
        <w:tc>
          <w:tcPr>
            <w:tcW w:w="1418" w:type="dxa"/>
            <w:tcBorders>
              <w:top w:val="single" w:sz="4" w:space="0" w:color="auto"/>
              <w:left w:val="single" w:sz="4" w:space="0" w:color="auto"/>
              <w:bottom w:val="single" w:sz="4" w:space="0" w:color="auto"/>
              <w:right w:val="single" w:sz="4" w:space="0" w:color="auto"/>
            </w:tcBorders>
          </w:tcPr>
          <w:p w14:paraId="175459D2" w14:textId="77777777" w:rsidR="008B1C85" w:rsidRPr="00134608" w:rsidRDefault="008B1C85" w:rsidP="00134608">
            <w:pPr>
              <w:pStyle w:val="Tabletext"/>
              <w:jc w:val="center"/>
            </w:pPr>
            <w:r w:rsidRPr="00134608">
              <w:t>331,866</w:t>
            </w:r>
          </w:p>
        </w:tc>
        <w:tc>
          <w:tcPr>
            <w:tcW w:w="1418" w:type="dxa"/>
            <w:tcBorders>
              <w:top w:val="single" w:sz="4" w:space="0" w:color="auto"/>
              <w:left w:val="single" w:sz="4" w:space="0" w:color="auto"/>
              <w:bottom w:val="single" w:sz="4" w:space="0" w:color="auto"/>
              <w:right w:val="single" w:sz="4" w:space="0" w:color="auto"/>
            </w:tcBorders>
          </w:tcPr>
          <w:p w14:paraId="1A069E37" w14:textId="77777777" w:rsidR="008B1C85" w:rsidRPr="00134608" w:rsidRDefault="008B1C85" w:rsidP="00134608">
            <w:pPr>
              <w:pStyle w:val="Tabletext"/>
              <w:jc w:val="center"/>
            </w:pPr>
            <w:r w:rsidRPr="00134608">
              <w:t>5</w:t>
            </w:r>
          </w:p>
        </w:tc>
        <w:tc>
          <w:tcPr>
            <w:tcW w:w="1978" w:type="dxa"/>
            <w:tcBorders>
              <w:top w:val="single" w:sz="4" w:space="0" w:color="auto"/>
              <w:left w:val="single" w:sz="4" w:space="0" w:color="auto"/>
              <w:bottom w:val="single" w:sz="4" w:space="0" w:color="auto"/>
              <w:right w:val="single" w:sz="4" w:space="0" w:color="auto"/>
            </w:tcBorders>
          </w:tcPr>
          <w:p w14:paraId="0AF05E0E" w14:textId="77777777" w:rsidR="008B1C85" w:rsidRPr="00134608" w:rsidRDefault="008B1C85" w:rsidP="00134608">
            <w:pPr>
              <w:pStyle w:val="Tabletext"/>
              <w:jc w:val="center"/>
            </w:pPr>
            <w:r w:rsidRPr="00134608">
              <w:t>19%</w:t>
            </w:r>
          </w:p>
        </w:tc>
      </w:tr>
      <w:tr w:rsidR="008B1C85" w14:paraId="0B987B38" w14:textId="77777777" w:rsidTr="008B1C85">
        <w:tc>
          <w:tcPr>
            <w:tcW w:w="1413" w:type="dxa"/>
            <w:tcBorders>
              <w:top w:val="single" w:sz="4" w:space="0" w:color="auto"/>
              <w:left w:val="single" w:sz="4" w:space="0" w:color="auto"/>
              <w:bottom w:val="single" w:sz="4" w:space="0" w:color="auto"/>
              <w:right w:val="single" w:sz="4" w:space="0" w:color="auto"/>
            </w:tcBorders>
          </w:tcPr>
          <w:p w14:paraId="4E99FF1D" w14:textId="77777777" w:rsidR="008B1C85" w:rsidRPr="00134608" w:rsidRDefault="008B1C85" w:rsidP="00134608">
            <w:pPr>
              <w:pStyle w:val="Tabletext"/>
            </w:pPr>
            <w:r w:rsidRPr="00134608">
              <w:t>Strategy 3</w:t>
            </w:r>
          </w:p>
        </w:tc>
        <w:tc>
          <w:tcPr>
            <w:tcW w:w="1417" w:type="dxa"/>
            <w:tcBorders>
              <w:top w:val="single" w:sz="4" w:space="0" w:color="auto"/>
              <w:left w:val="single" w:sz="4" w:space="0" w:color="auto"/>
              <w:bottom w:val="single" w:sz="4" w:space="0" w:color="auto"/>
              <w:right w:val="single" w:sz="4" w:space="0" w:color="auto"/>
            </w:tcBorders>
          </w:tcPr>
          <w:p w14:paraId="04DCEABC" w14:textId="77777777" w:rsidR="008B1C85" w:rsidRPr="00134608" w:rsidRDefault="008B1C85" w:rsidP="00134608">
            <w:pPr>
              <w:pStyle w:val="Tabletext"/>
              <w:jc w:val="center"/>
            </w:pPr>
            <w:r w:rsidRPr="00134608">
              <w:t>16.7783</w:t>
            </w:r>
          </w:p>
        </w:tc>
        <w:tc>
          <w:tcPr>
            <w:tcW w:w="1417" w:type="dxa"/>
            <w:tcBorders>
              <w:top w:val="single" w:sz="4" w:space="0" w:color="auto"/>
              <w:left w:val="single" w:sz="4" w:space="0" w:color="auto"/>
              <w:bottom w:val="single" w:sz="4" w:space="0" w:color="auto"/>
              <w:right w:val="single" w:sz="4" w:space="0" w:color="auto"/>
            </w:tcBorders>
          </w:tcPr>
          <w:p w14:paraId="2A25D0B1" w14:textId="77777777" w:rsidR="008B1C85" w:rsidRPr="00134608" w:rsidRDefault="008B1C85" w:rsidP="00134608">
            <w:pPr>
              <w:pStyle w:val="Tabletext"/>
              <w:jc w:val="center"/>
            </w:pPr>
            <w:r w:rsidRPr="00134608">
              <w:t>3,683</w:t>
            </w:r>
          </w:p>
        </w:tc>
        <w:tc>
          <w:tcPr>
            <w:tcW w:w="1418" w:type="dxa"/>
            <w:tcBorders>
              <w:top w:val="single" w:sz="4" w:space="0" w:color="auto"/>
              <w:left w:val="single" w:sz="4" w:space="0" w:color="auto"/>
              <w:bottom w:val="single" w:sz="4" w:space="0" w:color="auto"/>
              <w:right w:val="single" w:sz="4" w:space="0" w:color="auto"/>
            </w:tcBorders>
          </w:tcPr>
          <w:p w14:paraId="07C3D817" w14:textId="77777777" w:rsidR="008B1C85" w:rsidRPr="00134608" w:rsidRDefault="008B1C85" w:rsidP="00134608">
            <w:pPr>
              <w:pStyle w:val="Tabletext"/>
              <w:jc w:val="center"/>
            </w:pPr>
            <w:r w:rsidRPr="00134608">
              <w:t>331,882</w:t>
            </w:r>
          </w:p>
        </w:tc>
        <w:tc>
          <w:tcPr>
            <w:tcW w:w="1418" w:type="dxa"/>
            <w:tcBorders>
              <w:top w:val="single" w:sz="4" w:space="0" w:color="auto"/>
              <w:left w:val="single" w:sz="4" w:space="0" w:color="auto"/>
              <w:bottom w:val="single" w:sz="4" w:space="0" w:color="auto"/>
              <w:right w:val="single" w:sz="4" w:space="0" w:color="auto"/>
            </w:tcBorders>
          </w:tcPr>
          <w:p w14:paraId="7F45B043" w14:textId="77777777" w:rsidR="008B1C85" w:rsidRPr="00134608" w:rsidRDefault="008B1C85" w:rsidP="00134608">
            <w:pPr>
              <w:pStyle w:val="Tabletext"/>
              <w:jc w:val="center"/>
            </w:pPr>
            <w:r w:rsidRPr="00134608">
              <w:t>1</w:t>
            </w:r>
          </w:p>
        </w:tc>
        <w:tc>
          <w:tcPr>
            <w:tcW w:w="1978" w:type="dxa"/>
            <w:tcBorders>
              <w:top w:val="single" w:sz="4" w:space="0" w:color="auto"/>
              <w:left w:val="single" w:sz="4" w:space="0" w:color="auto"/>
              <w:bottom w:val="single" w:sz="4" w:space="0" w:color="auto"/>
              <w:right w:val="single" w:sz="4" w:space="0" w:color="auto"/>
            </w:tcBorders>
          </w:tcPr>
          <w:p w14:paraId="2F87E63D" w14:textId="77777777" w:rsidR="008B1C85" w:rsidRPr="00134608" w:rsidRDefault="008B1C85" w:rsidP="00134608">
            <w:pPr>
              <w:pStyle w:val="Tabletext"/>
              <w:jc w:val="center"/>
            </w:pPr>
            <w:r w:rsidRPr="00134608">
              <w:t>44%</w:t>
            </w:r>
          </w:p>
        </w:tc>
      </w:tr>
      <w:tr w:rsidR="008B1C85" w14:paraId="39913200" w14:textId="77777777" w:rsidTr="008B1C85">
        <w:tc>
          <w:tcPr>
            <w:tcW w:w="1413" w:type="dxa"/>
            <w:tcBorders>
              <w:top w:val="single" w:sz="4" w:space="0" w:color="auto"/>
              <w:left w:val="single" w:sz="4" w:space="0" w:color="auto"/>
              <w:bottom w:val="single" w:sz="4" w:space="0" w:color="auto"/>
              <w:right w:val="single" w:sz="4" w:space="0" w:color="auto"/>
            </w:tcBorders>
          </w:tcPr>
          <w:p w14:paraId="73BBCAA3" w14:textId="77777777" w:rsidR="008B1C85" w:rsidRPr="00134608" w:rsidRDefault="008B1C85" w:rsidP="00134608">
            <w:pPr>
              <w:pStyle w:val="Tabletext"/>
            </w:pPr>
            <w:r w:rsidRPr="00134608">
              <w:t>Strategy 4</w:t>
            </w:r>
          </w:p>
        </w:tc>
        <w:tc>
          <w:tcPr>
            <w:tcW w:w="1417" w:type="dxa"/>
            <w:tcBorders>
              <w:top w:val="single" w:sz="4" w:space="0" w:color="auto"/>
              <w:left w:val="single" w:sz="4" w:space="0" w:color="auto"/>
              <w:bottom w:val="single" w:sz="4" w:space="0" w:color="auto"/>
              <w:right w:val="single" w:sz="4" w:space="0" w:color="auto"/>
            </w:tcBorders>
          </w:tcPr>
          <w:p w14:paraId="0659D15E" w14:textId="77777777" w:rsidR="008B1C85" w:rsidRPr="00134608" w:rsidRDefault="008B1C85" w:rsidP="00134608">
            <w:pPr>
              <w:pStyle w:val="Tabletext"/>
              <w:jc w:val="center"/>
            </w:pPr>
            <w:r w:rsidRPr="00134608">
              <w:t>16.7785</w:t>
            </w:r>
          </w:p>
        </w:tc>
        <w:tc>
          <w:tcPr>
            <w:tcW w:w="1417" w:type="dxa"/>
            <w:tcBorders>
              <w:top w:val="single" w:sz="4" w:space="0" w:color="auto"/>
              <w:left w:val="single" w:sz="4" w:space="0" w:color="auto"/>
              <w:bottom w:val="single" w:sz="4" w:space="0" w:color="auto"/>
              <w:right w:val="single" w:sz="4" w:space="0" w:color="auto"/>
            </w:tcBorders>
          </w:tcPr>
          <w:p w14:paraId="3EC1CA41" w14:textId="77777777" w:rsidR="008B1C85" w:rsidRPr="00134608" w:rsidRDefault="008B1C85" w:rsidP="00134608">
            <w:pPr>
              <w:pStyle w:val="Tabletext"/>
              <w:jc w:val="center"/>
            </w:pPr>
            <w:r w:rsidRPr="00134608">
              <w:t>3,691</w:t>
            </w:r>
          </w:p>
        </w:tc>
        <w:tc>
          <w:tcPr>
            <w:tcW w:w="1418" w:type="dxa"/>
            <w:tcBorders>
              <w:top w:val="single" w:sz="4" w:space="0" w:color="auto"/>
              <w:left w:val="single" w:sz="4" w:space="0" w:color="auto"/>
              <w:bottom w:val="single" w:sz="4" w:space="0" w:color="auto"/>
              <w:right w:val="single" w:sz="4" w:space="0" w:color="auto"/>
            </w:tcBorders>
          </w:tcPr>
          <w:p w14:paraId="2B7907EA" w14:textId="77777777" w:rsidR="008B1C85" w:rsidRPr="00134608" w:rsidRDefault="008B1C85" w:rsidP="00134608">
            <w:pPr>
              <w:pStyle w:val="Tabletext"/>
              <w:jc w:val="center"/>
            </w:pPr>
            <w:r w:rsidRPr="00134608">
              <w:t>331,878</w:t>
            </w:r>
          </w:p>
        </w:tc>
        <w:tc>
          <w:tcPr>
            <w:tcW w:w="1418" w:type="dxa"/>
            <w:tcBorders>
              <w:top w:val="single" w:sz="4" w:space="0" w:color="auto"/>
              <w:left w:val="single" w:sz="4" w:space="0" w:color="auto"/>
              <w:bottom w:val="single" w:sz="4" w:space="0" w:color="auto"/>
              <w:right w:val="single" w:sz="4" w:space="0" w:color="auto"/>
            </w:tcBorders>
          </w:tcPr>
          <w:p w14:paraId="5D316FDA" w14:textId="77777777" w:rsidR="008B1C85" w:rsidRPr="00134608" w:rsidRDefault="008B1C85" w:rsidP="00134608">
            <w:pPr>
              <w:pStyle w:val="Tabletext"/>
              <w:jc w:val="center"/>
            </w:pPr>
            <w:r w:rsidRPr="00134608">
              <w:t>4</w:t>
            </w:r>
          </w:p>
        </w:tc>
        <w:tc>
          <w:tcPr>
            <w:tcW w:w="1978" w:type="dxa"/>
            <w:tcBorders>
              <w:top w:val="single" w:sz="4" w:space="0" w:color="auto"/>
              <w:left w:val="single" w:sz="4" w:space="0" w:color="auto"/>
              <w:bottom w:val="single" w:sz="4" w:space="0" w:color="auto"/>
              <w:right w:val="single" w:sz="4" w:space="0" w:color="auto"/>
            </w:tcBorders>
          </w:tcPr>
          <w:p w14:paraId="4C9CE1D9" w14:textId="77777777" w:rsidR="008B1C85" w:rsidRPr="00134608" w:rsidRDefault="008B1C85" w:rsidP="00134608">
            <w:pPr>
              <w:pStyle w:val="Tabletext"/>
              <w:jc w:val="center"/>
            </w:pPr>
            <w:r w:rsidRPr="00134608">
              <w:t>0%</w:t>
            </w:r>
          </w:p>
        </w:tc>
      </w:tr>
      <w:tr w:rsidR="008B1C85" w14:paraId="1CA0D1AD" w14:textId="77777777" w:rsidTr="008B1C85">
        <w:tc>
          <w:tcPr>
            <w:tcW w:w="1413" w:type="dxa"/>
            <w:tcBorders>
              <w:top w:val="single" w:sz="4" w:space="0" w:color="auto"/>
              <w:left w:val="single" w:sz="4" w:space="0" w:color="auto"/>
              <w:bottom w:val="single" w:sz="4" w:space="0" w:color="auto"/>
              <w:right w:val="single" w:sz="4" w:space="0" w:color="auto"/>
            </w:tcBorders>
          </w:tcPr>
          <w:p w14:paraId="1238009F" w14:textId="77777777" w:rsidR="008B1C85" w:rsidRPr="00134608" w:rsidRDefault="008B1C85" w:rsidP="00134608">
            <w:pPr>
              <w:pStyle w:val="Tabletext"/>
            </w:pPr>
            <w:r w:rsidRPr="00134608">
              <w:t>Strategy 5</w:t>
            </w:r>
          </w:p>
        </w:tc>
        <w:tc>
          <w:tcPr>
            <w:tcW w:w="1417" w:type="dxa"/>
            <w:tcBorders>
              <w:top w:val="single" w:sz="4" w:space="0" w:color="auto"/>
              <w:left w:val="single" w:sz="4" w:space="0" w:color="auto"/>
              <w:bottom w:val="single" w:sz="4" w:space="0" w:color="auto"/>
              <w:right w:val="single" w:sz="4" w:space="0" w:color="auto"/>
            </w:tcBorders>
          </w:tcPr>
          <w:p w14:paraId="097C8658" w14:textId="77777777" w:rsidR="008B1C85" w:rsidRPr="00134608" w:rsidRDefault="008B1C85" w:rsidP="00134608">
            <w:pPr>
              <w:pStyle w:val="Tabletext"/>
              <w:jc w:val="center"/>
            </w:pPr>
            <w:r w:rsidRPr="00134608">
              <w:t>16.7784</w:t>
            </w:r>
          </w:p>
        </w:tc>
        <w:tc>
          <w:tcPr>
            <w:tcW w:w="1417" w:type="dxa"/>
            <w:tcBorders>
              <w:top w:val="single" w:sz="4" w:space="0" w:color="auto"/>
              <w:left w:val="single" w:sz="4" w:space="0" w:color="auto"/>
              <w:bottom w:val="single" w:sz="4" w:space="0" w:color="auto"/>
              <w:right w:val="single" w:sz="4" w:space="0" w:color="auto"/>
            </w:tcBorders>
          </w:tcPr>
          <w:p w14:paraId="093A8263" w14:textId="77777777" w:rsidR="008B1C85" w:rsidRPr="00134608" w:rsidRDefault="008B1C85" w:rsidP="00134608">
            <w:pPr>
              <w:pStyle w:val="Tabletext"/>
              <w:jc w:val="center"/>
            </w:pPr>
            <w:r w:rsidRPr="00134608">
              <w:t>3,686</w:t>
            </w:r>
          </w:p>
        </w:tc>
        <w:tc>
          <w:tcPr>
            <w:tcW w:w="1418" w:type="dxa"/>
            <w:tcBorders>
              <w:top w:val="single" w:sz="4" w:space="0" w:color="auto"/>
              <w:left w:val="single" w:sz="4" w:space="0" w:color="auto"/>
              <w:bottom w:val="single" w:sz="4" w:space="0" w:color="auto"/>
              <w:right w:val="single" w:sz="4" w:space="0" w:color="auto"/>
            </w:tcBorders>
          </w:tcPr>
          <w:p w14:paraId="24A8CE15" w14:textId="77777777" w:rsidR="008B1C85" w:rsidRPr="00134608" w:rsidRDefault="008B1C85" w:rsidP="00134608">
            <w:pPr>
              <w:pStyle w:val="Tabletext"/>
              <w:jc w:val="center"/>
            </w:pPr>
            <w:r w:rsidRPr="00134608">
              <w:t>331,881</w:t>
            </w:r>
          </w:p>
        </w:tc>
        <w:tc>
          <w:tcPr>
            <w:tcW w:w="1418" w:type="dxa"/>
            <w:tcBorders>
              <w:top w:val="single" w:sz="4" w:space="0" w:color="auto"/>
              <w:left w:val="single" w:sz="4" w:space="0" w:color="auto"/>
              <w:bottom w:val="single" w:sz="4" w:space="0" w:color="auto"/>
              <w:right w:val="single" w:sz="4" w:space="0" w:color="auto"/>
            </w:tcBorders>
          </w:tcPr>
          <w:p w14:paraId="7AF6C55B" w14:textId="77777777" w:rsidR="008B1C85" w:rsidRPr="00134608" w:rsidRDefault="008B1C85" w:rsidP="00134608">
            <w:pPr>
              <w:pStyle w:val="Tabletext"/>
              <w:jc w:val="center"/>
            </w:pPr>
            <w:r w:rsidRPr="00134608">
              <w:t>2</w:t>
            </w:r>
          </w:p>
        </w:tc>
        <w:tc>
          <w:tcPr>
            <w:tcW w:w="1978" w:type="dxa"/>
            <w:tcBorders>
              <w:top w:val="single" w:sz="4" w:space="0" w:color="auto"/>
              <w:left w:val="single" w:sz="4" w:space="0" w:color="auto"/>
              <w:bottom w:val="single" w:sz="4" w:space="0" w:color="auto"/>
              <w:right w:val="single" w:sz="4" w:space="0" w:color="auto"/>
            </w:tcBorders>
          </w:tcPr>
          <w:p w14:paraId="67FE2A12" w14:textId="77777777" w:rsidR="008B1C85" w:rsidRPr="00134608" w:rsidRDefault="008B1C85" w:rsidP="00134608">
            <w:pPr>
              <w:pStyle w:val="Tabletext"/>
              <w:jc w:val="center"/>
            </w:pPr>
            <w:r w:rsidRPr="00134608">
              <w:t>23%</w:t>
            </w:r>
          </w:p>
        </w:tc>
      </w:tr>
      <w:tr w:rsidR="008B1C85" w14:paraId="730882B8" w14:textId="77777777" w:rsidTr="008B1C85">
        <w:tc>
          <w:tcPr>
            <w:tcW w:w="1413" w:type="dxa"/>
            <w:tcBorders>
              <w:top w:val="single" w:sz="4" w:space="0" w:color="auto"/>
              <w:left w:val="single" w:sz="4" w:space="0" w:color="auto"/>
              <w:bottom w:val="single" w:sz="4" w:space="0" w:color="auto"/>
              <w:right w:val="single" w:sz="4" w:space="0" w:color="auto"/>
            </w:tcBorders>
          </w:tcPr>
          <w:p w14:paraId="6098AB38" w14:textId="77777777" w:rsidR="008B1C85" w:rsidRPr="00134608" w:rsidRDefault="008B1C85" w:rsidP="00134608">
            <w:pPr>
              <w:pStyle w:val="Tabletext"/>
            </w:pPr>
            <w:r w:rsidRPr="00134608">
              <w:t>Strategy 6</w:t>
            </w:r>
          </w:p>
        </w:tc>
        <w:tc>
          <w:tcPr>
            <w:tcW w:w="1417" w:type="dxa"/>
            <w:tcBorders>
              <w:top w:val="single" w:sz="4" w:space="0" w:color="auto"/>
              <w:left w:val="single" w:sz="4" w:space="0" w:color="auto"/>
              <w:bottom w:val="single" w:sz="4" w:space="0" w:color="auto"/>
              <w:right w:val="single" w:sz="4" w:space="0" w:color="auto"/>
            </w:tcBorders>
          </w:tcPr>
          <w:p w14:paraId="5BED6739" w14:textId="77777777" w:rsidR="008B1C85" w:rsidRPr="00134608" w:rsidRDefault="008B1C85" w:rsidP="00134608">
            <w:pPr>
              <w:pStyle w:val="Tabletext"/>
              <w:jc w:val="center"/>
            </w:pPr>
            <w:r w:rsidRPr="00134608">
              <w:t>16.7787</w:t>
            </w:r>
          </w:p>
        </w:tc>
        <w:tc>
          <w:tcPr>
            <w:tcW w:w="1417" w:type="dxa"/>
            <w:tcBorders>
              <w:top w:val="single" w:sz="4" w:space="0" w:color="auto"/>
              <w:left w:val="single" w:sz="4" w:space="0" w:color="auto"/>
              <w:bottom w:val="single" w:sz="4" w:space="0" w:color="auto"/>
              <w:right w:val="single" w:sz="4" w:space="0" w:color="auto"/>
            </w:tcBorders>
          </w:tcPr>
          <w:p w14:paraId="3D9DD46B" w14:textId="77777777" w:rsidR="008B1C85" w:rsidRPr="00134608" w:rsidRDefault="008B1C85" w:rsidP="00134608">
            <w:pPr>
              <w:pStyle w:val="Tabletext"/>
              <w:jc w:val="center"/>
            </w:pPr>
            <w:r w:rsidRPr="00134608">
              <w:t>3,695</w:t>
            </w:r>
          </w:p>
        </w:tc>
        <w:tc>
          <w:tcPr>
            <w:tcW w:w="1418" w:type="dxa"/>
            <w:tcBorders>
              <w:top w:val="single" w:sz="4" w:space="0" w:color="auto"/>
              <w:left w:val="single" w:sz="4" w:space="0" w:color="auto"/>
              <w:bottom w:val="single" w:sz="4" w:space="0" w:color="auto"/>
              <w:right w:val="single" w:sz="4" w:space="0" w:color="auto"/>
            </w:tcBorders>
          </w:tcPr>
          <w:p w14:paraId="6AEAD71F" w14:textId="77777777" w:rsidR="008B1C85" w:rsidRPr="00134608" w:rsidRDefault="008B1C85" w:rsidP="00134608">
            <w:pPr>
              <w:pStyle w:val="Tabletext"/>
              <w:jc w:val="center"/>
            </w:pPr>
            <w:r w:rsidRPr="00134608">
              <w:t>331,879</w:t>
            </w:r>
          </w:p>
        </w:tc>
        <w:tc>
          <w:tcPr>
            <w:tcW w:w="1418" w:type="dxa"/>
            <w:tcBorders>
              <w:top w:val="single" w:sz="4" w:space="0" w:color="auto"/>
              <w:left w:val="single" w:sz="4" w:space="0" w:color="auto"/>
              <w:bottom w:val="single" w:sz="4" w:space="0" w:color="auto"/>
              <w:right w:val="single" w:sz="4" w:space="0" w:color="auto"/>
            </w:tcBorders>
          </w:tcPr>
          <w:p w14:paraId="4E4BC0B0" w14:textId="77777777" w:rsidR="008B1C85" w:rsidRPr="00134608" w:rsidRDefault="008B1C85" w:rsidP="00134608">
            <w:pPr>
              <w:pStyle w:val="Tabletext"/>
              <w:jc w:val="center"/>
            </w:pPr>
            <w:r w:rsidRPr="00134608">
              <w:t>3</w:t>
            </w:r>
          </w:p>
        </w:tc>
        <w:tc>
          <w:tcPr>
            <w:tcW w:w="1978" w:type="dxa"/>
            <w:tcBorders>
              <w:top w:val="single" w:sz="4" w:space="0" w:color="auto"/>
              <w:left w:val="single" w:sz="4" w:space="0" w:color="auto"/>
              <w:bottom w:val="single" w:sz="4" w:space="0" w:color="auto"/>
              <w:right w:val="single" w:sz="4" w:space="0" w:color="auto"/>
            </w:tcBorders>
          </w:tcPr>
          <w:p w14:paraId="4B2C06AA" w14:textId="77777777" w:rsidR="008B1C85" w:rsidRPr="00134608" w:rsidRDefault="008B1C85" w:rsidP="00134608">
            <w:pPr>
              <w:pStyle w:val="Tabletext"/>
              <w:jc w:val="center"/>
            </w:pPr>
            <w:r w:rsidRPr="00134608">
              <w:t>8%</w:t>
            </w:r>
          </w:p>
        </w:tc>
      </w:tr>
    </w:tbl>
    <w:p w14:paraId="288BBA51" w14:textId="77777777" w:rsidR="008B1C85" w:rsidRDefault="008B1C85" w:rsidP="008B1C85">
      <w:pPr>
        <w:pStyle w:val="08Tablefootnotes"/>
      </w:pPr>
      <w:r>
        <w:t>Source: NCGC (2016), Table 56</w:t>
      </w:r>
    </w:p>
    <w:p w14:paraId="13777771" w14:textId="77777777" w:rsidR="008B1C85" w:rsidRDefault="008B1C85" w:rsidP="008B1C85">
      <w:pPr>
        <w:pStyle w:val="09Tablefootnoteslast-nostick"/>
        <w:keepNext/>
      </w:pPr>
      <w:r>
        <w:t xml:space="preserve">Abbreviations: CE, cost-effectiveness; NCGC, </w:t>
      </w:r>
      <w:r w:rsidRPr="009836BC">
        <w:t>Nat</w:t>
      </w:r>
      <w:r>
        <w:t>ional Clinical Guideline Centre; NMB, net monetary benefit; QALY, quality-adjusted life years.</w:t>
      </w:r>
    </w:p>
    <w:p w14:paraId="692DDE80" w14:textId="77777777" w:rsidR="008B1C85" w:rsidRPr="00FE05D1" w:rsidRDefault="008B1C85" w:rsidP="008B1C85">
      <w:r>
        <w:t xml:space="preserve">The NCGC guideline stated that an economic model was not feasible for children; however, the </w:t>
      </w:r>
      <w:r w:rsidRPr="00FE05D1">
        <w:t>unit cost of performing spirometry (with and without bronchodilator reversibility testing) was determined for children (see</w:t>
      </w:r>
      <w:r w:rsidR="00262F3B">
        <w:t xml:space="preserve"> Appendix 10.1</w:t>
      </w:r>
      <w:r w:rsidRPr="00FE05D1">
        <w:t>). The GDG acknowledged the high annual cost of drugs for the management of asthma in children; preventing these costs from occurring in children without asthma would be a large benefit derived from a diagnostic strategy with a high specificity.</w:t>
      </w:r>
    </w:p>
    <w:p w14:paraId="1FBDB409" w14:textId="77777777" w:rsidR="008B1C85" w:rsidRPr="00FE05D1" w:rsidRDefault="008B1C85" w:rsidP="008B1C85">
      <w:pPr>
        <w:rPr>
          <w:i/>
        </w:rPr>
      </w:pPr>
      <w:r w:rsidRPr="00FE05D1">
        <w:rPr>
          <w:i/>
        </w:rPr>
        <w:t>Note that the most recent NCGC guideline on the management of COPD included a systematic review and the development of an economic model to evaluate the cost-effectiveness of opportunistic case-finding using spirometry linked to smoking cessation therapy (NCGC, 2010). This model is not relevant to this MBS Review and will not be discussed further.</w:t>
      </w:r>
    </w:p>
    <w:p w14:paraId="4BB08773" w14:textId="77777777" w:rsidR="008B1C85" w:rsidRPr="00FE05D1" w:rsidRDefault="00262F3B" w:rsidP="008B1C85">
      <w:pPr>
        <w:pStyle w:val="AttHeading2"/>
      </w:pPr>
      <w:bookmarkStart w:id="369" w:name="_Toc456613617"/>
      <w:r>
        <w:t xml:space="preserve">2.8 </w:t>
      </w:r>
      <w:r w:rsidR="008B1C85" w:rsidRPr="00FE05D1">
        <w:t>What is the evidence that an increase in spirometry service fees (a) increases the number of accurate diagnoses of asthma or COPD in people presenting with respiratory symptoms, and (b) improves health outcomes?</w:t>
      </w:r>
      <w:bookmarkEnd w:id="369"/>
    </w:p>
    <w:p w14:paraId="4E4919DF" w14:textId="77777777" w:rsidR="008B1C85" w:rsidRPr="00FE05D1" w:rsidRDefault="008B1C85" w:rsidP="008B1C85">
      <w:r w:rsidRPr="00FE05D1">
        <w:t>No systematic reviews or HTAs were identified that address this research question.</w:t>
      </w:r>
    </w:p>
    <w:p w14:paraId="65726AB5" w14:textId="77777777" w:rsidR="008B1C85" w:rsidRPr="00FE05D1" w:rsidRDefault="00262F3B" w:rsidP="008B1C85">
      <w:pPr>
        <w:pStyle w:val="AttHeading2"/>
      </w:pPr>
      <w:bookmarkStart w:id="370" w:name="_Toc456613618"/>
      <w:r>
        <w:t xml:space="preserve">2.9 </w:t>
      </w:r>
      <w:r w:rsidR="008B1C85" w:rsidRPr="00FE05D1">
        <w:t>What is the evidence that financial incentives for performing spirometry over and above a fee for service (a) increases the number of accurate diagnoses of asthma or COPD in people presenting with respiratory symptoms, and (b) improves health outcomes?</w:t>
      </w:r>
      <w:bookmarkEnd w:id="370"/>
    </w:p>
    <w:p w14:paraId="717494C4" w14:textId="77777777" w:rsidR="008B1C85" w:rsidRPr="00FE05D1" w:rsidRDefault="008B1C85" w:rsidP="008B1C85">
      <w:r w:rsidRPr="00FE05D1">
        <w:t xml:space="preserve">No systematic reviews or HTAs were identified that specifically address this research question. However, one recent systematic review (Langdown and Peckham 2014) was identified that examined the evidence on the efficacy of the UK Quality and Outcomes Framework (QOF) for improving health outcomes, its impact on non-incentivised activities, and the robustness of the clinical targets adopted in the scheme. </w:t>
      </w:r>
    </w:p>
    <w:p w14:paraId="207C1C70" w14:textId="2B393BAB" w:rsidR="008B1C85" w:rsidRPr="00CB35E8" w:rsidRDefault="008B1C85" w:rsidP="008B1C85">
      <w:r w:rsidRPr="00FE05D1">
        <w:t xml:space="preserve">The QOF is a pay-for-performance scheme that was introduced in the UK in 2004 as part of a new GP contract that aimed to focus on quality and outcomes, incentivising practices to achieve higher </w:t>
      </w:r>
      <w:r w:rsidRPr="00FE05D1">
        <w:lastRenderedPageBreak/>
        <w:t>standards of quality care</w:t>
      </w:r>
      <w:r>
        <w:t>. It provides GPs an opportunity to increase practice income through a points-based system, which are awarded when a range of indicators are met, subject to attaining a minimum and maximum level of thresholds and targets. Indicators are based on three different domains (‘Clinical’, ‘Public Health’, ‘Public Health–Additional Services’), with a maximum number of points available across the domains, which determine the amount each practice is paid. In the 2014-15 contract, the maximum number of points that could be achieved was 559. COPD and asthma are included as two separate ‘C</w:t>
      </w:r>
      <w:r w:rsidRPr="00927D5B">
        <w:t>linical</w:t>
      </w:r>
      <w:r>
        <w:t>’</w:t>
      </w:r>
      <w:r w:rsidRPr="00927D5B">
        <w:t xml:space="preserve"> domain</w:t>
      </w:r>
      <w:r>
        <w:t>s</w:t>
      </w:r>
      <w:r w:rsidRPr="00927D5B">
        <w:t xml:space="preserve"> within the respiratory group</w:t>
      </w:r>
      <w:r w:rsidRPr="00CB35E8">
        <w:t>. Asthma clinical indicators attract a total of 43 points, of wh</w:t>
      </w:r>
      <w:r w:rsidRPr="00FB751B">
        <w:t>ich 15 are</w:t>
      </w:r>
      <w:r w:rsidRPr="00CB35E8">
        <w:t xml:space="preserve"> available for measures of variability or reversibility</w:t>
      </w:r>
      <w:r>
        <w:t xml:space="preserve"> for initial diagnosis</w:t>
      </w:r>
      <w:r w:rsidRPr="00CB35E8">
        <w:t>. For COPD, 35 points are available, 12 for a diagnosis confirmed by post-bronchodilator spirometry and a record of FEV</w:t>
      </w:r>
      <w:r w:rsidRPr="00CB35E8">
        <w:rPr>
          <w:vertAlign w:val="subscript"/>
        </w:rPr>
        <w:t>1</w:t>
      </w:r>
      <w:r w:rsidRPr="00CB35E8">
        <w:t xml:space="preserve"> in the previous 12 months</w:t>
      </w:r>
      <w:r>
        <w:t xml:space="preserve"> (see </w:t>
      </w:r>
      <w:r>
        <w:fldChar w:fldCharType="begin"/>
      </w:r>
      <w:r>
        <w:instrText xml:space="preserve"> REF _Ref442798678 \n \h </w:instrText>
      </w:r>
      <w:r>
        <w:fldChar w:fldCharType="separate"/>
      </w:r>
      <w:r w:rsidR="00F2203C">
        <w:t>0</w:t>
      </w:r>
      <w:r>
        <w:fldChar w:fldCharType="end"/>
      </w:r>
      <w:r>
        <w:t xml:space="preserve"> for further details of the indicators)</w:t>
      </w:r>
      <w:r w:rsidRPr="00CB35E8">
        <w:t>.</w:t>
      </w:r>
    </w:p>
    <w:p w14:paraId="545BCAA1" w14:textId="77777777" w:rsidR="008B1C85" w:rsidRDefault="008B1C85" w:rsidP="008B1C85">
      <w:pPr>
        <w:pStyle w:val="AttHeading3"/>
      </w:pPr>
      <w:r>
        <w:t>Langdown and Peckham (2014)</w:t>
      </w:r>
    </w:p>
    <w:p w14:paraId="60796970" w14:textId="77777777" w:rsidR="008B1C85" w:rsidRDefault="008B1C85" w:rsidP="00B50F00">
      <w:r w:rsidRPr="00CB35E8">
        <w:t>On the basis of 11 identified studies, Langdown and colleagues</w:t>
      </w:r>
      <w:r>
        <w:t xml:space="preserve"> </w:t>
      </w:r>
      <w:r w:rsidRPr="00643F59">
        <w:t xml:space="preserve">concluded that the UK’s payment incentive scheme has had only a limited impact on improving health outcomes </w:t>
      </w:r>
      <w:r>
        <w:t xml:space="preserve">due to its focus on </w:t>
      </w:r>
      <w:r w:rsidRPr="00643F59">
        <w:t>process-based indicators</w:t>
      </w:r>
      <w:r>
        <w:t>,</w:t>
      </w:r>
      <w:r w:rsidRPr="00643F59">
        <w:t xml:space="preserve"> </w:t>
      </w:r>
      <w:r>
        <w:t xml:space="preserve">the ceiling placed on indicator thresholds, and the sub-optimal clinical targets when compared with the national clinical guidelines </w:t>
      </w:r>
      <w:r w:rsidRPr="00EC1268">
        <w:t xml:space="preserve">(Langdown </w:t>
      </w:r>
      <w:r>
        <w:t xml:space="preserve">et al, </w:t>
      </w:r>
      <w:r w:rsidRPr="00EC1268">
        <w:t>2014)</w:t>
      </w:r>
      <w:r>
        <w:t>.</w:t>
      </w:r>
    </w:p>
    <w:p w14:paraId="2CCEDD8F" w14:textId="77777777" w:rsidR="008B1C85" w:rsidRDefault="008B1C85" w:rsidP="00B50F00">
      <w:r>
        <w:t>Only one of the studies identified by Langdown and colleagues</w:t>
      </w:r>
      <w:r w:rsidRPr="00EC1268">
        <w:t xml:space="preserve"> </w:t>
      </w:r>
      <w:r>
        <w:t>relates to the use of spirometry. Strong et al (</w:t>
      </w:r>
      <w:r w:rsidRPr="00EC1268">
        <w:t>2009)</w:t>
      </w:r>
      <w:r>
        <w:t xml:space="preserve"> assessed the quality of the spirometry measures related to the QOF COPD indicators against the British Thoracic Society standards (BTS, 2005). The study</w:t>
      </w:r>
      <w:r w:rsidRPr="00BA66F5">
        <w:t xml:space="preserve"> obtained </w:t>
      </w:r>
      <w:r>
        <w:t xml:space="preserve">data </w:t>
      </w:r>
      <w:r w:rsidRPr="00BA66F5">
        <w:t>from the records of 3,217 patients randomly sampled from 5,649 patients with COPD in 38 general practices in Rotherham, UK</w:t>
      </w:r>
      <w:r>
        <w:t xml:space="preserve"> in the period between October 2006 and February 2007.</w:t>
      </w:r>
    </w:p>
    <w:p w14:paraId="171671B2" w14:textId="77777777" w:rsidR="008B1C85" w:rsidRDefault="008B1C85" w:rsidP="00B50F00">
      <w:r>
        <w:t>P</w:t>
      </w:r>
      <w:r w:rsidRPr="00814C49">
        <w:t>ractices in Rotherham achieved highly against the two QOF indicators that relate</w:t>
      </w:r>
      <w:r>
        <w:t>d to spirometry. The COPD</w:t>
      </w:r>
      <w:r w:rsidRPr="00814C49">
        <w:t>9 c</w:t>
      </w:r>
      <w:r>
        <w:t>riteria (which recorded</w:t>
      </w:r>
      <w:r w:rsidRPr="00EC1268">
        <w:t xml:space="preserve"> the proportion of all patients with COPD in whom diagnosis has been confirmed by spirometry including reversibility testing</w:t>
      </w:r>
      <w:r>
        <w:t>) was met for 97.4% of the patient</w:t>
      </w:r>
      <w:r w:rsidRPr="00814C49">
        <w:t>s on t</w:t>
      </w:r>
      <w:r>
        <w:t>he COPD registers, and the COPD</w:t>
      </w:r>
      <w:r w:rsidRPr="00814C49">
        <w:t xml:space="preserve">10 criteria </w:t>
      </w:r>
      <w:r>
        <w:t>(which recorded</w:t>
      </w:r>
      <w:r w:rsidRPr="00EC1268">
        <w:t xml:space="preserve"> the proportion of patients in whom there is a record of</w:t>
      </w:r>
      <w:r>
        <w:t xml:space="preserve"> FEV</w:t>
      </w:r>
      <w:r w:rsidRPr="0047549F">
        <w:rPr>
          <w:vertAlign w:val="subscript"/>
        </w:rPr>
        <w:t>1</w:t>
      </w:r>
      <w:r>
        <w:t xml:space="preserve"> in the previous 15 months) was met for 89.5% of patients.</w:t>
      </w:r>
      <w:r>
        <w:rPr>
          <w:rStyle w:val="FootnoteReference"/>
        </w:rPr>
        <w:footnoteReference w:id="24"/>
      </w:r>
      <w:r>
        <w:t xml:space="preserve"> However, t</w:t>
      </w:r>
      <w:r w:rsidRPr="00BA66F5">
        <w:t xml:space="preserve">he proportion of patients whose spirometry met BTS standards </w:t>
      </w:r>
      <w:r>
        <w:t xml:space="preserve">(defined as three consistent readings </w:t>
      </w:r>
      <w:r w:rsidRPr="00F51C88">
        <w:t>of which the best two are within 100</w:t>
      </w:r>
      <w:r>
        <w:t xml:space="preserve"> mL</w:t>
      </w:r>
      <w:r w:rsidRPr="00F51C88">
        <w:t>, or 5%, of each other</w:t>
      </w:r>
      <w:r>
        <w:t xml:space="preserve"> ) </w:t>
      </w:r>
      <w:r w:rsidRPr="00BA66F5">
        <w:t xml:space="preserve">was </w:t>
      </w:r>
      <w:r>
        <w:t>only 31%. Furthermore, 12% of patients on the COPD register had an FEV</w:t>
      </w:r>
      <w:r w:rsidRPr="00C667C0">
        <w:rPr>
          <w:vertAlign w:val="subscript"/>
        </w:rPr>
        <w:t>1</w:t>
      </w:r>
      <w:r>
        <w:t xml:space="preserve"> (% predicted) that did not support the diagnosis of COPD according to NICE guidelines</w:t>
      </w:r>
      <w:r w:rsidRPr="00BA66F5">
        <w:t>.</w:t>
      </w:r>
    </w:p>
    <w:p w14:paraId="53147CB9" w14:textId="77777777" w:rsidR="008B1C85" w:rsidRDefault="008B1C85" w:rsidP="00B50F00">
      <w:r>
        <w:t>Strong and colleagues concluded that there was no association between quality measured by BTS standards and the achievement of QOF COPD indicators (previously known as COPD9 and COPD10), and that “the QOF assesses the quantity rather than the quality of spirometry”.</w:t>
      </w:r>
    </w:p>
    <w:p w14:paraId="5401B4D9" w14:textId="77777777" w:rsidR="008B1C85" w:rsidRDefault="008B1C85" w:rsidP="00B50F00">
      <w:r>
        <w:lastRenderedPageBreak/>
        <w:t>Support for an increase in the quantity of spirometry comes from a large general population-based study that showed that the recording of spirometry data increased markedly after the introduction of the 2003 QOF contract and 2004 NICE guidance (from 18% in 2003 to 62% in 2005) (Smith et al, 2008). The same study showed an increase in prescribing of combination inhalers to people with moderate to severe COPD. The extent to which these changes can be attributed to the QOF contract is unclear.</w:t>
      </w:r>
    </w:p>
    <w:p w14:paraId="6083DB65" w14:textId="62A8C229" w:rsidR="008B1C85" w:rsidRDefault="008B1C85" w:rsidP="00B50F00">
      <w:r>
        <w:t xml:space="preserve">Of note, there have been substantial changes to the COPD indicators relating to spirometry following the 2010 release of the NCGC guideline on the management of COPD (see </w:t>
      </w:r>
      <w:r>
        <w:rPr>
          <w:highlight w:val="yellow"/>
        </w:rPr>
        <w:fldChar w:fldCharType="begin"/>
      </w:r>
      <w:r>
        <w:instrText xml:space="preserve"> REF _Ref442798678 \n \h </w:instrText>
      </w:r>
      <w:r>
        <w:rPr>
          <w:highlight w:val="yellow"/>
        </w:rPr>
        <w:instrText xml:space="preserve"> \* MERGEFORMAT </w:instrText>
      </w:r>
      <w:r>
        <w:rPr>
          <w:highlight w:val="yellow"/>
        </w:rPr>
      </w:r>
      <w:r>
        <w:rPr>
          <w:highlight w:val="yellow"/>
        </w:rPr>
        <w:fldChar w:fldCharType="separate"/>
      </w:r>
      <w:r w:rsidR="00F2203C">
        <w:t>0</w:t>
      </w:r>
      <w:r>
        <w:rPr>
          <w:highlight w:val="yellow"/>
        </w:rPr>
        <w:fldChar w:fldCharType="end"/>
      </w:r>
      <w:r>
        <w:t xml:space="preserve"> for 2014-15 QOF indicators). In 2013 the NHS requested that NICE review the indicators within the clinical and public health domains of the QOF in order to retire and amend a significant number of indicators.</w:t>
      </w:r>
      <w:r>
        <w:rPr>
          <w:rStyle w:val="FootnoteReference"/>
        </w:rPr>
        <w:footnoteReference w:id="25"/>
      </w:r>
      <w:r>
        <w:t xml:space="preserve"> </w:t>
      </w:r>
      <w:r w:rsidRPr="0041464D">
        <w:t xml:space="preserve">The impact of these amendments on improving the quality of care </w:t>
      </w:r>
      <w:r>
        <w:t xml:space="preserve">for patients with asthma and COPD </w:t>
      </w:r>
      <w:r w:rsidRPr="0041464D">
        <w:t>remains unknown.</w:t>
      </w:r>
    </w:p>
    <w:p w14:paraId="3D84A77B" w14:textId="77777777" w:rsidR="008B1C85" w:rsidRPr="00FE05D1" w:rsidRDefault="000C71FB" w:rsidP="008B1C85">
      <w:pPr>
        <w:pStyle w:val="AttHeading2"/>
      </w:pPr>
      <w:bookmarkStart w:id="371" w:name="_Toc456613619"/>
      <w:r>
        <w:t xml:space="preserve">2.10 </w:t>
      </w:r>
      <w:r w:rsidR="008B1C85" w:rsidRPr="00FE05D1">
        <w:t>What is the evidence that introduction of an outcome based payment model that links provider payment to accurate diagnosis of asthma or COPD (a) increases the number of accurate diagnoses of asthma or COPD in people presenting with respiratory symptoms, and (b) improves health outcomes?</w:t>
      </w:r>
      <w:bookmarkEnd w:id="371"/>
    </w:p>
    <w:p w14:paraId="2519E1D7" w14:textId="77777777" w:rsidR="008B1C85" w:rsidRDefault="008B1C85" w:rsidP="008B1C85">
      <w:pPr>
        <w:sectPr w:rsidR="008B1C85" w:rsidSect="008B1C85">
          <w:pgSz w:w="11906" w:h="16838" w:code="9"/>
          <w:pgMar w:top="1134" w:right="1134" w:bottom="1701" w:left="1701" w:header="567" w:footer="567" w:gutter="0"/>
          <w:cols w:space="708"/>
          <w:docGrid w:linePitch="360"/>
        </w:sectPr>
      </w:pPr>
      <w:r w:rsidRPr="00EA25A1">
        <w:t xml:space="preserve">No </w:t>
      </w:r>
      <w:r>
        <w:t>systematic reviews or HTAs were</w:t>
      </w:r>
      <w:r w:rsidRPr="00EA25A1">
        <w:t xml:space="preserve"> identified that a</w:t>
      </w:r>
      <w:r>
        <w:t>ddress</w:t>
      </w:r>
      <w:r w:rsidRPr="00EA25A1">
        <w:t xml:space="preserve"> </w:t>
      </w:r>
      <w:r>
        <w:t>this research question</w:t>
      </w:r>
      <w:r w:rsidRPr="00EA25A1">
        <w:t>.</w:t>
      </w:r>
    </w:p>
    <w:p w14:paraId="6CF9CBDF" w14:textId="77777777" w:rsidR="008B1C85" w:rsidRDefault="00C23923" w:rsidP="008B1C85">
      <w:pPr>
        <w:pStyle w:val="AttHeading2"/>
      </w:pPr>
      <w:bookmarkStart w:id="372" w:name="_Toc456613620"/>
      <w:r>
        <w:lastRenderedPageBreak/>
        <w:t xml:space="preserve">2.11 </w:t>
      </w:r>
      <w:r w:rsidR="008B1C85">
        <w:t>Summary of Findings</w:t>
      </w:r>
      <w:bookmarkEnd w:id="372"/>
    </w:p>
    <w:p w14:paraId="460F10E3" w14:textId="77777777" w:rsidR="008B1C85" w:rsidRPr="00A0517F" w:rsidRDefault="008B1C85" w:rsidP="00B50F00">
      <w:pPr>
        <w:pStyle w:val="Boxedheadingtext"/>
      </w:pPr>
      <w:r w:rsidRPr="00A0517F">
        <w:t>Q1) Does the use of spirometry improve diagnostic accuracy and health outcomes in people presenting with respiratory symptoms?</w:t>
      </w:r>
    </w:p>
    <w:p w14:paraId="4B07BD70" w14:textId="77777777" w:rsidR="00D56F93" w:rsidRDefault="008B1C85" w:rsidP="009E6EE1">
      <w:pPr>
        <w:pStyle w:val="ListParagraph"/>
        <w:numPr>
          <w:ilvl w:val="0"/>
          <w:numId w:val="16"/>
        </w:numPr>
      </w:pPr>
      <w:r>
        <w:t>Very low to moderate quality evidence suggests that high-quality spirometry may reduce rates of under-</w:t>
      </w:r>
      <w:r w:rsidRPr="00B50F00">
        <w:t>diagnosis</w:t>
      </w:r>
      <w:r>
        <w:t xml:space="preserve"> and misdiagnosis of asthma, COPD and other </w:t>
      </w:r>
      <w:r w:rsidRPr="00941482">
        <w:t>causes of airflow limitation</w:t>
      </w:r>
      <w:r>
        <w:t>.</w:t>
      </w:r>
      <w:r w:rsidR="00D56F93" w:rsidRPr="00D56F93">
        <w:t xml:space="preserve"> </w:t>
      </w:r>
    </w:p>
    <w:p w14:paraId="02FB5DE3" w14:textId="77777777" w:rsidR="00D56F93" w:rsidRDefault="008B1C85" w:rsidP="009E6EE1">
      <w:pPr>
        <w:pStyle w:val="ListParagraph"/>
        <w:numPr>
          <w:ilvl w:val="0"/>
          <w:numId w:val="16"/>
        </w:numPr>
      </w:pPr>
      <w:r>
        <w:t xml:space="preserve">According to international CPGs, </w:t>
      </w:r>
      <w:r w:rsidRPr="00D56F93">
        <w:rPr>
          <w:b/>
        </w:rPr>
        <w:t>pre-bronchodilator spirometry</w:t>
      </w:r>
      <w:r>
        <w:t xml:space="preserve">, </w:t>
      </w:r>
      <w:r w:rsidRPr="00D56F93">
        <w:rPr>
          <w:b/>
        </w:rPr>
        <w:t>post-bronchodilator spirometry</w:t>
      </w:r>
      <w:r>
        <w:t>, and reversibility testing (</w:t>
      </w:r>
      <w:r w:rsidRPr="00D56F93">
        <w:rPr>
          <w:b/>
        </w:rPr>
        <w:t xml:space="preserve">pre- </w:t>
      </w:r>
      <w:r w:rsidRPr="00D56F93">
        <w:rPr>
          <w:b/>
          <w:i/>
        </w:rPr>
        <w:t>and</w:t>
      </w:r>
      <w:r w:rsidRPr="00D56F93">
        <w:rPr>
          <w:b/>
        </w:rPr>
        <w:t xml:space="preserve"> post-bronchodilator spirometry</w:t>
      </w:r>
      <w:r>
        <w:t xml:space="preserve">) all have a role in the diagnosis of patients </w:t>
      </w:r>
      <w:r w:rsidRPr="00941482">
        <w:t>presenting with respiratory symptoms suggestive of asthma, COPD or other causes of airflow limitation</w:t>
      </w:r>
      <w:r>
        <w:t>.</w:t>
      </w:r>
      <w:r w:rsidR="00D56F93" w:rsidRPr="00D56F93">
        <w:t xml:space="preserve"> </w:t>
      </w:r>
    </w:p>
    <w:p w14:paraId="004D8C09" w14:textId="77777777" w:rsidR="00D56F93" w:rsidRDefault="008B1C85" w:rsidP="009E6EE1">
      <w:pPr>
        <w:pStyle w:val="ListParagraph"/>
        <w:numPr>
          <w:ilvl w:val="0"/>
          <w:numId w:val="16"/>
        </w:numPr>
      </w:pPr>
      <w:r>
        <w:t>On the basis of low quality evidence or consensus, the us</w:t>
      </w:r>
      <w:r w:rsidRPr="00E94848">
        <w:t xml:space="preserve">e of </w:t>
      </w:r>
      <w:r w:rsidRPr="00D56F93">
        <w:rPr>
          <w:b/>
        </w:rPr>
        <w:t>bronchodilator reversibility testing</w:t>
      </w:r>
      <w:r w:rsidRPr="00E94848">
        <w:t xml:space="preserve"> is recommended by international CPGs for the diagnosis of asthma in adults and children (&gt;5 years of age) with evidence of airflow limitation according to </w:t>
      </w:r>
      <w:r w:rsidRPr="00D56F93">
        <w:rPr>
          <w:b/>
        </w:rPr>
        <w:t>pre-bronchodilator spirometry</w:t>
      </w:r>
      <w:r w:rsidRPr="00E94848">
        <w:t>.</w:t>
      </w:r>
      <w:r w:rsidR="00D56F93" w:rsidRPr="00D56F93">
        <w:t xml:space="preserve"> </w:t>
      </w:r>
    </w:p>
    <w:p w14:paraId="3A01DC16" w14:textId="77777777" w:rsidR="00D56F93" w:rsidRDefault="008B1C85" w:rsidP="009E6EE1">
      <w:pPr>
        <w:pStyle w:val="ListParagraph"/>
        <w:numPr>
          <w:ilvl w:val="0"/>
          <w:numId w:val="16"/>
        </w:numPr>
      </w:pPr>
      <w:r w:rsidRPr="00E94848">
        <w:t xml:space="preserve">On the basis of low level evidence or consensus, the use of </w:t>
      </w:r>
      <w:r w:rsidRPr="00D56F93">
        <w:rPr>
          <w:b/>
        </w:rPr>
        <w:t>post-bronchodilator spirometry</w:t>
      </w:r>
      <w:r w:rsidRPr="00E94848">
        <w:t xml:space="preserve"> is recommended by international CPGs for the diagnosis of COPD; however, </w:t>
      </w:r>
      <w:r w:rsidRPr="00D56F93">
        <w:rPr>
          <w:b/>
        </w:rPr>
        <w:t>bronchodilator reversibility testing</w:t>
      </w:r>
      <w:r w:rsidRPr="00E94848">
        <w:t xml:space="preserve"> may have a place where diagnostic doubt remains, or both COPD and asthma are suspected, particularly in elderly p</w:t>
      </w:r>
      <w:r>
        <w:t>atients</w:t>
      </w:r>
      <w:r w:rsidRPr="009A4319">
        <w:t>.</w:t>
      </w:r>
      <w:r w:rsidR="00D56F93" w:rsidRPr="00D56F93">
        <w:t xml:space="preserve"> </w:t>
      </w:r>
    </w:p>
    <w:p w14:paraId="746505E9" w14:textId="77777777" w:rsidR="00D56F93" w:rsidRDefault="008B1C85" w:rsidP="009E6EE1">
      <w:pPr>
        <w:pStyle w:val="ListParagraph"/>
        <w:numPr>
          <w:ilvl w:val="0"/>
          <w:numId w:val="16"/>
        </w:numPr>
      </w:pPr>
      <w:r>
        <w:t xml:space="preserve">Australian CPGs are less clear about a role for </w:t>
      </w:r>
      <w:r w:rsidRPr="00D56F93">
        <w:rPr>
          <w:b/>
        </w:rPr>
        <w:t xml:space="preserve">pre- </w:t>
      </w:r>
      <w:r w:rsidRPr="00D56F93">
        <w:rPr>
          <w:b/>
          <w:i/>
        </w:rPr>
        <w:t>or</w:t>
      </w:r>
      <w:r w:rsidRPr="00D56F93">
        <w:rPr>
          <w:b/>
        </w:rPr>
        <w:t xml:space="preserve"> post-bronchodilator spirometry</w:t>
      </w:r>
      <w:r>
        <w:t xml:space="preserve"> in the diagnosis of asthma and COPD. It could be interpreted from Australian guidance that </w:t>
      </w:r>
      <w:r w:rsidRPr="00D56F93">
        <w:rPr>
          <w:b/>
        </w:rPr>
        <w:t xml:space="preserve">pre- </w:t>
      </w:r>
      <w:r w:rsidRPr="00D56F93">
        <w:rPr>
          <w:b/>
          <w:i/>
        </w:rPr>
        <w:t xml:space="preserve">and </w:t>
      </w:r>
      <w:r w:rsidRPr="00D56F93">
        <w:rPr>
          <w:b/>
        </w:rPr>
        <w:t>post-bronchodilator spirometry</w:t>
      </w:r>
      <w:r>
        <w:t xml:space="preserve"> should always be undertaken for the diagnosis of asthma and COPD; this guidance does not appear to be evidence-based.</w:t>
      </w:r>
      <w:r w:rsidR="00D56F93" w:rsidRPr="00D56F93">
        <w:t xml:space="preserve"> </w:t>
      </w:r>
    </w:p>
    <w:p w14:paraId="62A0A7FD" w14:textId="77777777" w:rsidR="008B1C85" w:rsidRPr="00A0517F" w:rsidRDefault="008B1C85" w:rsidP="00B50F00">
      <w:pPr>
        <w:pStyle w:val="Boxedheadingtext"/>
      </w:pPr>
      <w:r w:rsidRPr="00A0517F">
        <w:t xml:space="preserve">Q2a) In patients </w:t>
      </w:r>
      <w:r w:rsidRPr="00B50F00">
        <w:t>diagnosed</w:t>
      </w:r>
      <w:r w:rsidRPr="00A0517F">
        <w:t xml:space="preserve"> with asthma or COPD, what is the clinical utility of spirometry for assessing acute exacerbations?</w:t>
      </w:r>
    </w:p>
    <w:p w14:paraId="485987ED" w14:textId="77777777" w:rsidR="00D56F93" w:rsidRDefault="008B1C85" w:rsidP="009E6EE1">
      <w:pPr>
        <w:pStyle w:val="ListParagraph"/>
        <w:numPr>
          <w:ilvl w:val="0"/>
          <w:numId w:val="16"/>
        </w:numPr>
      </w:pPr>
      <w:r>
        <w:t>Due to a lack of evidence, there are no CPG recommendations relating to the use of spirometry for the assessment of acute exacerbations.</w:t>
      </w:r>
      <w:r w:rsidR="00D56F93" w:rsidRPr="00D56F93">
        <w:t xml:space="preserve"> </w:t>
      </w:r>
    </w:p>
    <w:p w14:paraId="2DC061F8" w14:textId="77777777" w:rsidR="00D56F93" w:rsidRDefault="008B1C85" w:rsidP="009E6EE1">
      <w:pPr>
        <w:pStyle w:val="ListParagraph"/>
        <w:numPr>
          <w:ilvl w:val="0"/>
          <w:numId w:val="16"/>
        </w:numPr>
      </w:pPr>
      <w:r>
        <w:t>While some asthma and COPD CPGs advised that spirometry is of little value in the management of acute exacerbations, others suggested that it may be useful for categorising severity and assessing</w:t>
      </w:r>
      <w:r w:rsidRPr="0075227D">
        <w:t xml:space="preserve"> patients during recovery</w:t>
      </w:r>
      <w:r>
        <w:t>.</w:t>
      </w:r>
      <w:r w:rsidR="00D56F93" w:rsidRPr="00D56F93">
        <w:t xml:space="preserve"> </w:t>
      </w:r>
    </w:p>
    <w:p w14:paraId="487B3CE3" w14:textId="77777777" w:rsidR="008B1C85" w:rsidRPr="00A0517F" w:rsidRDefault="008B1C85" w:rsidP="00B50F00">
      <w:pPr>
        <w:pStyle w:val="Boxedheadingtext"/>
      </w:pPr>
      <w:r w:rsidRPr="00A0517F">
        <w:t>Q2b) In patients diagnosed with asthma or COPD, what is the clinical utility of spirometry for long-</w:t>
      </w:r>
      <w:r w:rsidRPr="00B50F00">
        <w:t>term</w:t>
      </w:r>
      <w:r w:rsidRPr="00A0517F">
        <w:t xml:space="preserve"> monitoring?</w:t>
      </w:r>
    </w:p>
    <w:p w14:paraId="3ADBA97B" w14:textId="77777777" w:rsidR="00D56F93" w:rsidRDefault="008B1C85" w:rsidP="009E6EE1">
      <w:pPr>
        <w:pStyle w:val="ListParagraph"/>
        <w:numPr>
          <w:ilvl w:val="0"/>
          <w:numId w:val="16"/>
        </w:numPr>
      </w:pPr>
      <w:r>
        <w:t>Several asthma guidelines note that there is evidence to suggest that low FEV</w:t>
      </w:r>
      <w:r w:rsidRPr="00D56F93">
        <w:rPr>
          <w:vertAlign w:val="subscript"/>
        </w:rPr>
        <w:t>1</w:t>
      </w:r>
      <w:r>
        <w:t xml:space="preserve"> is a strong independent predictor of risk of exacerbations and therefore support the use of lung function testing as part of long-term monitoring.</w:t>
      </w:r>
      <w:r w:rsidR="00D56F93" w:rsidRPr="00D56F93">
        <w:t xml:space="preserve"> </w:t>
      </w:r>
    </w:p>
    <w:p w14:paraId="1801A56F" w14:textId="77777777" w:rsidR="00D56F93" w:rsidRDefault="008B1C85" w:rsidP="009E6EE1">
      <w:pPr>
        <w:pStyle w:val="ListParagraph"/>
        <w:numPr>
          <w:ilvl w:val="0"/>
          <w:numId w:val="16"/>
        </w:numPr>
      </w:pPr>
      <w:r>
        <w:t>For COPD, the general consensus from Australian and international CPGs is that FEV</w:t>
      </w:r>
      <w:r w:rsidRPr="00D56F93">
        <w:rPr>
          <w:vertAlign w:val="subscript"/>
        </w:rPr>
        <w:t>1</w:t>
      </w:r>
      <w:r>
        <w:t xml:space="preserve"> is a poor predictor of disease status and prognosis, but that spirometry may still have a role alongside other tests in long-term monitoring because worsening airflow limitation is associated with an increasing frequency of exacerbations and adverse events.</w:t>
      </w:r>
      <w:r w:rsidR="00D56F93" w:rsidRPr="00D56F93">
        <w:t xml:space="preserve"> </w:t>
      </w:r>
    </w:p>
    <w:p w14:paraId="12344D52" w14:textId="77777777" w:rsidR="00D56F93" w:rsidRDefault="008B1C85" w:rsidP="009E6EE1">
      <w:pPr>
        <w:pStyle w:val="ListParagraph"/>
        <w:numPr>
          <w:ilvl w:val="0"/>
          <w:numId w:val="16"/>
        </w:numPr>
      </w:pPr>
      <w:r>
        <w:lastRenderedPageBreak/>
        <w:t xml:space="preserve">The only CPG that mentions bronchodilator reversibility testing at follow-up is the NAC handbook (2015), which notes that MBS reimbursement is only available if pre- </w:t>
      </w:r>
      <w:r w:rsidRPr="00D56F93">
        <w:rPr>
          <w:i/>
        </w:rPr>
        <w:t>and</w:t>
      </w:r>
      <w:r>
        <w:t xml:space="preserve"> post-bronchodilator readings are taken and a permanently recorded tracing is retained.</w:t>
      </w:r>
      <w:r w:rsidR="00D56F93" w:rsidRPr="00D56F93">
        <w:t xml:space="preserve"> </w:t>
      </w:r>
    </w:p>
    <w:p w14:paraId="7B870CE4" w14:textId="77777777" w:rsidR="008B1C85" w:rsidRPr="00A0517F" w:rsidRDefault="008B1C85" w:rsidP="00B50F00">
      <w:pPr>
        <w:pStyle w:val="Boxedheadingtext"/>
      </w:pPr>
      <w:r w:rsidRPr="00A0517F">
        <w:t xml:space="preserve">Q3) </w:t>
      </w:r>
      <w:r w:rsidRPr="00B50F00">
        <w:t>What</w:t>
      </w:r>
      <w:r w:rsidRPr="00A0517F">
        <w:t xml:space="preserve"> is the published evidence for the cost-effectiveness of spirometry for the diagnosis of people presenting with respiratory symptoms?</w:t>
      </w:r>
    </w:p>
    <w:p w14:paraId="07067953" w14:textId="77777777" w:rsidR="00D56F93" w:rsidRDefault="008B1C85" w:rsidP="009E6EE1">
      <w:pPr>
        <w:pStyle w:val="ListParagraph"/>
        <w:numPr>
          <w:ilvl w:val="0"/>
          <w:numId w:val="16"/>
        </w:numPr>
      </w:pPr>
      <w:r>
        <w:t xml:space="preserve">A </w:t>
      </w:r>
      <w:r w:rsidRPr="00B50F00">
        <w:rPr>
          <w:rStyle w:val="ListParagraphChar"/>
        </w:rPr>
        <w:t>recent economic evaluation commissioned by NICE (2016) found that the cost-effectiveness of diagnostic strategies using spirometry and bronchodilator reversibility testing</w:t>
      </w:r>
      <w:r>
        <w:t xml:space="preserve"> was contingent on further diagnostic tests being performed downstream.</w:t>
      </w:r>
      <w:r w:rsidR="00D56F93" w:rsidRPr="00D56F93">
        <w:t xml:space="preserve"> </w:t>
      </w:r>
    </w:p>
    <w:p w14:paraId="1E69073F" w14:textId="77777777" w:rsidR="00D56F93" w:rsidRDefault="008B1C85" w:rsidP="009E6EE1">
      <w:pPr>
        <w:pStyle w:val="ListParagraph"/>
        <w:numPr>
          <w:ilvl w:val="0"/>
          <w:numId w:val="16"/>
        </w:numPr>
      </w:pPr>
      <w:r>
        <w:t>No evidence was identified that assessed the cost-effectiveness of spirometry for the diagnosis of COPD.</w:t>
      </w:r>
      <w:r w:rsidR="00D56F93" w:rsidRPr="00D56F93">
        <w:t xml:space="preserve"> </w:t>
      </w:r>
    </w:p>
    <w:p w14:paraId="3E47C82A" w14:textId="77777777" w:rsidR="008B1C85" w:rsidRPr="00A0517F" w:rsidRDefault="008B1C85" w:rsidP="00B50F00">
      <w:pPr>
        <w:pStyle w:val="Boxedheadingtext"/>
      </w:pPr>
      <w:r w:rsidRPr="00A0517F">
        <w:t xml:space="preserve">Q4) What is the evidence that an increase in spirometry service fees (a) increases the number of accurate </w:t>
      </w:r>
      <w:r w:rsidRPr="00B50F00">
        <w:t>diagnoses</w:t>
      </w:r>
      <w:r w:rsidRPr="00A0517F">
        <w:t xml:space="preserve"> of asthma or COPD in people presenting with respiratory symptoms, and (b) improves health outcomes?</w:t>
      </w:r>
    </w:p>
    <w:p w14:paraId="62D6C9A6" w14:textId="77777777" w:rsidR="008B1C85" w:rsidRPr="00B50F00" w:rsidRDefault="008B1C85" w:rsidP="00B50F00">
      <w:pPr>
        <w:pStyle w:val="Boxedheadingtext"/>
      </w:pPr>
      <w:r w:rsidRPr="00A0517F">
        <w:t xml:space="preserve">Q5) </w:t>
      </w:r>
      <w:r w:rsidRPr="00B50F00">
        <w:t>What is the evidence that financial incentives for performing spirometry over and above a fee for service (a) increases the number of accurate diagnoses of asthma or COPD in people presenting with respiratory symptoms, and (b) improves health outcomes?</w:t>
      </w:r>
    </w:p>
    <w:p w14:paraId="6502CFB3" w14:textId="77777777" w:rsidR="008B1C85" w:rsidRPr="00A0517F" w:rsidRDefault="008B1C85" w:rsidP="00B50F00">
      <w:pPr>
        <w:pStyle w:val="Boxedheadingtext"/>
      </w:pPr>
      <w:r w:rsidRPr="00B50F00">
        <w:t>Q6) What is the evidence that introduction of an outcome based payment model that links provider payment</w:t>
      </w:r>
      <w:r w:rsidRPr="00A0517F">
        <w:t xml:space="preserve"> to accurate diagnosis of asthma or COPD (a) increases the number of accurate diagnoses of asthma or COPD in people presenting with respiratory symptoms, and (b) improves health outcomes?</w:t>
      </w:r>
    </w:p>
    <w:p w14:paraId="37E70388" w14:textId="77777777" w:rsidR="008B1C85" w:rsidRDefault="008B1C85" w:rsidP="009E6EE1">
      <w:pPr>
        <w:pStyle w:val="ListParagraph"/>
        <w:numPr>
          <w:ilvl w:val="0"/>
          <w:numId w:val="16"/>
        </w:numPr>
      </w:pPr>
      <w:r>
        <w:t>There is evidence from the UK to suggest that a financial incentive to undertake spirometry (over and above a fee for service) increases the quantity, but not necessarily the quality, of spirometry in primary care.</w:t>
      </w:r>
    </w:p>
    <w:p w14:paraId="347F5BC3" w14:textId="77777777" w:rsidR="008B1C85" w:rsidRPr="00E91900" w:rsidRDefault="008B1C85" w:rsidP="009E6EE1">
      <w:pPr>
        <w:pStyle w:val="ListParagraph"/>
        <w:numPr>
          <w:ilvl w:val="0"/>
          <w:numId w:val="16"/>
        </w:numPr>
      </w:pPr>
      <w:r>
        <w:t>No evidence was identified that addresses the impact of financial incentives for the use of spirometry in primary care, on diagnostic accuracy or patient health outcomes.</w:t>
      </w:r>
    </w:p>
    <w:p w14:paraId="14F01C23" w14:textId="77777777" w:rsidR="0062545C" w:rsidRDefault="0062545C">
      <w:pPr>
        <w:spacing w:before="0" w:after="0" w:line="240" w:lineRule="auto"/>
        <w:rPr>
          <w:rFonts w:ascii="Cambria" w:eastAsiaTheme="minorHAnsi" w:hAnsi="Cambria" w:cs="Arial"/>
          <w:bCs/>
          <w:color w:val="365F91" w:themeColor="accent1" w:themeShade="BF"/>
          <w:kern w:val="32"/>
          <w:sz w:val="28"/>
          <w:szCs w:val="28"/>
          <w:lang w:val="en-US" w:eastAsia="en-US"/>
        </w:rPr>
      </w:pPr>
      <w:bookmarkStart w:id="373" w:name="_Toc456613621"/>
      <w:r>
        <w:br w:type="page"/>
      </w:r>
    </w:p>
    <w:p w14:paraId="5A742B74" w14:textId="77777777" w:rsidR="008B1C85" w:rsidRDefault="00C23923" w:rsidP="008B1C85">
      <w:pPr>
        <w:pStyle w:val="AttHeading1"/>
      </w:pPr>
      <w:r>
        <w:lastRenderedPageBreak/>
        <w:t xml:space="preserve">3. </w:t>
      </w:r>
      <w:r w:rsidR="008B1C85">
        <w:t>Conclusions</w:t>
      </w:r>
      <w:bookmarkEnd w:id="373"/>
    </w:p>
    <w:p w14:paraId="35B3D895" w14:textId="77777777" w:rsidR="008B1C85" w:rsidRDefault="008B1C85" w:rsidP="009E6EE1">
      <w:pPr>
        <w:pStyle w:val="ListParagraph"/>
        <w:numPr>
          <w:ilvl w:val="0"/>
          <w:numId w:val="9"/>
        </w:numPr>
        <w:ind w:left="426"/>
      </w:pPr>
      <w:r w:rsidRPr="00A0517F">
        <w:rPr>
          <w:b/>
        </w:rPr>
        <w:t>Pre-bronchodilator spirometry</w:t>
      </w:r>
      <w:r>
        <w:t xml:space="preserve"> is not reimbursed through the MBS but is recommended in international CPGs as a first line objective test to confirm airflow obstruction in adults and children (&gt;5 years) who present with </w:t>
      </w:r>
      <w:r w:rsidRPr="00941482">
        <w:t>respirator</w:t>
      </w:r>
      <w:r>
        <w:t xml:space="preserve">y symptoms suggestive of asthma; </w:t>
      </w:r>
      <w:r w:rsidRPr="00A0517F">
        <w:rPr>
          <w:b/>
        </w:rPr>
        <w:t>bronchodilator reversibility testing</w:t>
      </w:r>
      <w:r>
        <w:t xml:space="preserve"> should only follow if airflow limitation is detected.</w:t>
      </w:r>
    </w:p>
    <w:p w14:paraId="4F88A4FE" w14:textId="77777777" w:rsidR="008B1C85" w:rsidRDefault="008B1C85" w:rsidP="009E6EE1">
      <w:pPr>
        <w:pStyle w:val="ListParagraph"/>
        <w:numPr>
          <w:ilvl w:val="0"/>
          <w:numId w:val="9"/>
        </w:numPr>
        <w:ind w:left="426"/>
      </w:pPr>
      <w:r w:rsidRPr="00A0517F">
        <w:rPr>
          <w:b/>
        </w:rPr>
        <w:t>Post-bronchodilator spirometry</w:t>
      </w:r>
      <w:r>
        <w:t xml:space="preserve"> is not reimbursed through the MBS but is recommended in international CPGs for the diagnosis of COPD, in cases where asthma or ACOS are not suspected.</w:t>
      </w:r>
    </w:p>
    <w:p w14:paraId="482E8E72" w14:textId="77777777" w:rsidR="008B1C85" w:rsidRDefault="008B1C85" w:rsidP="009E6EE1">
      <w:pPr>
        <w:pStyle w:val="ListParagraph"/>
        <w:numPr>
          <w:ilvl w:val="0"/>
          <w:numId w:val="9"/>
        </w:numPr>
        <w:ind w:left="426"/>
      </w:pPr>
      <w:r>
        <w:t xml:space="preserve">Despite a lack of clear evidence of benefit, international CPGs generally support the use of spirometry (pre- </w:t>
      </w:r>
      <w:r w:rsidRPr="00A0517F">
        <w:rPr>
          <w:i/>
        </w:rPr>
        <w:t>or</w:t>
      </w:r>
      <w:r>
        <w:t xml:space="preserve"> post-bronchodilator) for long-term monitoring of patients with asthma or COPD; a role for spirometry in the assessment of acute exacerbations is less clear.</w:t>
      </w:r>
    </w:p>
    <w:p w14:paraId="3D1B9404" w14:textId="77777777" w:rsidR="008B1C85" w:rsidRDefault="008B1C85" w:rsidP="009E6EE1">
      <w:pPr>
        <w:pStyle w:val="ListParagraph"/>
        <w:numPr>
          <w:ilvl w:val="0"/>
          <w:numId w:val="9"/>
        </w:numPr>
        <w:ind w:left="426"/>
      </w:pPr>
      <w:r>
        <w:t xml:space="preserve">Australian CPGs tend to support the use of </w:t>
      </w:r>
      <w:r w:rsidRPr="00A0517F">
        <w:rPr>
          <w:b/>
        </w:rPr>
        <w:t xml:space="preserve">pre- </w:t>
      </w:r>
      <w:r w:rsidRPr="00A0517F">
        <w:rPr>
          <w:b/>
          <w:i/>
        </w:rPr>
        <w:t>and</w:t>
      </w:r>
      <w:r w:rsidRPr="00A0517F">
        <w:rPr>
          <w:b/>
        </w:rPr>
        <w:t xml:space="preserve"> post-bronchodilator spirometry</w:t>
      </w:r>
      <w:r>
        <w:t>, which is currently reimbursed on the MBS, to a greater extent than international CPGs.</w:t>
      </w:r>
    </w:p>
    <w:p w14:paraId="660A26CE" w14:textId="77777777" w:rsidR="008B1C85" w:rsidRDefault="008B1C85" w:rsidP="009E6EE1">
      <w:pPr>
        <w:pStyle w:val="ListParagraph"/>
        <w:numPr>
          <w:ilvl w:val="0"/>
          <w:numId w:val="9"/>
        </w:numPr>
        <w:ind w:left="426"/>
      </w:pPr>
      <w:r>
        <w:t>Financial incentives may increase the use of spirometry in primary care, but the extent to which it improves diagnosis and health outcomes is unknown.</w:t>
      </w:r>
    </w:p>
    <w:p w14:paraId="2E7FA65F" w14:textId="77777777" w:rsidR="003229CC" w:rsidRDefault="003229CC">
      <w:pPr>
        <w:spacing w:before="0" w:after="0" w:line="240" w:lineRule="auto"/>
        <w:rPr>
          <w:rFonts w:ascii="Cambria" w:eastAsiaTheme="minorHAnsi" w:hAnsi="Cambria" w:cs="Arial"/>
          <w:b/>
          <w:bCs/>
          <w:color w:val="365F91" w:themeColor="accent1" w:themeShade="BF"/>
          <w:kern w:val="32"/>
          <w:szCs w:val="28"/>
          <w:lang w:val="en-US" w:eastAsia="en-US"/>
        </w:rPr>
      </w:pPr>
      <w:bookmarkStart w:id="374" w:name="_Toc456613622"/>
      <w:bookmarkEnd w:id="345"/>
      <w:bookmarkEnd w:id="346"/>
      <w:r>
        <w:br w:type="page"/>
      </w:r>
    </w:p>
    <w:p w14:paraId="721E55D0" w14:textId="77777777" w:rsidR="008B1C85" w:rsidRDefault="008F1656" w:rsidP="00A227D5">
      <w:pPr>
        <w:pStyle w:val="AttHeading1"/>
      </w:pPr>
      <w:r>
        <w:lastRenderedPageBreak/>
        <w:t xml:space="preserve">Appendix 1 </w:t>
      </w:r>
      <w:r w:rsidR="008B1C85" w:rsidRPr="00D56F93">
        <w:t>References</w:t>
      </w:r>
      <w:bookmarkEnd w:id="374"/>
    </w:p>
    <w:p w14:paraId="10CEFB76" w14:textId="77777777" w:rsidR="008B1C85" w:rsidRPr="00A0517F" w:rsidRDefault="008B1C85" w:rsidP="008B1C85">
      <w:pPr>
        <w:pStyle w:val="References"/>
        <w:rPr>
          <w:rFonts w:cstheme="minorHAnsi"/>
        </w:rPr>
      </w:pPr>
      <w:r w:rsidRPr="00A0517F">
        <w:rPr>
          <w:rFonts w:cstheme="minorHAnsi"/>
        </w:rPr>
        <w:t>Aaron SD, Vandemheen KL, Boulet LP, McIvor RA, Fitzgerald JM, Hernandez P, Lemiere C, Sharma S, Field SK, Alvarez GG, Dales RE, Doucette S, Fergusson D; Canadian Respiratory Clinical Research Consortium. Overdiagnosis of asthma in obese and nonobese adults. CMAJ 2008;179(11):1121-31.</w:t>
      </w:r>
    </w:p>
    <w:p w14:paraId="6F918ABF" w14:textId="77777777" w:rsidR="008B1C85" w:rsidRPr="00A0517F" w:rsidRDefault="008B1C85" w:rsidP="008B1C85">
      <w:pPr>
        <w:pStyle w:val="References"/>
        <w:rPr>
          <w:rFonts w:cstheme="minorHAnsi"/>
        </w:rPr>
      </w:pPr>
      <w:r w:rsidRPr="00A0517F">
        <w:rPr>
          <w:rFonts w:cstheme="minorHAnsi"/>
        </w:rPr>
        <w:t>Abramson MJ, Schattner RL, Sulaiman ND, Birch KE, Simpson PP, Del Colle EA, Aroni RA, Wolfe R, Thien F. Do spirometry and regular follow-up improve health outcomes in general practice patients with asthma or COPD? A cluster randomised controlled trial. Med J Aust. 2010;193:104-9.</w:t>
      </w:r>
    </w:p>
    <w:p w14:paraId="3D84BA06" w14:textId="77777777" w:rsidR="008B1C85" w:rsidRPr="00A0517F" w:rsidRDefault="008B1C85" w:rsidP="008B1C85">
      <w:pPr>
        <w:pStyle w:val="References"/>
        <w:rPr>
          <w:rFonts w:cstheme="minorHAnsi"/>
        </w:rPr>
      </w:pPr>
      <w:r w:rsidRPr="00A0517F">
        <w:rPr>
          <w:rFonts w:cstheme="minorHAnsi"/>
        </w:rPr>
        <w:t>Abramson MJ, Schattner RL, Sulaiman ND, Del Colle, EA, Aroni R, Thien F. Accuracy of asthma and COPD diagnosis in Australian general practice: a mixed methods study. Prim Care Respir J. 2012;21(2):167-73.</w:t>
      </w:r>
    </w:p>
    <w:p w14:paraId="27E13CBE" w14:textId="77777777" w:rsidR="008B1C85" w:rsidRPr="00A0517F" w:rsidRDefault="008B1C85" w:rsidP="008B1C85">
      <w:pPr>
        <w:pStyle w:val="References"/>
        <w:rPr>
          <w:rFonts w:cstheme="minorHAnsi"/>
        </w:rPr>
      </w:pPr>
      <w:r w:rsidRPr="00A0517F">
        <w:rPr>
          <w:rFonts w:cstheme="minorHAnsi"/>
        </w:rPr>
        <w:t>Abramson M, Frith P, Yang I, McDonald C, Hancock K, Jenkins S, McDonald V, Zwar, N, Maguire, G, Halcomb, E, Polak Scowcroft, C. COPD-X Concise Guide for Primary Care. Brisbane. Lung Foundation Australia, 2014.</w:t>
      </w:r>
    </w:p>
    <w:p w14:paraId="06E40038" w14:textId="77777777" w:rsidR="008B1C85" w:rsidRPr="00A0517F" w:rsidRDefault="008B1C85" w:rsidP="008B1C85">
      <w:pPr>
        <w:pStyle w:val="References"/>
        <w:rPr>
          <w:rFonts w:cstheme="minorHAnsi"/>
        </w:rPr>
      </w:pPr>
      <w:r w:rsidRPr="00A0517F">
        <w:rPr>
          <w:rFonts w:cstheme="minorHAnsi"/>
        </w:rPr>
        <w:t>ABS 2012. Australian Health Survey: First Results, 2011–12. ABS cat. no. 4364.0.55.001. Canberra: ABS.</w:t>
      </w:r>
    </w:p>
    <w:p w14:paraId="73E92AD9" w14:textId="77777777" w:rsidR="008B1C85" w:rsidRPr="00A0517F" w:rsidRDefault="008B1C85" w:rsidP="008B1C85">
      <w:pPr>
        <w:pStyle w:val="References"/>
        <w:rPr>
          <w:rFonts w:cstheme="minorHAnsi"/>
        </w:rPr>
      </w:pPr>
      <w:r w:rsidRPr="00A0517F">
        <w:rPr>
          <w:rFonts w:cstheme="minorHAnsi"/>
        </w:rPr>
        <w:t>Adams R, Wilson D, Appleton S, Taylor A, Dal G, Chittleborough C, Ruffin R. Underdiagnosed asthma in South Australia. Thorax. 2003;58(10):846-850.</w:t>
      </w:r>
    </w:p>
    <w:p w14:paraId="531DC41C" w14:textId="77777777" w:rsidR="008B1C85" w:rsidRPr="00A0517F" w:rsidRDefault="008B1C85" w:rsidP="008B1C85">
      <w:pPr>
        <w:pStyle w:val="References"/>
        <w:rPr>
          <w:rFonts w:cstheme="minorHAnsi"/>
        </w:rPr>
      </w:pPr>
      <w:r w:rsidRPr="00A0517F">
        <w:rPr>
          <w:rFonts w:cstheme="minorHAnsi"/>
        </w:rPr>
        <w:t>Albert P, Agusti A, Edwards L, Tal-Singer R, Yates J, Bakke P, et al. Bronchodilator responsiveness as a phenotypic characteristic of established chronic obstructive pulmonary disease. Thorax. 2012;67(8):701-8.</w:t>
      </w:r>
    </w:p>
    <w:p w14:paraId="37F95AFC" w14:textId="77777777" w:rsidR="008B1C85" w:rsidRPr="00A0517F" w:rsidRDefault="008B1C85" w:rsidP="008B1C85">
      <w:pPr>
        <w:pStyle w:val="References"/>
        <w:rPr>
          <w:rFonts w:cstheme="minorHAnsi"/>
        </w:rPr>
      </w:pPr>
      <w:r w:rsidRPr="00A0517F">
        <w:rPr>
          <w:rFonts w:cstheme="minorHAnsi"/>
        </w:rPr>
        <w:t>Anthonisen NR, Wright EC. Bronchodilator response in chronic obstructive pulmonary disease. Am Rev Respir Dis. 1986;133(5):814-819.</w:t>
      </w:r>
    </w:p>
    <w:p w14:paraId="74245634" w14:textId="77777777" w:rsidR="008B1C85" w:rsidRPr="00A0517F" w:rsidRDefault="008B1C85" w:rsidP="008B1C85">
      <w:pPr>
        <w:pStyle w:val="References"/>
        <w:rPr>
          <w:rFonts w:cstheme="minorHAnsi"/>
        </w:rPr>
      </w:pPr>
      <w:r w:rsidRPr="00A0517F">
        <w:rPr>
          <w:rFonts w:cstheme="minorHAnsi"/>
        </w:rPr>
        <w:t>Arne M, Lisspers K, Ställberg B, Boman G, Hedenström H, Janson C, Emtner M. How often is diagnosis of COPD confirmed with spirometry? Respir Med. 2010;104(4):550-6.</w:t>
      </w:r>
    </w:p>
    <w:p w14:paraId="310BEEDF" w14:textId="77777777" w:rsidR="008B1C85" w:rsidRPr="00A0517F" w:rsidRDefault="008B1C85" w:rsidP="008B1C85">
      <w:pPr>
        <w:pStyle w:val="References"/>
        <w:rPr>
          <w:rFonts w:cstheme="minorHAnsi"/>
        </w:rPr>
      </w:pPr>
      <w:r w:rsidRPr="00A0517F">
        <w:rPr>
          <w:rFonts w:cstheme="minorHAnsi"/>
        </w:rPr>
        <w:t>Australian Centre for Asthma Monitoring (ACAM) 2011. Asthma in Australia 2011. AIHW Asthma Series no. 4. Cat. no. ACM 22. Canberra: AIHW.</w:t>
      </w:r>
    </w:p>
    <w:p w14:paraId="31D79CBB" w14:textId="77777777" w:rsidR="008B1C85" w:rsidRPr="00A0517F" w:rsidRDefault="008B1C85" w:rsidP="008B1C85">
      <w:pPr>
        <w:pStyle w:val="References"/>
        <w:rPr>
          <w:rFonts w:cstheme="minorHAnsi"/>
        </w:rPr>
      </w:pPr>
      <w:r w:rsidRPr="00A0517F">
        <w:rPr>
          <w:rFonts w:cstheme="minorHAnsi"/>
        </w:rPr>
        <w:t>Barton C, Proudfoot J, Amoroso C, Ramsay E, Holton C, Bubner T, Harris M, Beilby J. Management of asthma in Australian general practice: care is still not in line with clinical practice guidelines. Prim Care Respir J. 2009;18(2):100-5.</w:t>
      </w:r>
    </w:p>
    <w:p w14:paraId="37A482DB" w14:textId="77777777" w:rsidR="008B1C85" w:rsidRPr="00A0517F" w:rsidRDefault="008B1C85" w:rsidP="008B1C85">
      <w:pPr>
        <w:pStyle w:val="References"/>
        <w:rPr>
          <w:rFonts w:cstheme="minorHAnsi"/>
        </w:rPr>
      </w:pPr>
      <w:r w:rsidRPr="00A0517F">
        <w:rPr>
          <w:rFonts w:cstheme="minorHAnsi"/>
        </w:rPr>
        <w:t>Benninger C, Parsons JP &amp; Mastronarde JG. Vocal cord dysfunction and asthma. Curr Opin Pulm Med. 2011;17:45-9.</w:t>
      </w:r>
    </w:p>
    <w:p w14:paraId="3D3CEBFE" w14:textId="77777777" w:rsidR="008B1C85" w:rsidRPr="00A0517F" w:rsidRDefault="008B1C85" w:rsidP="008B1C85">
      <w:pPr>
        <w:pStyle w:val="References"/>
        <w:rPr>
          <w:rFonts w:cstheme="minorHAnsi"/>
        </w:rPr>
      </w:pPr>
      <w:r w:rsidRPr="00A0517F">
        <w:rPr>
          <w:rFonts w:cstheme="minorHAnsi"/>
        </w:rPr>
        <w:t>Boulet L-P, Bourbeau J, Skomro R, Gupta S. Major care gaps in asthma, sleep and chronic obstructive pulmonary disease: A road map for knowledge translation. Can Respir J. 2013;20(4):265-69.</w:t>
      </w:r>
    </w:p>
    <w:p w14:paraId="65364058" w14:textId="77777777" w:rsidR="008B1C85" w:rsidRPr="00A0517F" w:rsidRDefault="008B1C85" w:rsidP="008B1C85">
      <w:pPr>
        <w:pStyle w:val="References"/>
        <w:rPr>
          <w:rFonts w:cstheme="minorHAnsi"/>
        </w:rPr>
      </w:pPr>
      <w:r w:rsidRPr="00A0517F">
        <w:rPr>
          <w:rFonts w:cstheme="minorHAnsi"/>
        </w:rPr>
        <w:t>Brand PL, Quanjer PH, Postma DS, Kerstjens HA, Koeter GH, Dekhuijzen PN et al. Interpretation of bronchodilator response in patients with obstructive airways disease. The Dutch Chronic Non-Specific Lung Disease (CNSLD) Study Group. Thorax. 1992;47(6):429-436.</w:t>
      </w:r>
    </w:p>
    <w:p w14:paraId="6D4F5E56" w14:textId="77777777" w:rsidR="008B1C85" w:rsidRPr="00A0517F" w:rsidRDefault="008B1C85" w:rsidP="008B1C85">
      <w:pPr>
        <w:pStyle w:val="References"/>
        <w:rPr>
          <w:rFonts w:cstheme="minorHAnsi"/>
        </w:rPr>
      </w:pPr>
      <w:r w:rsidRPr="00A0517F">
        <w:rPr>
          <w:rFonts w:cstheme="minorHAnsi"/>
        </w:rPr>
        <w:t>British Thoracic Society (BTS) COPD Consortium. Spirometry in Practice. A practical guide to using spirometry in primary care. April 2005.</w:t>
      </w:r>
    </w:p>
    <w:p w14:paraId="18E2F870" w14:textId="77777777" w:rsidR="008B1C85" w:rsidRPr="00A0517F" w:rsidRDefault="008B1C85" w:rsidP="008B1C85">
      <w:pPr>
        <w:pStyle w:val="References"/>
        <w:rPr>
          <w:rFonts w:cstheme="minorHAnsi"/>
        </w:rPr>
      </w:pPr>
      <w:r w:rsidRPr="00A0517F">
        <w:rPr>
          <w:rFonts w:cstheme="minorHAnsi"/>
        </w:rPr>
        <w:t>British Thoracic Society (BTS). British Guideline on the Management of Asthma. Thorax. 2008;63(Suppl4):iv1-121.</w:t>
      </w:r>
    </w:p>
    <w:p w14:paraId="5661A971" w14:textId="77777777" w:rsidR="008B1C85" w:rsidRPr="00A0517F" w:rsidRDefault="008B1C85" w:rsidP="008B1C85">
      <w:pPr>
        <w:pStyle w:val="References"/>
        <w:rPr>
          <w:rFonts w:cstheme="minorHAnsi"/>
        </w:rPr>
      </w:pPr>
      <w:r w:rsidRPr="00A0517F">
        <w:rPr>
          <w:rFonts w:cstheme="minorHAnsi"/>
        </w:rPr>
        <w:t xml:space="preserve">British Thoracic Society (BTS)/Scottish Intercollegiate Guidelines Network (SIGN). </w:t>
      </w:r>
      <w:hyperlink r:id="rId20" w:history="1">
        <w:r w:rsidRPr="0099709F">
          <w:rPr>
            <w:rStyle w:val="Hyperlink"/>
            <w:rFonts w:cstheme="minorHAnsi"/>
          </w:rPr>
          <w:t>British guideline on the management of asthma. SIGN 141</w:t>
        </w:r>
      </w:hyperlink>
      <w:r w:rsidRPr="0099709F">
        <w:rPr>
          <w:rFonts w:cstheme="minorHAnsi"/>
        </w:rPr>
        <w:t xml:space="preserve">. </w:t>
      </w:r>
      <w:r w:rsidR="0010726D" w:rsidRPr="0099709F">
        <w:rPr>
          <w:rFonts w:cstheme="minorHAnsi"/>
        </w:rPr>
        <w:t xml:space="preserve">[PDF] </w:t>
      </w:r>
      <w:r w:rsidRPr="0099709F">
        <w:rPr>
          <w:rFonts w:cstheme="minorHAnsi"/>
        </w:rPr>
        <w:t>Edinburgh, 2014.</w:t>
      </w:r>
      <w:r w:rsidRPr="00A0517F">
        <w:rPr>
          <w:rFonts w:cstheme="minorHAnsi"/>
        </w:rPr>
        <w:t xml:space="preserve"> </w:t>
      </w:r>
    </w:p>
    <w:p w14:paraId="7BAE3C33" w14:textId="77777777" w:rsidR="008B1C85" w:rsidRPr="00A0517F" w:rsidRDefault="008B1C85" w:rsidP="008B1C85">
      <w:pPr>
        <w:pStyle w:val="References"/>
        <w:rPr>
          <w:rFonts w:cstheme="minorHAnsi"/>
        </w:rPr>
      </w:pPr>
      <w:r w:rsidRPr="00A0517F">
        <w:rPr>
          <w:rFonts w:cstheme="minorHAnsi"/>
        </w:rPr>
        <w:t>Burge PS, Calverley PMA, Jones PW et al. Prednisolone response in patients with chronic obstructive pulmonary disease: results from the ISOLDE study. Thorax. 2003;58:1-5.</w:t>
      </w:r>
    </w:p>
    <w:p w14:paraId="66485CCC" w14:textId="77777777" w:rsidR="008B1C85" w:rsidRPr="00A0517F" w:rsidRDefault="008B1C85" w:rsidP="008B1C85">
      <w:pPr>
        <w:pStyle w:val="References"/>
        <w:rPr>
          <w:rFonts w:cstheme="minorHAnsi"/>
        </w:rPr>
      </w:pPr>
      <w:r w:rsidRPr="00A0517F">
        <w:rPr>
          <w:rFonts w:cstheme="minorHAnsi"/>
        </w:rPr>
        <w:t>Calverley PMA, Burge PS, Spencer S et al. Bronchodilator reversibility testing in chronic obstructive pulmonary disease. Thorax. 2003;58(8):659-664.</w:t>
      </w:r>
    </w:p>
    <w:p w14:paraId="011CEA16" w14:textId="77777777" w:rsidR="008B1C85" w:rsidRPr="00A0517F" w:rsidRDefault="008B1C85" w:rsidP="008B1C85">
      <w:pPr>
        <w:pStyle w:val="References"/>
        <w:rPr>
          <w:rFonts w:cstheme="minorHAnsi"/>
        </w:rPr>
      </w:pPr>
      <w:r w:rsidRPr="00A0517F">
        <w:rPr>
          <w:rFonts w:cstheme="minorHAnsi"/>
        </w:rPr>
        <w:t>Charles J, Britt H, Fahridin S. COPD. Australian Family Physician. 2010;39(3):93.</w:t>
      </w:r>
    </w:p>
    <w:p w14:paraId="4D4CF7A7" w14:textId="77777777" w:rsidR="008B1C85" w:rsidRPr="00A0517F" w:rsidRDefault="008B1C85" w:rsidP="008B1C85">
      <w:pPr>
        <w:pStyle w:val="References"/>
        <w:rPr>
          <w:rFonts w:cstheme="minorHAnsi"/>
        </w:rPr>
      </w:pPr>
      <w:r w:rsidRPr="00A0517F">
        <w:rPr>
          <w:rFonts w:cstheme="minorHAnsi"/>
        </w:rPr>
        <w:t>Chhabra SK. Acute bronchodilator response has limited value in differentiating bronchial asthma from COPD. Journal of Asthma. 2005;42(5):367-372.</w:t>
      </w:r>
    </w:p>
    <w:p w14:paraId="1CC59B36" w14:textId="77777777" w:rsidR="008B1C85" w:rsidRPr="00A0517F" w:rsidRDefault="008B1C85" w:rsidP="008B1C85">
      <w:pPr>
        <w:pStyle w:val="References"/>
        <w:rPr>
          <w:rFonts w:cstheme="minorHAnsi"/>
        </w:rPr>
      </w:pPr>
      <w:r w:rsidRPr="00A0517F">
        <w:rPr>
          <w:rFonts w:cstheme="minorHAnsi"/>
        </w:rPr>
        <w:lastRenderedPageBreak/>
        <w:t>Chung KF, Wenzel SE, Brozek JL, et al. International ERS/ATS Guidelines on Definition, Evaluation and Treatment of Severe Asthma. Eur Respir J. 2014;43:343-73.</w:t>
      </w:r>
    </w:p>
    <w:p w14:paraId="63E027E1" w14:textId="77777777" w:rsidR="008B1C85" w:rsidRPr="00A0517F" w:rsidRDefault="008B1C85" w:rsidP="008B1C85">
      <w:pPr>
        <w:pStyle w:val="References"/>
        <w:rPr>
          <w:rFonts w:cstheme="minorHAnsi"/>
        </w:rPr>
      </w:pPr>
      <w:r w:rsidRPr="00A0517F">
        <w:rPr>
          <w:rFonts w:cstheme="minorHAnsi"/>
        </w:rPr>
        <w:t>Cranston J, Crockett A, Moss J, Pegram R, Stocks N. Models of chronic disease management in primary care for patients with mild to moderate asthma or COPD. Australian Primary Health Care Research Institute, September 2006.</w:t>
      </w:r>
    </w:p>
    <w:p w14:paraId="2966C499" w14:textId="77777777" w:rsidR="008B1C85" w:rsidRPr="00A0517F" w:rsidRDefault="008B1C85" w:rsidP="008B1C85">
      <w:pPr>
        <w:pStyle w:val="References"/>
        <w:rPr>
          <w:rFonts w:cstheme="minorHAnsi"/>
        </w:rPr>
      </w:pPr>
      <w:r w:rsidRPr="00A0517F">
        <w:rPr>
          <w:rFonts w:cstheme="minorHAnsi"/>
        </w:rPr>
        <w:t>Deckert J &amp; Deckert L. Vocal cord dysfunction. Am Fam Physician. 2010;81:156-9.</w:t>
      </w:r>
    </w:p>
    <w:p w14:paraId="6690DD99" w14:textId="77777777" w:rsidR="008B1C85" w:rsidRPr="00A0517F" w:rsidRDefault="008B1C85" w:rsidP="008B1C85">
      <w:pPr>
        <w:pStyle w:val="References"/>
        <w:rPr>
          <w:rFonts w:cstheme="minorHAnsi"/>
        </w:rPr>
      </w:pPr>
      <w:r w:rsidRPr="00A0517F">
        <w:rPr>
          <w:rFonts w:cstheme="minorHAnsi"/>
        </w:rPr>
        <w:t>Decramer M, Celli B, Kesten S, Lystig T, Mehra S, Tashkin DP. Effect of tiotropium on outcomes in patients with moderate chronic obstructive pulmonary disease (UPLIFT): a prespecified subgroup analysis of a randomised controlled trial. Lancet. 2009;374:1171-8.</w:t>
      </w:r>
    </w:p>
    <w:p w14:paraId="5E922360" w14:textId="77777777" w:rsidR="008B1C85" w:rsidRPr="00A0517F" w:rsidRDefault="008B1C85" w:rsidP="008B1C85">
      <w:pPr>
        <w:pStyle w:val="References"/>
        <w:rPr>
          <w:rFonts w:cstheme="minorHAnsi"/>
        </w:rPr>
      </w:pPr>
      <w:r w:rsidRPr="00A0517F">
        <w:rPr>
          <w:rFonts w:cstheme="minorHAnsi"/>
        </w:rPr>
        <w:t>Dennis SM, Zwar NA, Marks GB. Diagnosing asthma in adults in primary care: a qualitative study of Australian GPs' experiences. Prim Care Respir J. 2010;19(1):52-6.</w:t>
      </w:r>
    </w:p>
    <w:p w14:paraId="27641030" w14:textId="77777777" w:rsidR="008B1C85" w:rsidRPr="00A0517F" w:rsidRDefault="008B1C85" w:rsidP="008B1C85">
      <w:pPr>
        <w:pStyle w:val="References"/>
        <w:rPr>
          <w:rFonts w:cstheme="minorHAnsi"/>
        </w:rPr>
      </w:pPr>
      <w:r w:rsidRPr="00A0517F">
        <w:rPr>
          <w:rFonts w:cstheme="minorHAnsi"/>
        </w:rPr>
        <w:t>Department of Veterans Affairs (VA)/Department of Defense (DoD). VA/DoD Clinical Practice Guideline for the management of chronic obstructive pulmonary disease, Version 3.0. Prepared by the Management of Chronic Obstructive Pulmonary Disease Working Group, Washington D.C., 2014.</w:t>
      </w:r>
    </w:p>
    <w:p w14:paraId="44CDD402" w14:textId="77777777" w:rsidR="008B1C85" w:rsidRPr="00A0517F" w:rsidRDefault="008B1C85" w:rsidP="008B1C85">
      <w:pPr>
        <w:pStyle w:val="References"/>
        <w:rPr>
          <w:rFonts w:cstheme="minorHAnsi"/>
        </w:rPr>
      </w:pPr>
      <w:r w:rsidRPr="00A0517F">
        <w:rPr>
          <w:rFonts w:cstheme="minorHAnsi"/>
        </w:rPr>
        <w:t>Dirven JA, Tange HJ, Muris JW, van Haaren KM, Vink G, van Schayck OC. Early detection of COPD in general practice: implementation, workload and socioeconomic status. A mixed methods observational study. Prim Care Respir J. 2013;22(3):338-43.</w:t>
      </w:r>
    </w:p>
    <w:p w14:paraId="274B3103" w14:textId="77777777" w:rsidR="008B1C85" w:rsidRPr="00A0517F" w:rsidRDefault="008B1C85" w:rsidP="008B1C85">
      <w:pPr>
        <w:pStyle w:val="References"/>
        <w:rPr>
          <w:rFonts w:cstheme="minorHAnsi"/>
        </w:rPr>
      </w:pPr>
      <w:r w:rsidRPr="00A0517F">
        <w:rPr>
          <w:rFonts w:cstheme="minorHAnsi"/>
        </w:rPr>
        <w:t>European Medicines Agency. Guideline on clinical investigation of medicinal products in the treatment of chronic obstructive pulmonary disease (COPD). Respiratory Drafting Group. 2012. London, United Kingdom.</w:t>
      </w:r>
    </w:p>
    <w:p w14:paraId="0AA4033B" w14:textId="77777777" w:rsidR="008B1C85" w:rsidRPr="00A0517F" w:rsidRDefault="008B1C85" w:rsidP="008B1C85">
      <w:pPr>
        <w:pStyle w:val="References"/>
        <w:rPr>
          <w:rFonts w:cstheme="minorHAnsi"/>
        </w:rPr>
      </w:pPr>
      <w:r w:rsidRPr="00A0517F">
        <w:rPr>
          <w:rFonts w:cstheme="minorHAnsi"/>
        </w:rPr>
        <w:t>Fabbri LM, Romagnoli M, Corbetta L et al. Differences in airway inflammation in patients with fixed airflow obstruction due to asthma or chronic obstructive pulmonary disease. American Journal of Respiratory &amp; Critical Care Medicine. 2003;167(3):418-424.</w:t>
      </w:r>
    </w:p>
    <w:p w14:paraId="511C9851" w14:textId="77777777" w:rsidR="008B1C85" w:rsidRPr="00A0517F" w:rsidRDefault="008B1C85" w:rsidP="008B1C85">
      <w:pPr>
        <w:pStyle w:val="References"/>
        <w:rPr>
          <w:rFonts w:cstheme="minorHAnsi"/>
        </w:rPr>
      </w:pPr>
      <w:r w:rsidRPr="00A0517F">
        <w:rPr>
          <w:rFonts w:cstheme="minorHAnsi"/>
        </w:rPr>
        <w:t>Fortuna AM, Feixas T, Gonzalez M, Casan P. Diagnostic utility of inflammatory biomarkers in asthma: exhaled nitric oxide and induced sputum eosinophil count. Respiratory Medicine. 2007;101(11):2416-21.</w:t>
      </w:r>
    </w:p>
    <w:p w14:paraId="510C49DF" w14:textId="77777777" w:rsidR="008B1C85" w:rsidRPr="00A0517F" w:rsidRDefault="008B1C85" w:rsidP="008B1C85">
      <w:pPr>
        <w:pStyle w:val="References"/>
        <w:rPr>
          <w:rFonts w:cstheme="minorHAnsi"/>
        </w:rPr>
      </w:pPr>
      <w:r w:rsidRPr="00A0517F">
        <w:rPr>
          <w:rFonts w:cstheme="minorHAnsi"/>
        </w:rPr>
        <w:t>Fuhlbrigge AL, Kitch BT, Paltiel AD, et al. FEV1 is associated with risk of asthma attacks in a pediatric population. J Allergy Clin Immunol. 2001;107:61-7.</w:t>
      </w:r>
    </w:p>
    <w:p w14:paraId="5F7ABFCF" w14:textId="77777777" w:rsidR="008B1C85" w:rsidRPr="00A0517F" w:rsidRDefault="008B1C85" w:rsidP="008B1C85">
      <w:pPr>
        <w:pStyle w:val="References"/>
        <w:rPr>
          <w:rFonts w:cstheme="minorHAnsi"/>
        </w:rPr>
      </w:pPr>
      <w:r w:rsidRPr="00A0517F">
        <w:rPr>
          <w:rFonts w:cstheme="minorHAnsi"/>
        </w:rPr>
        <w:t>Gershon AS, Victor JC, Guan J, Aaron SD, To T. Pulmonary function testing in the diagnosis of asthma: a population study. Chest. 2012;141(5):1190-6.</w:t>
      </w:r>
    </w:p>
    <w:p w14:paraId="031D5333" w14:textId="77777777" w:rsidR="008B1C85" w:rsidRPr="00A0517F" w:rsidRDefault="008B1C85" w:rsidP="008B1C85">
      <w:pPr>
        <w:pStyle w:val="References"/>
        <w:rPr>
          <w:rFonts w:cstheme="minorHAnsi"/>
        </w:rPr>
      </w:pPr>
      <w:r w:rsidRPr="00A0517F">
        <w:rPr>
          <w:rFonts w:cstheme="minorHAnsi"/>
        </w:rPr>
        <w:t xml:space="preserve">Global Initiative for Asthma (GINA). Global Strategy for Asthma Management and Prevention, 2015. Available from: </w:t>
      </w:r>
      <w:r w:rsidR="00262F3B" w:rsidRPr="001C53D8">
        <w:rPr>
          <w:rFonts w:cstheme="minorHAnsi"/>
        </w:rPr>
        <w:t>www.ginasthma.org/</w:t>
      </w:r>
      <w:r w:rsidR="00262F3B">
        <w:rPr>
          <w:rStyle w:val="Hyperlink"/>
          <w:rFonts w:cstheme="minorHAnsi"/>
        </w:rPr>
        <w:t xml:space="preserve"> </w:t>
      </w:r>
      <w:r w:rsidRPr="00A0517F">
        <w:rPr>
          <w:rFonts w:cstheme="minorHAnsi"/>
        </w:rPr>
        <w:t>.</w:t>
      </w:r>
    </w:p>
    <w:p w14:paraId="170D8DB1" w14:textId="77777777" w:rsidR="008B1C85" w:rsidRPr="00A0517F" w:rsidRDefault="008B1C85" w:rsidP="008B1C85">
      <w:pPr>
        <w:pStyle w:val="References"/>
        <w:rPr>
          <w:rFonts w:cstheme="minorHAnsi"/>
        </w:rPr>
      </w:pPr>
      <w:r w:rsidRPr="00A0517F">
        <w:rPr>
          <w:rFonts w:cstheme="minorHAnsi"/>
        </w:rPr>
        <w:t xml:space="preserve">Global Initiative for Chronic Obstructive Lung Disease (GOLD). Global Strategy for the Diagnosis, Management, and Prevention of Chronic Obstructive Pulmonary Disease, 2016. Available from: </w:t>
      </w:r>
      <w:hyperlink r:id="rId21" w:tooltip="This link goes to the GOLD website" w:history="1">
        <w:r w:rsidRPr="00A0517F">
          <w:rPr>
            <w:rStyle w:val="Hyperlink"/>
            <w:rFonts w:cstheme="minorHAnsi"/>
          </w:rPr>
          <w:t>http://www.goldcopd.com/</w:t>
        </w:r>
      </w:hyperlink>
      <w:r w:rsidR="00262F3B">
        <w:rPr>
          <w:rStyle w:val="Hyperlink"/>
          <w:rFonts w:cstheme="minorHAnsi"/>
        </w:rPr>
        <w:t xml:space="preserve"> </w:t>
      </w:r>
      <w:r w:rsidRPr="00A0517F">
        <w:rPr>
          <w:rFonts w:cstheme="minorHAnsi"/>
        </w:rPr>
        <w:t>.</w:t>
      </w:r>
    </w:p>
    <w:p w14:paraId="7E0181B0" w14:textId="77777777" w:rsidR="008B1C85" w:rsidRPr="00A0517F" w:rsidRDefault="008B1C85" w:rsidP="008B1C85">
      <w:pPr>
        <w:pStyle w:val="References"/>
        <w:rPr>
          <w:rFonts w:cstheme="minorHAnsi"/>
        </w:rPr>
      </w:pPr>
      <w:r w:rsidRPr="00A0517F">
        <w:rPr>
          <w:rFonts w:cstheme="minorHAnsi"/>
        </w:rPr>
        <w:t>Goeman DP, Hogan CD, Aroni RA, Abramson MJ, Sawyer SM, Stewart K, Sanci LA, Douglass JA. Barriers to delivering asthma care: a qualitative study of general practitioners. Med J Aust. 2005;183(9):457-60.</w:t>
      </w:r>
    </w:p>
    <w:p w14:paraId="1AD92B3C" w14:textId="77777777" w:rsidR="008B1C85" w:rsidRPr="00A0517F" w:rsidRDefault="008B1C85" w:rsidP="008B1C85">
      <w:pPr>
        <w:pStyle w:val="References"/>
        <w:rPr>
          <w:rFonts w:cstheme="minorHAnsi"/>
        </w:rPr>
      </w:pPr>
      <w:r w:rsidRPr="00A0517F">
        <w:rPr>
          <w:rFonts w:cstheme="minorHAnsi"/>
        </w:rPr>
        <w:t>Guyatt GH, Oxman AD, Schünemann HJ, Tugwell P, Knottnerus A. GRADE guidelines: a new series of articles in the Journal of Clinical Epidemiology. J Clin Epidemiol. 2011; 64(4):380-2.</w:t>
      </w:r>
    </w:p>
    <w:p w14:paraId="185C5EA9" w14:textId="77777777" w:rsidR="008B1C85" w:rsidRPr="00A0517F" w:rsidRDefault="008B1C85" w:rsidP="008B1C85">
      <w:pPr>
        <w:pStyle w:val="References"/>
        <w:rPr>
          <w:rFonts w:cstheme="minorHAnsi"/>
        </w:rPr>
      </w:pPr>
      <w:r w:rsidRPr="00A0517F">
        <w:rPr>
          <w:rFonts w:cstheme="minorHAnsi"/>
        </w:rPr>
        <w:t>Hadcroft J, Calverley PM. Alternative methods for assessing bronchodilator reversibility in chronic obstructive pulmonary disease. Thorax. 2001;56(9):713-720.</w:t>
      </w:r>
    </w:p>
    <w:p w14:paraId="2AA84646" w14:textId="77777777" w:rsidR="008B1C85" w:rsidRPr="00A0517F" w:rsidRDefault="008B1C85" w:rsidP="008B1C85">
      <w:pPr>
        <w:pStyle w:val="References"/>
        <w:rPr>
          <w:rFonts w:cstheme="minorHAnsi"/>
        </w:rPr>
      </w:pPr>
      <w:r w:rsidRPr="00A0517F">
        <w:rPr>
          <w:rFonts w:cstheme="minorHAnsi"/>
        </w:rPr>
        <w:t>Holton C, Crockett A, Nelson M, Ryan P, Wood-Baker R, Stocks N, Briggs N, Beilby J. Does spirometry training in general practice improve quality and outcomes of asthma care? Int J Qual Health Care. 2011;23(5):545-53.</w:t>
      </w:r>
    </w:p>
    <w:p w14:paraId="149CACD8" w14:textId="77777777" w:rsidR="008B1C85" w:rsidRPr="00A0517F" w:rsidRDefault="008B1C85" w:rsidP="008B1C85">
      <w:pPr>
        <w:pStyle w:val="References"/>
        <w:rPr>
          <w:rFonts w:cstheme="minorHAnsi"/>
        </w:rPr>
      </w:pPr>
      <w:r w:rsidRPr="00A0517F">
        <w:rPr>
          <w:rFonts w:cstheme="minorHAnsi"/>
        </w:rPr>
        <w:t>Hunter CJ, Brightling CE, Woltmann G, Wardlaw AJ &amp; Pavord ID. A comparison of the validity of different diagnostic tests in adults with asthma. Chest. 2002;121:1051-7.</w:t>
      </w:r>
    </w:p>
    <w:p w14:paraId="599FA3E6" w14:textId="77777777" w:rsidR="008B1C85" w:rsidRPr="00A0517F" w:rsidRDefault="008B1C85" w:rsidP="008B1C85">
      <w:pPr>
        <w:pStyle w:val="References"/>
        <w:rPr>
          <w:rFonts w:cstheme="minorHAnsi"/>
        </w:rPr>
      </w:pPr>
      <w:r w:rsidRPr="00A0517F">
        <w:rPr>
          <w:rFonts w:cstheme="minorHAnsi"/>
        </w:rPr>
        <w:t>Hurst JR, Vestbo J, Anzueto A, et al. Susceptibility to exacerbation in chronic obstructive pulmonary disease. N Engl J Med. 2010;363:1128-38.</w:t>
      </w:r>
    </w:p>
    <w:p w14:paraId="5C5F88B1" w14:textId="77777777" w:rsidR="008B1C85" w:rsidRPr="00A0517F" w:rsidRDefault="008B1C85" w:rsidP="008B1C85">
      <w:pPr>
        <w:pStyle w:val="References"/>
        <w:rPr>
          <w:rFonts w:cstheme="minorHAnsi"/>
        </w:rPr>
      </w:pPr>
      <w:r w:rsidRPr="00A0517F">
        <w:rPr>
          <w:rFonts w:cstheme="minorHAnsi"/>
        </w:rPr>
        <w:lastRenderedPageBreak/>
        <w:t>Jenkins CR, Jones PW, Calverley PM, et al. Efficacy of salmeterol/fluticasone propionate by GOLD stage of chronic obstructive pulmonary disease: analysis from the randomised, placebo-controlled TORCH study. Respir Res. 2009;10:59.</w:t>
      </w:r>
    </w:p>
    <w:p w14:paraId="580BDBD8" w14:textId="77777777" w:rsidR="008B1C85" w:rsidRPr="00A0517F" w:rsidRDefault="008B1C85" w:rsidP="008B1C85">
      <w:pPr>
        <w:pStyle w:val="References"/>
        <w:rPr>
          <w:rFonts w:cstheme="minorHAnsi"/>
        </w:rPr>
      </w:pPr>
      <w:r w:rsidRPr="00A0517F">
        <w:rPr>
          <w:rFonts w:cstheme="minorHAnsi"/>
        </w:rPr>
        <w:t>Johns DP, Burton D, Walters JA, Wood-Baker R. National survey of spirometer ownership and usage in general practice in Australia. Respirology. 2006;11(3):292-8.</w:t>
      </w:r>
    </w:p>
    <w:p w14:paraId="59FDDCBC" w14:textId="77777777" w:rsidR="008B1C85" w:rsidRPr="00A0517F" w:rsidRDefault="008B1C85" w:rsidP="008B1C85">
      <w:pPr>
        <w:pStyle w:val="References"/>
        <w:rPr>
          <w:rFonts w:cstheme="minorHAnsi"/>
        </w:rPr>
      </w:pPr>
      <w:r w:rsidRPr="00A0517F">
        <w:rPr>
          <w:rFonts w:cstheme="minorHAnsi"/>
        </w:rPr>
        <w:t xml:space="preserve">Johns DP &amp; Pierce R. </w:t>
      </w:r>
      <w:r w:rsidRPr="006618D2">
        <w:t>Pocket guide to spirometry.</w:t>
      </w:r>
      <w:r w:rsidRPr="00A0517F">
        <w:rPr>
          <w:rFonts w:cstheme="minorHAnsi"/>
        </w:rPr>
        <w:t xml:space="preserve"> 3rd edn. 2011. McGraw Hill, North Ryde.</w:t>
      </w:r>
    </w:p>
    <w:p w14:paraId="7B0A0E61" w14:textId="77777777" w:rsidR="008B1C85" w:rsidRPr="00A0517F" w:rsidRDefault="008B1C85" w:rsidP="008B1C85">
      <w:pPr>
        <w:pStyle w:val="References"/>
        <w:rPr>
          <w:rFonts w:cstheme="minorHAnsi"/>
        </w:rPr>
      </w:pPr>
      <w:r w:rsidRPr="00A0517F">
        <w:rPr>
          <w:rFonts w:cstheme="minorHAnsi"/>
        </w:rPr>
        <w:t>Johns DP, Burton D, Swanney MP. Spirometer Users’ and Buyers’ Guide. Melbourne: National Asthma Council Australia, 2013.</w:t>
      </w:r>
    </w:p>
    <w:p w14:paraId="4BD6A9A1" w14:textId="77777777" w:rsidR="008B1C85" w:rsidRPr="00A0517F" w:rsidRDefault="008B1C85" w:rsidP="008B1C85">
      <w:pPr>
        <w:pStyle w:val="References"/>
        <w:rPr>
          <w:rFonts w:cstheme="minorHAnsi"/>
        </w:rPr>
      </w:pPr>
      <w:r w:rsidRPr="00A0517F">
        <w:rPr>
          <w:rFonts w:cstheme="minorHAnsi"/>
        </w:rPr>
        <w:t>Jones PW. Health status and the spiral of decline. COPD. 2009;6:59-63.</w:t>
      </w:r>
    </w:p>
    <w:p w14:paraId="05367237" w14:textId="77777777" w:rsidR="008B1C85" w:rsidRPr="00A0517F" w:rsidRDefault="008B1C85" w:rsidP="008B1C85">
      <w:pPr>
        <w:pStyle w:val="References"/>
        <w:rPr>
          <w:rFonts w:cstheme="minorHAnsi"/>
        </w:rPr>
      </w:pPr>
      <w:r w:rsidRPr="00A0517F">
        <w:rPr>
          <w:rFonts w:cstheme="minorHAnsi"/>
        </w:rPr>
        <w:t>Joo MJ, Sharp LK, Au DH, Lee TA, Fitzgibbon ML. Use of spirometry in the diagnosis of COPD: a qualitative study in primary care. COPD. 2013;10(4):444-9.</w:t>
      </w:r>
    </w:p>
    <w:p w14:paraId="14C84A9A" w14:textId="77777777" w:rsidR="008B1C85" w:rsidRPr="00A0517F" w:rsidRDefault="008B1C85" w:rsidP="008B1C85">
      <w:pPr>
        <w:pStyle w:val="References"/>
        <w:rPr>
          <w:rFonts w:cstheme="minorHAnsi"/>
        </w:rPr>
      </w:pPr>
      <w:r w:rsidRPr="00A0517F">
        <w:rPr>
          <w:rFonts w:cstheme="minorHAnsi"/>
        </w:rPr>
        <w:t>José BP, Camargos PA, Cruz Filho ÁA, Corrêa Rde A. Diagnostic accuracy of respiratory diseases in primary health units. Rev Assoc Med Bras. 2014;60(6):599-612.</w:t>
      </w:r>
    </w:p>
    <w:p w14:paraId="62E2A646" w14:textId="77777777" w:rsidR="008B1C85" w:rsidRPr="00A0517F" w:rsidRDefault="008B1C85" w:rsidP="008B1C85">
      <w:pPr>
        <w:pStyle w:val="References"/>
        <w:rPr>
          <w:rFonts w:cstheme="minorHAnsi"/>
        </w:rPr>
      </w:pPr>
      <w:r w:rsidRPr="00A0517F">
        <w:rPr>
          <w:rFonts w:cstheme="minorHAnsi"/>
        </w:rPr>
        <w:t>Kenn K &amp; Balkissoon R. Vocal cord dysfunction: what do we know? Eur Respir J. 2011;37:194-200.</w:t>
      </w:r>
    </w:p>
    <w:p w14:paraId="2C11AB57" w14:textId="77777777" w:rsidR="008B1C85" w:rsidRPr="00A0517F" w:rsidRDefault="008B1C85" w:rsidP="008B1C85">
      <w:pPr>
        <w:pStyle w:val="References"/>
        <w:rPr>
          <w:rFonts w:cstheme="minorHAnsi"/>
        </w:rPr>
      </w:pPr>
      <w:r w:rsidRPr="00A0517F">
        <w:rPr>
          <w:rFonts w:cstheme="minorHAnsi"/>
        </w:rPr>
        <w:t>Killian KJ, Watson R, Otis J, St Amand TA, O'Byrne PM. Symptom perception during acute bronchoconstriction. Am J Respir Crit Care Med. 2000;162:490-6.</w:t>
      </w:r>
    </w:p>
    <w:p w14:paraId="3CE6EF43" w14:textId="77777777" w:rsidR="008B1C85" w:rsidRPr="00A0517F" w:rsidRDefault="008B1C85" w:rsidP="008B1C85">
      <w:pPr>
        <w:pStyle w:val="References"/>
        <w:rPr>
          <w:rFonts w:cstheme="minorHAnsi"/>
        </w:rPr>
      </w:pPr>
      <w:r w:rsidRPr="00A0517F">
        <w:rPr>
          <w:rFonts w:cstheme="minorHAnsi"/>
        </w:rPr>
        <w:t>Kim TB, Oh YM, Chang YS, Cho YS, Jang AS, Cho SH et al. The reality of an intermediate type between asthma and COPD in practice. Respiratory Care. 2012;57(8):1248-1253.</w:t>
      </w:r>
    </w:p>
    <w:p w14:paraId="0275C233" w14:textId="77777777" w:rsidR="008B1C85" w:rsidRPr="00A0517F" w:rsidRDefault="008B1C85" w:rsidP="008B1C85">
      <w:pPr>
        <w:pStyle w:val="References"/>
        <w:rPr>
          <w:rFonts w:cstheme="minorHAnsi"/>
        </w:rPr>
      </w:pPr>
      <w:r w:rsidRPr="00A0517F">
        <w:rPr>
          <w:rFonts w:cstheme="minorHAnsi"/>
        </w:rPr>
        <w:t>Kitch BT, Paltiel AD, Kuntz KM, et al. A single measure of FEV1 is associated with risk of asthma attacks in longterm follow-up. Chest. 2004;126:1875-82.</w:t>
      </w:r>
    </w:p>
    <w:p w14:paraId="7AA7BE5E" w14:textId="77777777" w:rsidR="008B1C85" w:rsidRPr="00A0517F" w:rsidRDefault="008B1C85" w:rsidP="008B1C85">
      <w:pPr>
        <w:pStyle w:val="References"/>
        <w:rPr>
          <w:rFonts w:cstheme="minorHAnsi"/>
        </w:rPr>
      </w:pPr>
      <w:r w:rsidRPr="00A0517F">
        <w:rPr>
          <w:rFonts w:cstheme="minorHAnsi"/>
        </w:rPr>
        <w:t>Langdown C, Peckham S. The use of financial incentives to help improve health outcomes: is the quality and outcomes framework fit for purpose? A systematic review. J Public Health. 2014;36(2):251-8.</w:t>
      </w:r>
    </w:p>
    <w:p w14:paraId="103F23ED" w14:textId="77777777" w:rsidR="008B1C85" w:rsidRPr="00A0517F" w:rsidRDefault="008B1C85" w:rsidP="008B1C85">
      <w:pPr>
        <w:pStyle w:val="References"/>
        <w:rPr>
          <w:rFonts w:cstheme="minorHAnsi"/>
        </w:rPr>
      </w:pPr>
      <w:r w:rsidRPr="00A0517F">
        <w:rPr>
          <w:rFonts w:cstheme="minorHAnsi"/>
        </w:rPr>
        <w:t>Levy ML, Quanjer PH, Booker R, Cooper BG, Holmes S, Small I. Diagnostic spirometry in primary care: Proposed standards for general practice compliant with American Thoracic Society and European Respiratory Society recommendations: a General Practice Airways Group (GPIAG) document, in association with the Association for Respiratory Technology &amp; Physiology (ARTP) and Education for Health. Prim Care Respir J. 2009;18(3):130-47.</w:t>
      </w:r>
    </w:p>
    <w:p w14:paraId="6151E462" w14:textId="77777777" w:rsidR="008B1C85" w:rsidRPr="00A0517F" w:rsidRDefault="008B1C85" w:rsidP="008B1C85">
      <w:pPr>
        <w:pStyle w:val="References"/>
        <w:rPr>
          <w:rFonts w:cstheme="minorHAnsi"/>
        </w:rPr>
      </w:pPr>
      <w:r w:rsidRPr="00A0517F">
        <w:rPr>
          <w:rFonts w:cstheme="minorHAnsi"/>
        </w:rPr>
        <w:t>Li D, German D, Lulla S, Thomas RG, Wilson SR. Prospective study of hospitalization for asthma. A preliminary risk factor model. Am J Respir Crit Care Med. 1995;151:647-55.</w:t>
      </w:r>
    </w:p>
    <w:p w14:paraId="1DB360AA" w14:textId="77777777" w:rsidR="008B1C85" w:rsidRPr="00A0517F" w:rsidRDefault="008B1C85" w:rsidP="008B1C85">
      <w:pPr>
        <w:pStyle w:val="References"/>
        <w:rPr>
          <w:rFonts w:cstheme="minorHAnsi"/>
        </w:rPr>
      </w:pPr>
      <w:r w:rsidRPr="00A0517F">
        <w:rPr>
          <w:rFonts w:cstheme="minorHAnsi"/>
        </w:rPr>
        <w:t xml:space="preserve">Lung Foundation Australia (LFA) / The Thoracic Society of Australia and New Zealand (TSANZ). The COPD-X Plan: Australian and New Zealand guidelines for the management of Chronic Obstructive Pulmonary Disease. Version 2.44. Lung Foundation Australia and The Thoracic Society of Australia and New Zealand, 2012. Available from: </w:t>
      </w:r>
      <w:hyperlink r:id="rId22" w:tooltip="The guideline can be downloaded via this link" w:history="1">
        <w:r w:rsidRPr="00A0517F">
          <w:rPr>
            <w:rStyle w:val="Hyperlink"/>
            <w:rFonts w:cstheme="minorHAnsi"/>
          </w:rPr>
          <w:t>http://www.copdx.org.au/</w:t>
        </w:r>
      </w:hyperlink>
      <w:r w:rsidRPr="00A0517F">
        <w:rPr>
          <w:rFonts w:cstheme="minorHAnsi"/>
        </w:rPr>
        <w:t xml:space="preserve">. </w:t>
      </w:r>
    </w:p>
    <w:p w14:paraId="0590242A" w14:textId="77777777" w:rsidR="008B1C85" w:rsidRPr="00A0517F" w:rsidRDefault="008B1C85" w:rsidP="008B1C85">
      <w:pPr>
        <w:pStyle w:val="References"/>
        <w:rPr>
          <w:rFonts w:cstheme="minorHAnsi"/>
        </w:rPr>
      </w:pPr>
      <w:r w:rsidRPr="00A0517F">
        <w:rPr>
          <w:rFonts w:cstheme="minorHAnsi"/>
        </w:rPr>
        <w:t>Lusuardi M, De Benedetto F, Paggiaro P, Sanguinetti C, Brazzola G, Ferri P, Donner CF. A randomized controlled trial on office spirometry in asthma and COPD in standard general practice: Data from spirometry in asthma and COPD: a evaluation Italian study. Chest 2006;129(4):844-52.</w:t>
      </w:r>
    </w:p>
    <w:p w14:paraId="05C820E6" w14:textId="77777777" w:rsidR="008B1C85" w:rsidRPr="00A0517F" w:rsidRDefault="008B1C85" w:rsidP="008B1C85">
      <w:pPr>
        <w:pStyle w:val="References"/>
        <w:rPr>
          <w:rFonts w:cstheme="minorHAnsi"/>
        </w:rPr>
      </w:pPr>
      <w:r w:rsidRPr="00A0517F">
        <w:rPr>
          <w:rFonts w:cstheme="minorHAnsi"/>
        </w:rPr>
        <w:t>Matheson MC, Abeysena C, Raven JM, Skoric B, Johns DP, Abramson MJ, Walters EH. How have we been managing chronic obstructive pulmonary disease in Australia? Intern Med J. 2006;36(2):92-9.</w:t>
      </w:r>
    </w:p>
    <w:p w14:paraId="69A2CF86" w14:textId="77777777" w:rsidR="008B1C85" w:rsidRPr="00A0517F" w:rsidRDefault="008B1C85" w:rsidP="008B1C85">
      <w:pPr>
        <w:pStyle w:val="References"/>
        <w:rPr>
          <w:rFonts w:cstheme="minorHAnsi"/>
        </w:rPr>
      </w:pPr>
      <w:r w:rsidRPr="00A0517F">
        <w:rPr>
          <w:rFonts w:cstheme="minorHAnsi"/>
        </w:rPr>
        <w:t>McKenzie DK, Frith PA, Burdon JG, Town GI. The COPDX Plan: Australian and New Zealand Guidelines for the management of Chronic Obstructive Pulmonary Disease 2003. Med J Aust. 2003;178 Suppl:S7-39.</w:t>
      </w:r>
    </w:p>
    <w:p w14:paraId="26003BD2" w14:textId="77777777" w:rsidR="008B1C85" w:rsidRPr="00A0517F" w:rsidRDefault="008B1C85" w:rsidP="008B1C85">
      <w:pPr>
        <w:pStyle w:val="References"/>
        <w:rPr>
          <w:rFonts w:cstheme="minorHAnsi"/>
        </w:rPr>
      </w:pPr>
      <w:r w:rsidRPr="00A0517F">
        <w:rPr>
          <w:rFonts w:cstheme="minorHAnsi"/>
        </w:rPr>
        <w:t>Miller MR, Hankinson J, Brusasco V, Burgos F, Casaburi R. ATS/ERS Task Force Standardisation of lung function testing: Standardisation of spirometry. Eur Respir J. 2005;26(2):319-38.</w:t>
      </w:r>
    </w:p>
    <w:p w14:paraId="7203AF98" w14:textId="77777777" w:rsidR="008B1C85" w:rsidRPr="00A0517F" w:rsidRDefault="008B1C85" w:rsidP="008B1C85">
      <w:pPr>
        <w:pStyle w:val="References"/>
        <w:rPr>
          <w:rFonts w:cstheme="minorHAnsi"/>
        </w:rPr>
      </w:pPr>
      <w:r w:rsidRPr="00A0517F">
        <w:rPr>
          <w:rFonts w:cstheme="minorHAnsi"/>
        </w:rPr>
        <w:t>Morris MJ &amp; Christopher KL. Diagnostic criteria for the classification of vocal cord dysfunction. Chest. 2010;138:1213-23.</w:t>
      </w:r>
    </w:p>
    <w:p w14:paraId="12743EED" w14:textId="77777777" w:rsidR="008B1C85" w:rsidRPr="00A0517F" w:rsidRDefault="008B1C85" w:rsidP="008B1C85">
      <w:pPr>
        <w:pStyle w:val="References"/>
        <w:rPr>
          <w:rFonts w:cstheme="minorHAnsi"/>
        </w:rPr>
      </w:pPr>
      <w:r w:rsidRPr="00A0517F">
        <w:rPr>
          <w:rFonts w:cstheme="minorHAnsi"/>
        </w:rPr>
        <w:t>National Asthma Council Australia. Asthma and Lung Function Tests. Melbourne, National Asthma Council Australia, 2012.</w:t>
      </w:r>
    </w:p>
    <w:p w14:paraId="109EC25F" w14:textId="77777777" w:rsidR="008B1C85" w:rsidRPr="00A0517F" w:rsidRDefault="008B1C85" w:rsidP="008B1C85">
      <w:pPr>
        <w:pStyle w:val="References"/>
        <w:rPr>
          <w:rFonts w:cstheme="minorHAnsi"/>
        </w:rPr>
      </w:pPr>
      <w:r w:rsidRPr="00A0517F">
        <w:rPr>
          <w:rFonts w:cstheme="minorHAnsi"/>
        </w:rPr>
        <w:lastRenderedPageBreak/>
        <w:t>National Asthma Council Australia. Asthma and the Over 65s – An information paper for health professionals. Melbourne, National Asthma Council Australia, 2013.</w:t>
      </w:r>
    </w:p>
    <w:p w14:paraId="359379CC" w14:textId="77777777" w:rsidR="008B1C85" w:rsidRPr="00A0517F" w:rsidRDefault="008B1C85" w:rsidP="008B1C85">
      <w:pPr>
        <w:pStyle w:val="References"/>
        <w:rPr>
          <w:rFonts w:cstheme="minorHAnsi"/>
        </w:rPr>
      </w:pPr>
      <w:r w:rsidRPr="00A0517F">
        <w:rPr>
          <w:rFonts w:cstheme="minorHAnsi"/>
        </w:rPr>
        <w:t xml:space="preserve">National Asthma Council Australia. </w:t>
      </w:r>
      <w:hyperlink r:id="rId23" w:history="1">
        <w:r w:rsidRPr="00BA05B4">
          <w:rPr>
            <w:rStyle w:val="Hyperlink"/>
            <w:rFonts w:cstheme="minorHAnsi"/>
          </w:rPr>
          <w:t>Australian Asthma Handbook</w:t>
        </w:r>
      </w:hyperlink>
      <w:r w:rsidRPr="00A0517F">
        <w:rPr>
          <w:rFonts w:cstheme="minorHAnsi"/>
        </w:rPr>
        <w:t>, Version 1.1. National Asthma Council Australia, Melbourne, 2015.</w:t>
      </w:r>
    </w:p>
    <w:p w14:paraId="75B4654B" w14:textId="77777777" w:rsidR="008B1C85" w:rsidRPr="00A0517F" w:rsidRDefault="008B1C85" w:rsidP="008B1C85">
      <w:pPr>
        <w:pStyle w:val="References"/>
        <w:rPr>
          <w:rFonts w:cstheme="minorHAnsi"/>
        </w:rPr>
      </w:pPr>
      <w:r w:rsidRPr="00A0517F">
        <w:rPr>
          <w:rFonts w:cstheme="minorHAnsi"/>
        </w:rPr>
        <w:t xml:space="preserve">National Clinical Guideline Centre. </w:t>
      </w:r>
      <w:hyperlink r:id="rId24" w:history="1">
        <w:r w:rsidRPr="00BA05B4">
          <w:rPr>
            <w:rStyle w:val="Hyperlink"/>
            <w:rFonts w:cstheme="minorHAnsi"/>
          </w:rPr>
          <w:t>Chronic obstructive pulmonary disease: management of chronic obstructive pulmonary disease in adults in primary and secondary care</w:t>
        </w:r>
      </w:hyperlink>
      <w:r w:rsidRPr="00A0517F">
        <w:rPr>
          <w:rFonts w:cstheme="minorHAnsi"/>
        </w:rPr>
        <w:t xml:space="preserve">. London: National Clinical Guideline Centre, 2010. </w:t>
      </w:r>
    </w:p>
    <w:p w14:paraId="249ED473" w14:textId="77777777" w:rsidR="008B1C85" w:rsidRPr="00A0517F" w:rsidRDefault="008B1C85" w:rsidP="008B1C85">
      <w:pPr>
        <w:pStyle w:val="References"/>
        <w:rPr>
          <w:rFonts w:cstheme="minorHAnsi"/>
        </w:rPr>
      </w:pPr>
      <w:r w:rsidRPr="00A0517F">
        <w:rPr>
          <w:rFonts w:cstheme="minorHAnsi"/>
        </w:rPr>
        <w:t xml:space="preserve">National Clinical Guideline Centre. </w:t>
      </w:r>
      <w:hyperlink r:id="rId25" w:history="1">
        <w:r w:rsidRPr="00D6498F">
          <w:rPr>
            <w:rStyle w:val="Hyperlink"/>
            <w:rFonts w:cstheme="minorHAnsi"/>
          </w:rPr>
          <w:t>Asthma: diagnosis and monitoring of asthma in adults, children and young people</w:t>
        </w:r>
      </w:hyperlink>
      <w:r w:rsidR="00D6498F">
        <w:rPr>
          <w:rFonts w:cstheme="minorHAnsi"/>
        </w:rPr>
        <w:t xml:space="preserve"> [PDF, 3.89 MB],</w:t>
      </w:r>
      <w:r w:rsidRPr="00A0517F">
        <w:rPr>
          <w:rFonts w:cstheme="minorHAnsi"/>
        </w:rPr>
        <w:t xml:space="preserve"> [Interim findings; Jan 2016]. London: National Clinical Guideline Centre, 2016</w:t>
      </w:r>
    </w:p>
    <w:p w14:paraId="7C491052" w14:textId="77777777" w:rsidR="008B1C85" w:rsidRPr="00A0517F" w:rsidRDefault="008B1C85" w:rsidP="008B1C85">
      <w:pPr>
        <w:pStyle w:val="References"/>
        <w:rPr>
          <w:rFonts w:cstheme="minorHAnsi"/>
        </w:rPr>
      </w:pPr>
      <w:r w:rsidRPr="00A0517F">
        <w:rPr>
          <w:rFonts w:cstheme="minorHAnsi"/>
        </w:rPr>
        <w:t xml:space="preserve">National Heart Lung and Blood Institute (NHLBI) National Asthma Education and Prevention Program. </w:t>
      </w:r>
      <w:hyperlink r:id="rId26" w:history="1">
        <w:r w:rsidRPr="00F239F1">
          <w:rPr>
            <w:rStyle w:val="Hyperlink"/>
            <w:rFonts w:cstheme="minorHAnsi"/>
            <w:i/>
          </w:rPr>
          <w:t>Expert Panel Report 3: guidelines for the diagnosis and management of asthma. Full report 2007</w:t>
        </w:r>
      </w:hyperlink>
      <w:r w:rsidRPr="00A0517F">
        <w:rPr>
          <w:rFonts w:cstheme="minorHAnsi"/>
        </w:rPr>
        <w:t xml:space="preserve">. US Department of Health and Human Services National Institutes of Health, Bethesda, 2007. </w:t>
      </w:r>
    </w:p>
    <w:p w14:paraId="1A04241C" w14:textId="77777777" w:rsidR="008B1C85" w:rsidRPr="00A0517F" w:rsidRDefault="008B1C85" w:rsidP="008B1C85">
      <w:pPr>
        <w:pStyle w:val="References"/>
        <w:rPr>
          <w:rFonts w:cstheme="minorHAnsi"/>
        </w:rPr>
      </w:pPr>
      <w:r w:rsidRPr="00A0517F">
        <w:rPr>
          <w:rFonts w:cstheme="minorHAnsi"/>
        </w:rPr>
        <w:t>NHLBI/WHO Workshop Report. Global Initiative for Chronic Obstructive Pulmonary Disease (GOLD): Global strategy for the diagnosis, management and prevention of chronic obstructive pulmonary disease. Bethesda, MD: National Institutes of Health - National Heart, Lung and Blood Institute, April 2001.</w:t>
      </w:r>
    </w:p>
    <w:p w14:paraId="2BEA05A3" w14:textId="77777777" w:rsidR="008B1C85" w:rsidRPr="00A0517F" w:rsidRDefault="008B1C85" w:rsidP="008B1C85">
      <w:pPr>
        <w:pStyle w:val="References"/>
        <w:rPr>
          <w:rFonts w:cstheme="minorHAnsi"/>
        </w:rPr>
      </w:pPr>
      <w:r w:rsidRPr="00A0517F">
        <w:rPr>
          <w:rFonts w:cstheme="minorHAnsi"/>
        </w:rPr>
        <w:t>Nisar M, Walshaw M, Earis JE et al. Assessment of reversibility of airway obstruction in patients with chronic obstructive airways disease. Thorax. 1990;45(3):190-194.</w:t>
      </w:r>
    </w:p>
    <w:p w14:paraId="4BE71249" w14:textId="77777777" w:rsidR="008B1C85" w:rsidRPr="00A0517F" w:rsidRDefault="008B1C85" w:rsidP="008B1C85">
      <w:pPr>
        <w:pStyle w:val="References"/>
        <w:rPr>
          <w:rFonts w:cstheme="minorHAnsi"/>
        </w:rPr>
      </w:pPr>
      <w:r w:rsidRPr="00A0517F">
        <w:rPr>
          <w:rFonts w:cstheme="minorHAnsi"/>
        </w:rPr>
        <w:t>Nisar M, Earis JE, Pearson MG et al. Acute bronchodilator trials in chronic obstructive pulmonary disease. Am Rev Respir Dis. 1992;146(3):555-559.</w:t>
      </w:r>
    </w:p>
    <w:p w14:paraId="7AB54CB6" w14:textId="77777777" w:rsidR="008B1C85" w:rsidRPr="00A0517F" w:rsidRDefault="008B1C85" w:rsidP="008B1C85">
      <w:pPr>
        <w:pStyle w:val="References"/>
        <w:rPr>
          <w:rFonts w:cstheme="minorHAnsi"/>
        </w:rPr>
      </w:pPr>
      <w:r w:rsidRPr="00A0517F">
        <w:rPr>
          <w:rFonts w:cstheme="minorHAnsi"/>
        </w:rPr>
        <w:t>Osborne ML, Pedula KL, O'Hollaren M, et al. Assessing future need for acute care in adult asthmatics: the Profile of Asthma Risk Study: a prospective health maintenance organization-based study. Chest. 2007;132:1151-61.</w:t>
      </w:r>
    </w:p>
    <w:p w14:paraId="184CEC4A" w14:textId="77777777" w:rsidR="008B1C85" w:rsidRPr="00A0517F" w:rsidRDefault="008B1C85" w:rsidP="008B1C85">
      <w:pPr>
        <w:pStyle w:val="References"/>
        <w:rPr>
          <w:rFonts w:cstheme="minorHAnsi"/>
        </w:rPr>
      </w:pPr>
      <w:r w:rsidRPr="00A0517F">
        <w:rPr>
          <w:rFonts w:cstheme="minorHAnsi"/>
        </w:rPr>
        <w:t>Pellegrino R, et al. Interpretative strategies for lung function tests. Eur Respir J. 2005;26(5):948-68.</w:t>
      </w:r>
    </w:p>
    <w:p w14:paraId="5A118442" w14:textId="77777777" w:rsidR="008B1C85" w:rsidRPr="00A0517F" w:rsidRDefault="008B1C85" w:rsidP="008B1C85">
      <w:pPr>
        <w:pStyle w:val="References"/>
        <w:rPr>
          <w:rFonts w:cstheme="minorHAnsi"/>
        </w:rPr>
      </w:pPr>
      <w:r w:rsidRPr="00A0517F">
        <w:rPr>
          <w:rFonts w:cstheme="minorHAnsi"/>
        </w:rPr>
        <w:t>Pino JM, Garcia-Rio F, Prados C, Alvarez-Sala R, Diaz S, Villasante C et al. Value of the peak expiratory flow in bronchodynamic tests. Allergologia Et Immunopathologia. 1996;24(2):54-57.</w:t>
      </w:r>
    </w:p>
    <w:p w14:paraId="6D0BCCB6" w14:textId="77777777" w:rsidR="008B1C85" w:rsidRPr="00A0517F" w:rsidRDefault="008B1C85" w:rsidP="008B1C85">
      <w:pPr>
        <w:pStyle w:val="References"/>
        <w:rPr>
          <w:rFonts w:cstheme="minorHAnsi"/>
        </w:rPr>
      </w:pPr>
      <w:r w:rsidRPr="00A0517F">
        <w:rPr>
          <w:rFonts w:cstheme="minorHAnsi"/>
        </w:rPr>
        <w:t>Popovic-Grle S, Mehulic M, Pavicic F, Babic I, Beg-Zec Z. Clinical validation of bronchial hyperresponsiveness, allergy tests and lung function in the diagnosis of asthma in persons with dyspnea. Collegium Antropologicum. 2002;26 Suppl:119-127.</w:t>
      </w:r>
    </w:p>
    <w:p w14:paraId="78B9622B" w14:textId="77777777" w:rsidR="008B1C85" w:rsidRPr="00A0517F" w:rsidRDefault="008B1C85" w:rsidP="008B1C85">
      <w:pPr>
        <w:pStyle w:val="References"/>
        <w:rPr>
          <w:rFonts w:cstheme="minorHAnsi"/>
        </w:rPr>
      </w:pPr>
      <w:r w:rsidRPr="00A0517F">
        <w:rPr>
          <w:rFonts w:cstheme="minorHAnsi"/>
        </w:rPr>
        <w:t>Qaseem A, Snow V, Owens DK, Shekelle P. The development of clinical practice guidelines and guidance statements of the American College of Physicians: Summary of Methods. Ann Intern Med. 2010;153(3):194-9.</w:t>
      </w:r>
    </w:p>
    <w:p w14:paraId="7AF7F5CB" w14:textId="77777777" w:rsidR="008B1C85" w:rsidRPr="00A0517F" w:rsidRDefault="008B1C85" w:rsidP="008B1C85">
      <w:pPr>
        <w:pStyle w:val="References"/>
        <w:rPr>
          <w:rFonts w:cstheme="minorHAnsi"/>
        </w:rPr>
      </w:pPr>
      <w:r w:rsidRPr="00A0517F">
        <w:rPr>
          <w:rFonts w:cstheme="minorHAnsi"/>
        </w:rPr>
        <w:t>Qaseem A, Wilt T, Weinberger SE, Hanania NA, Criner G, et al. Diagnosis and management of stable chronic obstructive pulmonary disease: a clinical practice guideline update from the American College of Physicians, American College of Chest Physicians, American Thoracic Society, and European Respiratory Society. Ann Intern Med. 2011;155:179-91.</w:t>
      </w:r>
    </w:p>
    <w:p w14:paraId="159D556D" w14:textId="77777777" w:rsidR="008B1C85" w:rsidRPr="00A0517F" w:rsidRDefault="008B1C85" w:rsidP="008B1C85">
      <w:pPr>
        <w:pStyle w:val="References"/>
        <w:rPr>
          <w:rFonts w:cstheme="minorHAnsi"/>
        </w:rPr>
      </w:pPr>
      <w:r w:rsidRPr="00A0517F">
        <w:rPr>
          <w:rFonts w:cstheme="minorHAnsi"/>
        </w:rPr>
        <w:t>Quadrelli SA, Roncoroni AJ, Montiel GC. Evaluation of bronchodilator response in patients with airway obstruction. Respiratory Medicine. 1999;93(9):630-636.</w:t>
      </w:r>
    </w:p>
    <w:p w14:paraId="4FE2E0A2" w14:textId="77777777" w:rsidR="008B1C85" w:rsidRPr="00A0517F" w:rsidRDefault="008B1C85" w:rsidP="008B1C85">
      <w:pPr>
        <w:pStyle w:val="References"/>
        <w:rPr>
          <w:rFonts w:cstheme="minorHAnsi"/>
        </w:rPr>
      </w:pPr>
      <w:r w:rsidRPr="00A0517F">
        <w:rPr>
          <w:rFonts w:cstheme="minorHAnsi"/>
        </w:rPr>
        <w:t>Quanjer PH, Tammeling GJ, Cotes JE et al. Lung volumes and forced ventilatory flows. Report Working Party Standardization of Lung Function Tests, European Community for Steel and Coal. Official Statement of the European Respiratory Society. European Respiratory Journal Supplement. 1993;16:5-40.</w:t>
      </w:r>
    </w:p>
    <w:p w14:paraId="4DD07CDE" w14:textId="77777777" w:rsidR="008B1C85" w:rsidRPr="00A0517F" w:rsidRDefault="008B1C85" w:rsidP="008B1C85">
      <w:pPr>
        <w:pStyle w:val="References"/>
        <w:rPr>
          <w:rFonts w:cstheme="minorHAnsi"/>
        </w:rPr>
      </w:pPr>
      <w:r w:rsidRPr="00A0517F">
        <w:rPr>
          <w:rFonts w:cstheme="minorHAnsi"/>
        </w:rPr>
        <w:t>Quanjer PH, Stanojevic S, Cole TJ, et al. Multi-ethnic reference values for spirometry for the 3-95-yr age range: the global lung function 2012 equations. Eur Respir J. 2012;40:1324.</w:t>
      </w:r>
    </w:p>
    <w:p w14:paraId="52533E91" w14:textId="77777777" w:rsidR="008B1C85" w:rsidRPr="00A0517F" w:rsidRDefault="008B1C85" w:rsidP="008B1C85">
      <w:pPr>
        <w:pStyle w:val="References"/>
        <w:rPr>
          <w:rFonts w:cstheme="minorHAnsi"/>
        </w:rPr>
      </w:pPr>
      <w:r w:rsidRPr="00A0517F">
        <w:rPr>
          <w:rFonts w:cstheme="minorHAnsi"/>
        </w:rPr>
        <w:t>Reddel HK, Taylor DR, Bateman ED, et al. An official American Thoracic Society/European Respiratory Society statement: asthma control and exacerbations: standardizing endpoints for clinical asthma trials and clinical practice. Am J Respir Crit Care Med. 2009;180:59-99.</w:t>
      </w:r>
    </w:p>
    <w:p w14:paraId="5E942C6C" w14:textId="77777777" w:rsidR="008B1C85" w:rsidRPr="00A0517F" w:rsidRDefault="008B1C85" w:rsidP="008B1C85">
      <w:pPr>
        <w:pStyle w:val="References"/>
        <w:rPr>
          <w:rFonts w:cstheme="minorHAnsi"/>
        </w:rPr>
      </w:pPr>
      <w:r w:rsidRPr="00A0517F">
        <w:rPr>
          <w:rFonts w:cstheme="minorHAnsi"/>
        </w:rPr>
        <w:t>Reed CE. Asthma in the elderly: diagnosis and management. J Allergy Clin Immunol. 2010;126:681-7.</w:t>
      </w:r>
    </w:p>
    <w:p w14:paraId="75790CB7" w14:textId="77777777" w:rsidR="008B1C85" w:rsidRPr="00A0517F" w:rsidRDefault="008B1C85" w:rsidP="008B1C85">
      <w:pPr>
        <w:pStyle w:val="References"/>
        <w:rPr>
          <w:rFonts w:cstheme="minorHAnsi"/>
        </w:rPr>
      </w:pPr>
      <w:r w:rsidRPr="00A0517F">
        <w:rPr>
          <w:rFonts w:cstheme="minorHAnsi"/>
        </w:rPr>
        <w:lastRenderedPageBreak/>
        <w:t>Roberts NJ, Smith SF, Partridge MR. Why is spirometry underused in the diagnosis of the breathless patient: a qualitative study. BMC Pulm Med. 2011;11:37.</w:t>
      </w:r>
    </w:p>
    <w:p w14:paraId="3FE9AE62" w14:textId="77777777" w:rsidR="008B1C85" w:rsidRPr="00A0517F" w:rsidRDefault="008B1C85" w:rsidP="008B1C85">
      <w:pPr>
        <w:pStyle w:val="References"/>
        <w:rPr>
          <w:rFonts w:cstheme="minorHAnsi"/>
        </w:rPr>
      </w:pPr>
      <w:r w:rsidRPr="00A0517F">
        <w:rPr>
          <w:rFonts w:cstheme="minorHAnsi"/>
        </w:rPr>
        <w:t>Rosi E, Stendardi L, Binazzi B, Scano G. Perception of airway obstruction and airway inflammation in asthma: a review. Lung. 2006;184:251-8.</w:t>
      </w:r>
    </w:p>
    <w:p w14:paraId="02D3C0A5" w14:textId="77777777" w:rsidR="008B1C85" w:rsidRPr="00A0517F" w:rsidRDefault="008B1C85" w:rsidP="008B1C85">
      <w:pPr>
        <w:pStyle w:val="References"/>
        <w:rPr>
          <w:rFonts w:cstheme="minorHAnsi"/>
        </w:rPr>
      </w:pPr>
      <w:r w:rsidRPr="00A0517F">
        <w:rPr>
          <w:rFonts w:cstheme="minorHAnsi"/>
        </w:rPr>
        <w:t>Salinas GD, Williamson JC, Kalhan R, Thomashow B, Scheckermann JL, Walsh J, Abdolrasulnia M, Foster JA. Barriers to adherence to chronic obstructive pulmonary disease guidelines by primary care physicians. Int J Chron Obstruct Pulmon Dis. 2011;6:171-9.</w:t>
      </w:r>
    </w:p>
    <w:p w14:paraId="109221A8" w14:textId="77777777" w:rsidR="008B1C85" w:rsidRPr="00A0517F" w:rsidRDefault="008B1C85" w:rsidP="008B1C85">
      <w:pPr>
        <w:pStyle w:val="References"/>
        <w:rPr>
          <w:rFonts w:cstheme="minorHAnsi"/>
        </w:rPr>
      </w:pPr>
      <w:r w:rsidRPr="00A0517F">
        <w:rPr>
          <w:rFonts w:cstheme="minorHAnsi"/>
        </w:rPr>
        <w:t>Santus P, Pecchiari M, Carlucci P et al. Bronchodilation test in COPD: effect of inspiratory manoeuvre preceding forced expiration. Eur Respir J. 2003;21(1):82-85.</w:t>
      </w:r>
    </w:p>
    <w:p w14:paraId="5121E7D9" w14:textId="77777777" w:rsidR="008B1C85" w:rsidRPr="00A0517F" w:rsidRDefault="008B1C85" w:rsidP="008B1C85">
      <w:pPr>
        <w:pStyle w:val="References"/>
        <w:rPr>
          <w:rFonts w:cstheme="minorHAnsi"/>
        </w:rPr>
      </w:pPr>
      <w:r w:rsidRPr="00A0517F">
        <w:rPr>
          <w:rFonts w:cstheme="minorHAnsi"/>
        </w:rPr>
        <w:t>Schneider A, Gindner L, Tilemann L, Schermer T, Dinant GJ, Meyer FJ et al. Diagnostic accuracy of spirometry in primary care. BMC Pulmonary Medicine. 2009;9:31.</w:t>
      </w:r>
    </w:p>
    <w:p w14:paraId="1CC85B0F" w14:textId="77777777" w:rsidR="008B1C85" w:rsidRPr="00A0517F" w:rsidRDefault="008B1C85" w:rsidP="008B1C85">
      <w:pPr>
        <w:pStyle w:val="References"/>
        <w:rPr>
          <w:rFonts w:cstheme="minorHAnsi"/>
        </w:rPr>
      </w:pPr>
      <w:r w:rsidRPr="00A0517F">
        <w:rPr>
          <w:rFonts w:cstheme="minorHAnsi"/>
        </w:rPr>
        <w:t>Shea BJ, Grimshaw JM, Wells GA, Boers M, Andersson N, Hamel C, et al. Development of AMSTAR: a measurement tool to assess the methodological quality of systematic reviews. BMC Med Res Methodol. 2007;7(10):1-7.</w:t>
      </w:r>
    </w:p>
    <w:p w14:paraId="4D59FF27" w14:textId="77777777" w:rsidR="008B1C85" w:rsidRPr="00A0517F" w:rsidRDefault="008B1C85" w:rsidP="008B1C85">
      <w:pPr>
        <w:pStyle w:val="References"/>
        <w:rPr>
          <w:rFonts w:cstheme="minorHAnsi"/>
        </w:rPr>
      </w:pPr>
      <w:r w:rsidRPr="00A0517F">
        <w:rPr>
          <w:rFonts w:cstheme="minorHAnsi"/>
        </w:rPr>
        <w:t>Sims EJ, Price D. Spirometry: An essential tool for screening, case-finding, and diagnosis of COPD. Prim Care Respir J. 2012;21(2):128-30.</w:t>
      </w:r>
    </w:p>
    <w:p w14:paraId="109E578F" w14:textId="77777777" w:rsidR="008B1C85" w:rsidRPr="00A0517F" w:rsidRDefault="008B1C85" w:rsidP="008B1C85">
      <w:pPr>
        <w:pStyle w:val="References"/>
        <w:rPr>
          <w:rFonts w:cstheme="minorHAnsi"/>
        </w:rPr>
      </w:pPr>
      <w:r w:rsidRPr="00A0517F">
        <w:rPr>
          <w:rFonts w:cstheme="minorHAnsi"/>
        </w:rPr>
        <w:t>Sivan Y, Gadish T, Fireman E, Soferman R. The use of exhaled nitric oxide in the diagnosis of asthma in school children. Journal of Pediatrics. 2009;155(2):211-216.</w:t>
      </w:r>
    </w:p>
    <w:p w14:paraId="2591BB01" w14:textId="77777777" w:rsidR="008B1C85" w:rsidRPr="00A0517F" w:rsidRDefault="008B1C85" w:rsidP="008B1C85">
      <w:pPr>
        <w:pStyle w:val="References"/>
        <w:rPr>
          <w:rFonts w:cstheme="minorHAnsi"/>
        </w:rPr>
      </w:pPr>
      <w:r w:rsidRPr="00A0517F">
        <w:rPr>
          <w:rFonts w:cstheme="minorHAnsi"/>
        </w:rPr>
        <w:t>Smith AD, Cowan JO, Filsell S, McLachlan C, Monti-Sheehan G, Jackson P et al. Diagnosing asthma: comparisons between exhaled nitric oxide measurements and conventional tests. American Journal of Respiratory and Critical Care Medicine. 2004;169(4):473-478.</w:t>
      </w:r>
    </w:p>
    <w:p w14:paraId="62BFD5BA" w14:textId="77777777" w:rsidR="008B1C85" w:rsidRPr="00A0517F" w:rsidRDefault="008B1C85" w:rsidP="008B1C85">
      <w:pPr>
        <w:pStyle w:val="References"/>
        <w:rPr>
          <w:rFonts w:cstheme="minorHAnsi"/>
        </w:rPr>
      </w:pPr>
      <w:r w:rsidRPr="00A0517F">
        <w:rPr>
          <w:rFonts w:cstheme="minorHAnsi"/>
        </w:rPr>
        <w:t>Smith CJP, Gribbin J, Challen KB, Hubbard RB. The impact of the 2004 NICE guideline and 2003 General Medical Services contract on COPD in primary care in the UK. Q J Med. 2008;101(2):145-53.</w:t>
      </w:r>
    </w:p>
    <w:p w14:paraId="74771B88" w14:textId="77777777" w:rsidR="008B1C85" w:rsidRPr="00A0517F" w:rsidRDefault="008B1C85" w:rsidP="008B1C85">
      <w:pPr>
        <w:pStyle w:val="References"/>
        <w:rPr>
          <w:rFonts w:cstheme="minorHAnsi"/>
        </w:rPr>
      </w:pPr>
      <w:r w:rsidRPr="00A0517F">
        <w:rPr>
          <w:rFonts w:cstheme="minorHAnsi"/>
        </w:rPr>
        <w:t>Sokol KC, Sharma G, Lin YL, Goldblum RM. Choosing wisely: adherence by physicians to recommended use of spirometry in the diagnosis and management of adult asthma. Am J Med. 2015;128(5):502-8.</w:t>
      </w:r>
    </w:p>
    <w:p w14:paraId="18681DE1" w14:textId="77777777" w:rsidR="008B1C85" w:rsidRPr="00A0517F" w:rsidRDefault="008B1C85" w:rsidP="008B1C85">
      <w:pPr>
        <w:pStyle w:val="References"/>
        <w:rPr>
          <w:rFonts w:cstheme="minorHAnsi"/>
        </w:rPr>
      </w:pPr>
      <w:r w:rsidRPr="00A0517F">
        <w:rPr>
          <w:rFonts w:cstheme="minorHAnsi"/>
        </w:rPr>
        <w:t>Sourk RL &amp; Nugent KM. Bronchodilator testing: confidence intervals derived from placebo inhalations. Am Rev Respir Dis. 1983; 128, 153-7.</w:t>
      </w:r>
    </w:p>
    <w:p w14:paraId="6D4F02BF" w14:textId="77777777" w:rsidR="008B1C85" w:rsidRPr="00A0517F" w:rsidRDefault="008B1C85" w:rsidP="008B1C85">
      <w:pPr>
        <w:pStyle w:val="References"/>
        <w:rPr>
          <w:rFonts w:cstheme="minorHAnsi"/>
        </w:rPr>
      </w:pPr>
      <w:r w:rsidRPr="00A0517F">
        <w:rPr>
          <w:rFonts w:cstheme="minorHAnsi"/>
        </w:rPr>
        <w:t>Strong M, South G, Carlisle R. The UK quality and outcomes framework pay-for-performance scheme and spirometry: rewarding quality or just quantity? A cross-sectional study in Rotherham, UK. BMC Health Serv Res. 2009;9:108.</w:t>
      </w:r>
    </w:p>
    <w:p w14:paraId="0B295A91" w14:textId="77777777" w:rsidR="008B1C85" w:rsidRPr="00A0517F" w:rsidRDefault="008B1C85" w:rsidP="008B1C85">
      <w:pPr>
        <w:pStyle w:val="References"/>
        <w:rPr>
          <w:rFonts w:cstheme="minorHAnsi"/>
        </w:rPr>
      </w:pPr>
      <w:r w:rsidRPr="00A0517F">
        <w:rPr>
          <w:rFonts w:cstheme="minorHAnsi"/>
        </w:rPr>
        <w:t>Taylor DR, Bateman ED, Boulet LP, et al. A new perspective on concepts of asthma severity and control. Eur Respir J. 2008;32:545-54.</w:t>
      </w:r>
    </w:p>
    <w:p w14:paraId="4C8425D8" w14:textId="77777777" w:rsidR="008B1C85" w:rsidRPr="00A0517F" w:rsidRDefault="008B1C85" w:rsidP="008B1C85">
      <w:pPr>
        <w:pStyle w:val="References"/>
        <w:rPr>
          <w:rFonts w:cstheme="minorHAnsi"/>
        </w:rPr>
      </w:pPr>
      <w:r w:rsidRPr="00A0517F">
        <w:rPr>
          <w:rFonts w:cstheme="minorHAnsi"/>
        </w:rPr>
        <w:t>Toelle BG, Xuan W, Bird TE, Abramson MJ, Atkinson DN, Burton DL, James AL, Jenkins CR, Johns DP, Maguire GP, Musk AW, Walters EH, Wood-Baker R, Hunter ML, Graham BJ, Southwell PJ, Vollmer WM, Buist AS, Marks GB. Respiratory symptoms and illness in older Australians: the Burden of Obstructive Lung Disease (BOLD) study. Med J Aust. 2013;198(3): 144-8.</w:t>
      </w:r>
    </w:p>
    <w:p w14:paraId="04ACC004" w14:textId="77777777" w:rsidR="008B1C85" w:rsidRPr="00A0517F" w:rsidRDefault="008B1C85" w:rsidP="008B1C85">
      <w:pPr>
        <w:pStyle w:val="References"/>
        <w:rPr>
          <w:rFonts w:cstheme="minorHAnsi"/>
        </w:rPr>
      </w:pPr>
      <w:r w:rsidRPr="00A0517F">
        <w:rPr>
          <w:rFonts w:cstheme="minorHAnsi"/>
        </w:rPr>
        <w:t>Tweeddale PM, Alexander F, McHardy GJR. Short-term variability in fev1 and bronchodilator responsiveness in patients with obstructive ventilatory defects. Thorax. 1987;42(7):487-490.</w:t>
      </w:r>
    </w:p>
    <w:p w14:paraId="724F062F" w14:textId="77777777" w:rsidR="008B1C85" w:rsidRPr="00A0517F" w:rsidRDefault="008B1C85" w:rsidP="008B1C85">
      <w:pPr>
        <w:pStyle w:val="References"/>
        <w:rPr>
          <w:rFonts w:cstheme="minorHAnsi"/>
        </w:rPr>
      </w:pPr>
      <w:r w:rsidRPr="00A0517F">
        <w:rPr>
          <w:rFonts w:cstheme="minorHAnsi"/>
        </w:rPr>
        <w:t>Ulrik CS. Outcome of asthma: longitudinal changes in lung function. Eur Respir J. 1999;13:904-18.</w:t>
      </w:r>
    </w:p>
    <w:p w14:paraId="5CAD23C5" w14:textId="77777777" w:rsidR="008B1C85" w:rsidRPr="00A0517F" w:rsidRDefault="008B1C85" w:rsidP="008B1C85">
      <w:pPr>
        <w:pStyle w:val="References"/>
        <w:rPr>
          <w:rFonts w:cstheme="minorHAnsi"/>
        </w:rPr>
      </w:pPr>
      <w:r w:rsidRPr="00A0517F">
        <w:rPr>
          <w:rFonts w:cstheme="minorHAnsi"/>
        </w:rPr>
        <w:t>van Dijk WD, Gupta N, Tan WC &amp; Bourbeau J. Clinical relevance of diagnosing COPD by fixed ratio or lower limit of normal: a systematic review. COPD. 2014;11, 113-20.</w:t>
      </w:r>
    </w:p>
    <w:p w14:paraId="79422F94" w14:textId="77777777" w:rsidR="008B1C85" w:rsidRPr="00A0517F" w:rsidRDefault="008B1C85" w:rsidP="008B1C85">
      <w:pPr>
        <w:pStyle w:val="References"/>
        <w:rPr>
          <w:rFonts w:cstheme="minorHAnsi"/>
        </w:rPr>
      </w:pPr>
      <w:r w:rsidRPr="00A0517F">
        <w:rPr>
          <w:rFonts w:cstheme="minorHAnsi"/>
        </w:rPr>
        <w:t>van Schayck C, Loozen J, Wagena E, Akkermans R, Wesseling G. Detecting patients at a high risk of developing chronic obstructive pulmonary disease in general practice: cross sectional case finding study. BMJ 2002;324(7350):1370.</w:t>
      </w:r>
    </w:p>
    <w:p w14:paraId="7B2839FF" w14:textId="77777777" w:rsidR="008B1C85" w:rsidRPr="00A0517F" w:rsidRDefault="008B1C85" w:rsidP="008B1C85">
      <w:pPr>
        <w:pStyle w:val="References"/>
        <w:rPr>
          <w:rFonts w:cstheme="minorHAnsi"/>
        </w:rPr>
      </w:pPr>
      <w:r w:rsidRPr="00A0517F">
        <w:rPr>
          <w:rFonts w:cstheme="minorHAnsi"/>
        </w:rPr>
        <w:t>Walker PP, Mitchell P, Diamantea F, Warburton CJ, Davies L. Effect of primary-care spirometry on the diagnosis and management of COPD. Eur Respir J. 2006;28(5):945-952.</w:t>
      </w:r>
    </w:p>
    <w:p w14:paraId="5145E7F1" w14:textId="77777777" w:rsidR="008B1C85" w:rsidRPr="00A0517F" w:rsidRDefault="008B1C85" w:rsidP="008B1C85">
      <w:pPr>
        <w:pStyle w:val="References"/>
        <w:rPr>
          <w:rFonts w:cstheme="minorHAnsi"/>
        </w:rPr>
      </w:pPr>
      <w:r w:rsidRPr="00A0517F">
        <w:rPr>
          <w:rFonts w:cstheme="minorHAnsi"/>
        </w:rPr>
        <w:lastRenderedPageBreak/>
        <w:t>Walters JA, Hansen E, Mudge P, Johns DP, Walters EH, Wood-Baker R. Barriers to the use of spirometry in general practice. Aust Fam Physician. 2005;34(3):201-3.</w:t>
      </w:r>
    </w:p>
    <w:p w14:paraId="01DFEF95" w14:textId="77777777" w:rsidR="008B1C85" w:rsidRPr="00A0517F" w:rsidRDefault="008B1C85" w:rsidP="008B1C85">
      <w:pPr>
        <w:pStyle w:val="References"/>
        <w:rPr>
          <w:rFonts w:cstheme="minorHAnsi"/>
        </w:rPr>
      </w:pPr>
      <w:r w:rsidRPr="00A0517F">
        <w:rPr>
          <w:rFonts w:cstheme="minorHAnsi"/>
        </w:rPr>
        <w:t>Walters JA, Walters EH, Nelson M, Robinson A, Scott J, Turner P, Wood-Baker R. Factors associated with misdiagnosis of COPD in primary care. Prim Care Respir J. 2011;20(4):396-402.</w:t>
      </w:r>
    </w:p>
    <w:p w14:paraId="06F6D13E" w14:textId="77777777" w:rsidR="008B1C85" w:rsidRPr="00A0517F" w:rsidRDefault="008B1C85" w:rsidP="008B1C85">
      <w:pPr>
        <w:pStyle w:val="References"/>
        <w:rPr>
          <w:rFonts w:cstheme="minorHAnsi"/>
        </w:rPr>
      </w:pPr>
      <w:r w:rsidRPr="00A0517F">
        <w:rPr>
          <w:rFonts w:cstheme="minorHAnsi"/>
        </w:rPr>
        <w:t>Weinberger M &amp; Abu-Hasan M. Pseudo-asthma: when cough, wheezing, and dyspnea are not asthma. Pediatrics. 2007;120:855-64.</w:t>
      </w:r>
    </w:p>
    <w:p w14:paraId="45C5EE26" w14:textId="77777777" w:rsidR="008B1C85" w:rsidRPr="00A0517F" w:rsidRDefault="008B1C85" w:rsidP="008B1C85">
      <w:pPr>
        <w:pStyle w:val="References"/>
        <w:rPr>
          <w:rFonts w:cstheme="minorHAnsi"/>
        </w:rPr>
      </w:pPr>
      <w:r w:rsidRPr="00A0517F">
        <w:rPr>
          <w:rFonts w:cstheme="minorHAnsi"/>
        </w:rPr>
        <w:t>Wilt TJ, Niewoehner D, Kim C-B, Kane RL, Linabery A, Tacklind J, MacDonald R, Rutks I. Use of spirometry for case finding, diagnosis, and management of chronic obstructive pulmonary disease (COPD). Evidence Report/Technology Assessment No. 121 (Prepared by the Minnesota Evidence-based Practice Center under Contract No. 290-02-0009.) AHRQ Publication No. 05-E017-2. Rockville, MD. Agency for Healthcare Research and Quality. September 2005.</w:t>
      </w:r>
    </w:p>
    <w:p w14:paraId="554E023C" w14:textId="77777777" w:rsidR="008B1C85" w:rsidRPr="00A0517F" w:rsidRDefault="008B1C85" w:rsidP="008B1C85">
      <w:pPr>
        <w:pStyle w:val="References"/>
        <w:rPr>
          <w:rFonts w:cstheme="minorHAnsi"/>
        </w:rPr>
      </w:pPr>
      <w:r w:rsidRPr="00A0517F">
        <w:rPr>
          <w:rFonts w:cstheme="minorHAnsi"/>
        </w:rPr>
        <w:t>Wilt TJ, Niewoehner D, MacDonald R, Kane RL. Management of stable chronic obstructive pulmonary disease: a systematic review for a clinical practice guideline. Ann Intern Med. 2007;147(9):639-53.</w:t>
      </w:r>
    </w:p>
    <w:p w14:paraId="2CB88B91" w14:textId="77777777" w:rsidR="008B1C85" w:rsidRPr="00A0517F" w:rsidRDefault="008B1C85" w:rsidP="008B1C85">
      <w:pPr>
        <w:pStyle w:val="References"/>
        <w:rPr>
          <w:rFonts w:cstheme="minorHAnsi"/>
        </w:rPr>
        <w:sectPr w:rsidR="008B1C85" w:rsidRPr="00A0517F" w:rsidSect="008B1C85">
          <w:pgSz w:w="11906" w:h="16838" w:code="9"/>
          <w:pgMar w:top="1134" w:right="1134" w:bottom="1701" w:left="1701" w:header="567" w:footer="567" w:gutter="0"/>
          <w:cols w:space="708"/>
          <w:docGrid w:linePitch="360"/>
        </w:sectPr>
      </w:pPr>
      <w:r w:rsidRPr="00A0517F">
        <w:rPr>
          <w:rFonts w:cstheme="minorHAnsi"/>
        </w:rPr>
        <w:t>Zwar NA, Marks GB, Hermiz O, Middleton S, Comino EJ, Hasan I, Vagholkar S, Wilson SF. Predictors of accuracy of diagnosis of chronic obstructive pulmonary disease in general practice. Med J Aust. 2011;195(4):168-71.</w:t>
      </w:r>
    </w:p>
    <w:p w14:paraId="3ECF165D" w14:textId="77777777" w:rsidR="008B1C85" w:rsidRDefault="008F1656" w:rsidP="00A227D5">
      <w:pPr>
        <w:pStyle w:val="AttHeading1"/>
      </w:pPr>
      <w:bookmarkStart w:id="375" w:name="_Ref442799044"/>
      <w:r>
        <w:lastRenderedPageBreak/>
        <w:t xml:space="preserve">Appendix 2 </w:t>
      </w:r>
      <w:r w:rsidR="008B1C85">
        <w:t>MBS Information</w:t>
      </w:r>
      <w:bookmarkEnd w:id="375"/>
    </w:p>
    <w:p w14:paraId="2999BBB6" w14:textId="77777777" w:rsidR="008B1C85" w:rsidRDefault="008B1C85" w:rsidP="008B1C85">
      <w:r>
        <w:t xml:space="preserve">The MBS items that are relevant to the review of spirometry are shown in Table A-2.1. </w:t>
      </w:r>
      <w:r w:rsidRPr="001A4B7F">
        <w:t xml:space="preserve">Spirometry </w:t>
      </w:r>
      <w:r>
        <w:t xml:space="preserve">performed by general practitioners is reimbursed through item 11506. The other items are </w:t>
      </w:r>
      <w:r w:rsidRPr="001A4B7F">
        <w:t>generally confined to specialist practice.</w:t>
      </w:r>
    </w:p>
    <w:p w14:paraId="09C30B5D" w14:textId="77777777" w:rsidR="008B1C85" w:rsidRPr="00287AC9" w:rsidRDefault="008B1C85" w:rsidP="00DF3A06">
      <w:pPr>
        <w:pStyle w:val="Appcaption"/>
      </w:pPr>
      <w:r w:rsidRPr="00600CBD">
        <w:t>Table A-2.1</w:t>
      </w:r>
      <w:r w:rsidRPr="00600CBD">
        <w:tab/>
        <w:t>Spirometry services listed on the MBS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Look w:val="00A0" w:firstRow="1" w:lastRow="0" w:firstColumn="1" w:lastColumn="0" w:noHBand="0" w:noVBand="0"/>
        <w:tblDescription w:val="Descriptors for spirometry items, and the current fees and benefits."/>
      </w:tblPr>
      <w:tblGrid>
        <w:gridCol w:w="705"/>
        <w:gridCol w:w="6205"/>
        <w:gridCol w:w="835"/>
        <w:gridCol w:w="1310"/>
      </w:tblGrid>
      <w:tr w:rsidR="00600CBD" w:rsidRPr="00A0517F" w14:paraId="72462E4F" w14:textId="77777777" w:rsidTr="00600CBD">
        <w:trPr>
          <w:trHeight w:val="227"/>
          <w:tblHeader/>
        </w:trPr>
        <w:tc>
          <w:tcPr>
            <w:tcW w:w="384" w:type="pct"/>
            <w:shd w:val="clear" w:color="auto" w:fill="366091"/>
          </w:tcPr>
          <w:p w14:paraId="1A97A4E3" w14:textId="77777777" w:rsidR="00600CBD" w:rsidRPr="00A0517F" w:rsidRDefault="00600CBD" w:rsidP="008B1C85">
            <w:pPr>
              <w:pStyle w:val="01Tableheadingorsubheading"/>
              <w:rPr>
                <w:rFonts w:cstheme="minorHAnsi"/>
              </w:rPr>
            </w:pPr>
            <w:r w:rsidRPr="00A0517F">
              <w:rPr>
                <w:rFonts w:cstheme="minorHAnsi"/>
              </w:rPr>
              <w:t>Item number</w:t>
            </w:r>
          </w:p>
        </w:tc>
        <w:tc>
          <w:tcPr>
            <w:tcW w:w="3428" w:type="pct"/>
            <w:shd w:val="clear" w:color="auto" w:fill="366091"/>
          </w:tcPr>
          <w:p w14:paraId="469D517C" w14:textId="77777777" w:rsidR="00600CBD" w:rsidRPr="00A0517F" w:rsidRDefault="00600CBD" w:rsidP="008B1C85">
            <w:pPr>
              <w:pStyle w:val="01Tableheadingorsubheading"/>
              <w:rPr>
                <w:rFonts w:cstheme="minorHAnsi"/>
              </w:rPr>
            </w:pPr>
            <w:r w:rsidRPr="00A0517F">
              <w:rPr>
                <w:rFonts w:cstheme="minorHAnsi"/>
              </w:rPr>
              <w:t>MBS item descriptor</w:t>
            </w:r>
          </w:p>
        </w:tc>
        <w:tc>
          <w:tcPr>
            <w:tcW w:w="463" w:type="pct"/>
            <w:shd w:val="clear" w:color="auto" w:fill="366091"/>
          </w:tcPr>
          <w:p w14:paraId="1C4BE4A8" w14:textId="77777777" w:rsidR="00600CBD" w:rsidRPr="00A0517F" w:rsidRDefault="00600CBD" w:rsidP="008B1C85">
            <w:pPr>
              <w:pStyle w:val="01Tableheadingorsubheading"/>
              <w:rPr>
                <w:rFonts w:cstheme="minorHAnsi"/>
              </w:rPr>
            </w:pPr>
            <w:r w:rsidRPr="00A0517F">
              <w:rPr>
                <w:rFonts w:cstheme="minorHAnsi"/>
              </w:rPr>
              <w:t>MBS fee</w:t>
            </w:r>
          </w:p>
        </w:tc>
        <w:tc>
          <w:tcPr>
            <w:tcW w:w="725" w:type="pct"/>
            <w:shd w:val="clear" w:color="auto" w:fill="366091"/>
          </w:tcPr>
          <w:p w14:paraId="268FB602" w14:textId="77777777" w:rsidR="00600CBD" w:rsidRPr="00A0517F" w:rsidRDefault="00600CBD" w:rsidP="008B1C85">
            <w:pPr>
              <w:pStyle w:val="01Tableheadingorsubheading"/>
              <w:rPr>
                <w:rFonts w:cstheme="minorHAnsi"/>
              </w:rPr>
            </w:pPr>
            <w:r>
              <w:rPr>
                <w:rFonts w:cstheme="minorHAnsi"/>
              </w:rPr>
              <w:t>Benefit</w:t>
            </w:r>
          </w:p>
        </w:tc>
      </w:tr>
      <w:tr w:rsidR="00600CBD" w:rsidRPr="00A0517F" w14:paraId="32FA9C4F" w14:textId="77777777" w:rsidTr="00600CBD">
        <w:trPr>
          <w:trHeight w:val="227"/>
        </w:trPr>
        <w:tc>
          <w:tcPr>
            <w:tcW w:w="384" w:type="pct"/>
          </w:tcPr>
          <w:p w14:paraId="096B86C3" w14:textId="77777777" w:rsidR="00600CBD" w:rsidRPr="00A0517F" w:rsidRDefault="00600CBD" w:rsidP="008B1C85">
            <w:pPr>
              <w:pStyle w:val="Tabletext"/>
              <w:rPr>
                <w:rFonts w:cstheme="minorHAnsi"/>
              </w:rPr>
            </w:pPr>
            <w:r w:rsidRPr="00A0517F">
              <w:rPr>
                <w:rFonts w:cstheme="minorHAnsi"/>
              </w:rPr>
              <w:t>11500</w:t>
            </w:r>
          </w:p>
        </w:tc>
        <w:tc>
          <w:tcPr>
            <w:tcW w:w="3428" w:type="pct"/>
          </w:tcPr>
          <w:p w14:paraId="7D1D9644" w14:textId="77777777" w:rsidR="00600CBD" w:rsidRPr="00A0517F" w:rsidRDefault="00600CBD" w:rsidP="008B1C85">
            <w:pPr>
              <w:pStyle w:val="Tabletext"/>
              <w:rPr>
                <w:rFonts w:cstheme="minorHAnsi"/>
              </w:rPr>
            </w:pPr>
            <w:r w:rsidRPr="00A0517F">
              <w:rPr>
                <w:rFonts w:cstheme="minorHAnsi"/>
              </w:rPr>
              <w:t>BRONCHOSPIROMETRY, including gas analysis</w:t>
            </w:r>
          </w:p>
        </w:tc>
        <w:tc>
          <w:tcPr>
            <w:tcW w:w="463" w:type="pct"/>
          </w:tcPr>
          <w:p w14:paraId="731AAE14" w14:textId="77777777" w:rsidR="00600CBD" w:rsidRPr="00A0517F" w:rsidRDefault="00600CBD" w:rsidP="0099709F">
            <w:pPr>
              <w:pStyle w:val="Tabletext"/>
              <w:rPr>
                <w:rFonts w:cstheme="minorHAnsi"/>
              </w:rPr>
            </w:pPr>
            <w:r w:rsidRPr="00A0517F">
              <w:rPr>
                <w:rFonts w:cstheme="minorHAnsi"/>
              </w:rPr>
              <w:t>$167.00</w:t>
            </w:r>
          </w:p>
        </w:tc>
        <w:tc>
          <w:tcPr>
            <w:tcW w:w="725" w:type="pct"/>
          </w:tcPr>
          <w:p w14:paraId="61952D60" w14:textId="77777777" w:rsidR="00600CBD" w:rsidRPr="00600CBD" w:rsidRDefault="00600CBD" w:rsidP="0099709F">
            <w:pPr>
              <w:pStyle w:val="03Tabletextspacebefore"/>
            </w:pPr>
            <w:r w:rsidRPr="00600CBD">
              <w:t>75% = $125.25; 85% = $141.95</w:t>
            </w:r>
          </w:p>
        </w:tc>
      </w:tr>
      <w:tr w:rsidR="00600CBD" w:rsidRPr="00A0517F" w14:paraId="288BA8ED" w14:textId="77777777" w:rsidTr="001B7B73">
        <w:trPr>
          <w:trHeight w:val="227"/>
        </w:trPr>
        <w:tc>
          <w:tcPr>
            <w:tcW w:w="384" w:type="pct"/>
            <w:shd w:val="clear" w:color="auto" w:fill="auto"/>
          </w:tcPr>
          <w:p w14:paraId="534B53C5" w14:textId="77777777" w:rsidR="00600CBD" w:rsidRPr="00A0517F" w:rsidRDefault="00600CBD" w:rsidP="008B1C85">
            <w:pPr>
              <w:pStyle w:val="Tabletext"/>
              <w:rPr>
                <w:rFonts w:cstheme="minorHAnsi"/>
              </w:rPr>
            </w:pPr>
            <w:r w:rsidRPr="00A0517F">
              <w:rPr>
                <w:rFonts w:cstheme="minorHAnsi"/>
              </w:rPr>
              <w:t>11503</w:t>
            </w:r>
          </w:p>
        </w:tc>
        <w:tc>
          <w:tcPr>
            <w:tcW w:w="3428" w:type="pct"/>
            <w:shd w:val="clear" w:color="auto" w:fill="auto"/>
          </w:tcPr>
          <w:p w14:paraId="0BD99AF0" w14:textId="77777777" w:rsidR="00600CBD" w:rsidRPr="00A0517F" w:rsidRDefault="00600CBD" w:rsidP="008B1C85">
            <w:pPr>
              <w:pStyle w:val="Tabletext"/>
              <w:rPr>
                <w:rFonts w:cstheme="minorHAnsi"/>
              </w:rPr>
            </w:pPr>
            <w:r w:rsidRPr="00A0517F">
              <w:rPr>
                <w:rFonts w:cstheme="minorHAnsi"/>
              </w:rPr>
              <w:t xml:space="preserve">Measurement of the: </w:t>
            </w:r>
          </w:p>
          <w:p w14:paraId="3619B205" w14:textId="77777777" w:rsidR="00600CBD" w:rsidRPr="00A0517F" w:rsidRDefault="00600CBD" w:rsidP="008B1C85">
            <w:pPr>
              <w:pStyle w:val="Tabletext"/>
              <w:rPr>
                <w:rFonts w:cstheme="minorHAnsi"/>
              </w:rPr>
            </w:pPr>
            <w:r w:rsidRPr="00A0517F">
              <w:rPr>
                <w:rFonts w:cstheme="minorHAnsi"/>
              </w:rPr>
              <w:t>(a) mechanical or gas exchange function of the respiratory system; or</w:t>
            </w:r>
          </w:p>
          <w:p w14:paraId="12CF3293" w14:textId="77777777" w:rsidR="00600CBD" w:rsidRPr="00A0517F" w:rsidRDefault="00600CBD" w:rsidP="008B1C85">
            <w:pPr>
              <w:pStyle w:val="Tabletext"/>
              <w:rPr>
                <w:rFonts w:cstheme="minorHAnsi"/>
              </w:rPr>
            </w:pPr>
            <w:r w:rsidRPr="00A0517F">
              <w:rPr>
                <w:rFonts w:cstheme="minorHAnsi"/>
              </w:rPr>
              <w:t>(b) respiratory muscle function; or</w:t>
            </w:r>
          </w:p>
          <w:p w14:paraId="31D3F331" w14:textId="77777777" w:rsidR="00600CBD" w:rsidRPr="00A0517F" w:rsidRDefault="00600CBD" w:rsidP="008B1C85">
            <w:pPr>
              <w:pStyle w:val="Tabletext"/>
              <w:rPr>
                <w:rFonts w:cstheme="minorHAnsi"/>
              </w:rPr>
            </w:pPr>
            <w:r w:rsidRPr="00A0517F">
              <w:rPr>
                <w:rFonts w:cstheme="minorHAnsi"/>
              </w:rPr>
              <w:t>(c) ventilatory control mechanisms.</w:t>
            </w:r>
          </w:p>
          <w:p w14:paraId="2B2564B6" w14:textId="77777777" w:rsidR="00600CBD" w:rsidRPr="00A0517F" w:rsidRDefault="00600CBD" w:rsidP="008B1C85">
            <w:pPr>
              <w:pStyle w:val="Tabletext"/>
              <w:rPr>
                <w:rFonts w:cstheme="minorHAnsi"/>
              </w:rPr>
            </w:pPr>
            <w:r w:rsidRPr="00A0517F">
              <w:rPr>
                <w:rFonts w:cstheme="minorHAnsi"/>
              </w:rPr>
              <w:t>Various measurement parameters may be used including any of the following:</w:t>
            </w:r>
          </w:p>
          <w:p w14:paraId="54955FA6" w14:textId="77777777" w:rsidR="00600CBD" w:rsidRPr="00A0517F" w:rsidRDefault="00600CBD" w:rsidP="008B1C85">
            <w:pPr>
              <w:pStyle w:val="Tabletext"/>
              <w:rPr>
                <w:rFonts w:cstheme="minorHAnsi"/>
              </w:rPr>
            </w:pPr>
            <w:r w:rsidRPr="00A0517F">
              <w:rPr>
                <w:rFonts w:cstheme="minorHAnsi"/>
              </w:rPr>
              <w:t>(a) pressures;</w:t>
            </w:r>
          </w:p>
          <w:p w14:paraId="018352BA" w14:textId="77777777" w:rsidR="00600CBD" w:rsidRPr="00A0517F" w:rsidRDefault="00600CBD" w:rsidP="008B1C85">
            <w:pPr>
              <w:pStyle w:val="Tabletext"/>
              <w:rPr>
                <w:rFonts w:cstheme="minorHAnsi"/>
              </w:rPr>
            </w:pPr>
            <w:r w:rsidRPr="00A0517F">
              <w:rPr>
                <w:rFonts w:cstheme="minorHAnsi"/>
              </w:rPr>
              <w:t>(b) volumes;</w:t>
            </w:r>
          </w:p>
          <w:p w14:paraId="260960DF" w14:textId="77777777" w:rsidR="00600CBD" w:rsidRPr="00A0517F" w:rsidRDefault="00600CBD" w:rsidP="008B1C85">
            <w:pPr>
              <w:pStyle w:val="Tabletext"/>
              <w:rPr>
                <w:rFonts w:cstheme="minorHAnsi"/>
              </w:rPr>
            </w:pPr>
            <w:r w:rsidRPr="00A0517F">
              <w:rPr>
                <w:rFonts w:cstheme="minorHAnsi"/>
              </w:rPr>
              <w:t>(c) flow;</w:t>
            </w:r>
          </w:p>
          <w:p w14:paraId="50D60070" w14:textId="77777777" w:rsidR="00600CBD" w:rsidRPr="00A0517F" w:rsidRDefault="00600CBD" w:rsidP="008B1C85">
            <w:pPr>
              <w:pStyle w:val="Tabletext"/>
              <w:rPr>
                <w:rFonts w:cstheme="minorHAnsi"/>
              </w:rPr>
            </w:pPr>
            <w:r w:rsidRPr="00A0517F">
              <w:rPr>
                <w:rFonts w:cstheme="minorHAnsi"/>
              </w:rPr>
              <w:t>(d) gas concentrations in inspired or expired air;</w:t>
            </w:r>
          </w:p>
          <w:p w14:paraId="3CDB9B39" w14:textId="77777777" w:rsidR="00600CBD" w:rsidRPr="00A0517F" w:rsidRDefault="00600CBD" w:rsidP="008B1C85">
            <w:pPr>
              <w:pStyle w:val="Tabletext"/>
              <w:rPr>
                <w:rFonts w:cstheme="minorHAnsi"/>
              </w:rPr>
            </w:pPr>
            <w:r w:rsidRPr="00A0517F">
              <w:rPr>
                <w:rFonts w:cstheme="minorHAnsi"/>
              </w:rPr>
              <w:t>(e) alveolar gas or blood;</w:t>
            </w:r>
          </w:p>
          <w:p w14:paraId="4FDEA349" w14:textId="77777777" w:rsidR="00600CBD" w:rsidRPr="00A0517F" w:rsidRDefault="00600CBD" w:rsidP="008B1C85">
            <w:pPr>
              <w:pStyle w:val="Tabletext"/>
              <w:rPr>
                <w:rFonts w:cstheme="minorHAnsi"/>
              </w:rPr>
            </w:pPr>
            <w:r w:rsidRPr="00A0517F">
              <w:rPr>
                <w:rFonts w:cstheme="minorHAnsi"/>
              </w:rPr>
              <w:t>(f) electrical activity of muscles.</w:t>
            </w:r>
          </w:p>
          <w:p w14:paraId="2B2B0F99" w14:textId="77777777" w:rsidR="00600CBD" w:rsidRPr="00A0517F" w:rsidRDefault="00600CBD" w:rsidP="008B1C85">
            <w:pPr>
              <w:pStyle w:val="Tabletext"/>
              <w:rPr>
                <w:rFonts w:cstheme="minorHAnsi"/>
              </w:rPr>
            </w:pPr>
            <w:r w:rsidRPr="00A0517F">
              <w:rPr>
                <w:rFonts w:cstheme="minorHAnsi"/>
              </w:rPr>
              <w:t>The tests being performed under the supervision of a specialist or consultant physician or in the respiratory laboratory of a hospital. Each occasion at which 1 or more such tests are performed, not being a service associated with a service to which item 22018 applies.</w:t>
            </w:r>
          </w:p>
        </w:tc>
        <w:tc>
          <w:tcPr>
            <w:tcW w:w="463" w:type="pct"/>
            <w:shd w:val="clear" w:color="auto" w:fill="auto"/>
          </w:tcPr>
          <w:p w14:paraId="2E021F86" w14:textId="77777777" w:rsidR="00600CBD" w:rsidRPr="00A0517F" w:rsidRDefault="00600CBD" w:rsidP="00600CBD">
            <w:pPr>
              <w:pStyle w:val="Tabletext"/>
              <w:rPr>
                <w:rFonts w:cstheme="minorHAnsi"/>
              </w:rPr>
            </w:pPr>
            <w:r w:rsidRPr="00A0517F">
              <w:rPr>
                <w:rFonts w:cstheme="minorHAnsi"/>
              </w:rPr>
              <w:t>$138.65</w:t>
            </w:r>
            <w:r>
              <w:rPr>
                <w:rFonts w:cstheme="minorHAnsi"/>
              </w:rPr>
              <w:t xml:space="preserve"> </w:t>
            </w:r>
          </w:p>
        </w:tc>
        <w:tc>
          <w:tcPr>
            <w:tcW w:w="725" w:type="pct"/>
            <w:shd w:val="clear" w:color="auto" w:fill="auto"/>
          </w:tcPr>
          <w:p w14:paraId="22802156" w14:textId="77777777" w:rsidR="00600CBD" w:rsidRPr="00600CBD" w:rsidRDefault="00600CBD" w:rsidP="0099709F">
            <w:pPr>
              <w:pStyle w:val="03Tabletextspacebefore"/>
            </w:pPr>
            <w:r w:rsidRPr="00600CBD">
              <w:t>75% = $104.00; 85% = $117.90</w:t>
            </w:r>
          </w:p>
        </w:tc>
      </w:tr>
      <w:tr w:rsidR="00600CBD" w:rsidRPr="00A0517F" w14:paraId="0F2DACBF" w14:textId="77777777" w:rsidTr="00600CBD">
        <w:trPr>
          <w:trHeight w:val="227"/>
        </w:trPr>
        <w:tc>
          <w:tcPr>
            <w:tcW w:w="384" w:type="pct"/>
          </w:tcPr>
          <w:p w14:paraId="10DC46EB" w14:textId="77777777" w:rsidR="00600CBD" w:rsidRPr="00A0517F" w:rsidRDefault="00600CBD" w:rsidP="008B1C85">
            <w:pPr>
              <w:pStyle w:val="Tabletext"/>
              <w:rPr>
                <w:rFonts w:cstheme="minorHAnsi"/>
              </w:rPr>
            </w:pPr>
            <w:r w:rsidRPr="00A0517F">
              <w:rPr>
                <w:rFonts w:cstheme="minorHAnsi"/>
              </w:rPr>
              <w:t>11506</w:t>
            </w:r>
          </w:p>
        </w:tc>
        <w:tc>
          <w:tcPr>
            <w:tcW w:w="3428" w:type="pct"/>
          </w:tcPr>
          <w:p w14:paraId="6D996F66" w14:textId="77777777" w:rsidR="00600CBD" w:rsidRPr="00A0517F" w:rsidRDefault="00600CBD" w:rsidP="008B1C85">
            <w:pPr>
              <w:pStyle w:val="Tabletext"/>
              <w:rPr>
                <w:rFonts w:cstheme="minorHAnsi"/>
              </w:rPr>
            </w:pPr>
            <w:r w:rsidRPr="00A0517F">
              <w:rPr>
                <w:rFonts w:cstheme="minorHAnsi"/>
              </w:rPr>
              <w:t>MEASUREMENT OF RESPIRATORY FUNCTION involving a permanently recorded tracing performed before and after inhalation of bronchodilator - each occasion at which 1 or more such tests are performed</w:t>
            </w:r>
          </w:p>
        </w:tc>
        <w:tc>
          <w:tcPr>
            <w:tcW w:w="463" w:type="pct"/>
          </w:tcPr>
          <w:p w14:paraId="32538794" w14:textId="77777777" w:rsidR="00600CBD" w:rsidRPr="00A0517F" w:rsidRDefault="00600CBD" w:rsidP="00600CBD">
            <w:pPr>
              <w:pStyle w:val="Tabletext"/>
              <w:rPr>
                <w:rFonts w:cstheme="minorHAnsi"/>
              </w:rPr>
            </w:pPr>
            <w:r w:rsidRPr="00A0517F">
              <w:rPr>
                <w:rFonts w:cstheme="minorHAnsi"/>
              </w:rPr>
              <w:t>$20.55</w:t>
            </w:r>
          </w:p>
        </w:tc>
        <w:tc>
          <w:tcPr>
            <w:tcW w:w="725" w:type="pct"/>
          </w:tcPr>
          <w:p w14:paraId="4985056B" w14:textId="77777777" w:rsidR="00600CBD" w:rsidRPr="00600CBD" w:rsidRDefault="00600CBD" w:rsidP="00600CBD">
            <w:pPr>
              <w:pStyle w:val="03Tabletextspacebefore"/>
            </w:pPr>
            <w:r w:rsidRPr="00600CBD">
              <w:t>75% = $15.45; 85% = $17.50</w:t>
            </w:r>
          </w:p>
        </w:tc>
      </w:tr>
      <w:tr w:rsidR="00600CBD" w:rsidRPr="00A0517F" w14:paraId="0932AE34" w14:textId="77777777" w:rsidTr="001B7B73">
        <w:trPr>
          <w:trHeight w:val="227"/>
        </w:trPr>
        <w:tc>
          <w:tcPr>
            <w:tcW w:w="384" w:type="pct"/>
            <w:shd w:val="clear" w:color="auto" w:fill="auto"/>
          </w:tcPr>
          <w:p w14:paraId="6648CAD0" w14:textId="77777777" w:rsidR="00600CBD" w:rsidRPr="00A0517F" w:rsidRDefault="00600CBD" w:rsidP="008B1C85">
            <w:pPr>
              <w:pStyle w:val="Tabletext"/>
              <w:rPr>
                <w:rFonts w:cstheme="minorHAnsi"/>
              </w:rPr>
            </w:pPr>
            <w:r w:rsidRPr="00A0517F">
              <w:rPr>
                <w:rFonts w:cstheme="minorHAnsi"/>
              </w:rPr>
              <w:t>11509</w:t>
            </w:r>
          </w:p>
        </w:tc>
        <w:tc>
          <w:tcPr>
            <w:tcW w:w="3428" w:type="pct"/>
            <w:shd w:val="clear" w:color="auto" w:fill="auto"/>
          </w:tcPr>
          <w:p w14:paraId="11998CF2" w14:textId="77777777" w:rsidR="00600CBD" w:rsidRPr="00A0517F" w:rsidRDefault="00600CBD" w:rsidP="008B1C85">
            <w:pPr>
              <w:pStyle w:val="Tabletext"/>
              <w:rPr>
                <w:rFonts w:cstheme="minorHAnsi"/>
              </w:rPr>
            </w:pPr>
            <w:r w:rsidRPr="00A0517F">
              <w:rPr>
                <w:rFonts w:cstheme="minorHAnsi"/>
              </w:rPr>
              <w:t>MEASUREMENT OF RESPIRATORY FUNCTION involving a permanently recorded tracing and written report, performed before and after inhalation of bronchodilator, with continuous technician attendance in a laboratory equipped to perform complex respiratory function tests (the tests being performed under the supervision of a specialist or consultant physician or in the respiratory laboratory of a hospital) - each occasion at which 1 or more such tests are performed</w:t>
            </w:r>
          </w:p>
        </w:tc>
        <w:tc>
          <w:tcPr>
            <w:tcW w:w="463" w:type="pct"/>
            <w:shd w:val="clear" w:color="auto" w:fill="auto"/>
          </w:tcPr>
          <w:p w14:paraId="4AC0CB4C" w14:textId="77777777" w:rsidR="00600CBD" w:rsidRPr="00A0517F" w:rsidRDefault="00600CBD" w:rsidP="00600CBD">
            <w:pPr>
              <w:pStyle w:val="Tabletext"/>
              <w:rPr>
                <w:rFonts w:cstheme="minorHAnsi"/>
              </w:rPr>
            </w:pPr>
            <w:r w:rsidRPr="00A0517F">
              <w:rPr>
                <w:rFonts w:cstheme="minorHAnsi"/>
              </w:rPr>
              <w:t>$35.65</w:t>
            </w:r>
          </w:p>
        </w:tc>
        <w:tc>
          <w:tcPr>
            <w:tcW w:w="725" w:type="pct"/>
            <w:shd w:val="clear" w:color="auto" w:fill="auto"/>
          </w:tcPr>
          <w:p w14:paraId="614402F7" w14:textId="77777777" w:rsidR="00600CBD" w:rsidRPr="00600CBD" w:rsidRDefault="00600CBD" w:rsidP="008B1C85">
            <w:pPr>
              <w:pStyle w:val="Tabletext"/>
            </w:pPr>
            <w:r w:rsidRPr="00600CBD">
              <w:t>75% = $26.75; 85% = $30.35</w:t>
            </w:r>
          </w:p>
        </w:tc>
      </w:tr>
      <w:tr w:rsidR="00600CBD" w:rsidRPr="00A0517F" w14:paraId="76A9B6AC" w14:textId="77777777" w:rsidTr="00600CBD">
        <w:trPr>
          <w:trHeight w:val="227"/>
        </w:trPr>
        <w:tc>
          <w:tcPr>
            <w:tcW w:w="384" w:type="pct"/>
          </w:tcPr>
          <w:p w14:paraId="7851A6A7" w14:textId="77777777" w:rsidR="00600CBD" w:rsidRPr="00A0517F" w:rsidRDefault="00600CBD" w:rsidP="008B1C85">
            <w:pPr>
              <w:pStyle w:val="Tabletext"/>
              <w:rPr>
                <w:rFonts w:cstheme="minorHAnsi"/>
              </w:rPr>
            </w:pPr>
            <w:r w:rsidRPr="00A0517F">
              <w:rPr>
                <w:rFonts w:cstheme="minorHAnsi"/>
              </w:rPr>
              <w:t>11512</w:t>
            </w:r>
          </w:p>
        </w:tc>
        <w:tc>
          <w:tcPr>
            <w:tcW w:w="3428" w:type="pct"/>
          </w:tcPr>
          <w:p w14:paraId="6F73437C" w14:textId="77777777" w:rsidR="00600CBD" w:rsidRPr="00A0517F" w:rsidRDefault="00600CBD" w:rsidP="008B1C85">
            <w:pPr>
              <w:pStyle w:val="Tabletext"/>
              <w:rPr>
                <w:rFonts w:cstheme="minorHAnsi"/>
              </w:rPr>
            </w:pPr>
            <w:r w:rsidRPr="00A0517F">
              <w:rPr>
                <w:rFonts w:cstheme="minorHAnsi"/>
              </w:rPr>
              <w:t>CONTINUOUS MEASUREMENT OF THE RELATIONSHIP BETWEEN FLOW AND VOLUME DURING EXPIRATION OR INSPIRATION involving a permanently recorded tracing and written report, performed before and after inhalation of bronchodilator, with continuous technician attendance in a laboratory equipped to perform complex lung function tests (the tests being performed under the supervision of a specialist or consultant physician or in the respiratory laboratory of a hospital) - each occasion at which 1 or more such tests are performed</w:t>
            </w:r>
          </w:p>
        </w:tc>
        <w:tc>
          <w:tcPr>
            <w:tcW w:w="463" w:type="pct"/>
          </w:tcPr>
          <w:p w14:paraId="33F0DEC3" w14:textId="77777777" w:rsidR="00600CBD" w:rsidRPr="00A0517F" w:rsidRDefault="00600CBD" w:rsidP="00600CBD">
            <w:pPr>
              <w:pStyle w:val="Tabletext"/>
              <w:rPr>
                <w:rFonts w:cstheme="minorHAnsi"/>
              </w:rPr>
            </w:pPr>
            <w:r w:rsidRPr="00A0517F">
              <w:rPr>
                <w:rFonts w:cstheme="minorHAnsi"/>
              </w:rPr>
              <w:t>$61.75</w:t>
            </w:r>
          </w:p>
        </w:tc>
        <w:tc>
          <w:tcPr>
            <w:tcW w:w="725" w:type="pct"/>
          </w:tcPr>
          <w:p w14:paraId="3A9EBC47" w14:textId="77777777" w:rsidR="00600CBD" w:rsidRPr="00600CBD" w:rsidRDefault="00600CBD" w:rsidP="00600CBD">
            <w:pPr>
              <w:pStyle w:val="03Tabletextspacebefore"/>
            </w:pPr>
            <w:r w:rsidRPr="00600CBD">
              <w:t>75% = $46.35; 85% = $52.50</w:t>
            </w:r>
          </w:p>
        </w:tc>
      </w:tr>
    </w:tbl>
    <w:p w14:paraId="67D1DE3E" w14:textId="77777777" w:rsidR="008B1C85" w:rsidRDefault="008B1C85" w:rsidP="008B1C85">
      <w:pPr>
        <w:pStyle w:val="08Tablefootnotes"/>
      </w:pPr>
      <w:r>
        <w:t>Source: Department of Human Services – Medicare Australia, accessed 05 January 2016.</w:t>
      </w:r>
    </w:p>
    <w:p w14:paraId="7947D0CE" w14:textId="77777777" w:rsidR="008B1C85" w:rsidRPr="000054F7" w:rsidRDefault="008B1C85" w:rsidP="008B1C85">
      <w:pPr>
        <w:pStyle w:val="09Tablefootnoteslast-nostick"/>
      </w:pPr>
      <w:r>
        <w:lastRenderedPageBreak/>
        <w:t>Note: Explanatory note D1.14 clarifies that MBS item 11503 applies to s</w:t>
      </w:r>
      <w:r w:rsidRPr="000054F7">
        <w:t>pirometry performed before and after simple exercise testing undertaken as a provocation test for the investigation of asthma, in premises capable of performing complex lung function tests and equipped with a mechanical ventilator and defibrillator</w:t>
      </w:r>
      <w:r>
        <w:t>.</w:t>
      </w:r>
    </w:p>
    <w:p w14:paraId="53225856" w14:textId="77777777" w:rsidR="008B1C85" w:rsidRDefault="008B1C85" w:rsidP="00B50F00">
      <w:r>
        <w:t>Table A-2.2 shows the start dates for the MBS item numbers that are relevant to spirometry, as well as the start dates for the item descriptors and fees.</w:t>
      </w:r>
    </w:p>
    <w:p w14:paraId="67A3AB7D" w14:textId="77777777" w:rsidR="008B1C85" w:rsidRDefault="008B1C85" w:rsidP="00DF3A06">
      <w:pPr>
        <w:pStyle w:val="Appcaption"/>
      </w:pPr>
      <w:bookmarkStart w:id="376" w:name="_Toc420583472"/>
      <w:bookmarkStart w:id="377" w:name="_Toc436661727"/>
      <w:r>
        <w:t>Table A-2.2</w:t>
      </w:r>
      <w:r>
        <w:tab/>
        <w:t>Start dates for spirometry MBS item numbers</w:t>
      </w:r>
      <w:bookmarkEnd w:id="376"/>
      <w:bookmarkEnd w:id="377"/>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Look w:val="00A0" w:firstRow="1" w:lastRow="0" w:firstColumn="1" w:lastColumn="0" w:noHBand="0" w:noVBand="0"/>
        <w:tblDescription w:val="Start dates for spirometry MBS item numbers."/>
      </w:tblPr>
      <w:tblGrid>
        <w:gridCol w:w="2316"/>
        <w:gridCol w:w="4562"/>
        <w:gridCol w:w="2177"/>
      </w:tblGrid>
      <w:tr w:rsidR="008B1C85" w:rsidRPr="00A0517F" w14:paraId="6F8AE89C" w14:textId="77777777" w:rsidTr="00FF6AB5">
        <w:trPr>
          <w:trHeight w:val="227"/>
          <w:tblHeader/>
        </w:trPr>
        <w:tc>
          <w:tcPr>
            <w:tcW w:w="1279" w:type="pct"/>
            <w:tcBorders>
              <w:bottom w:val="single" w:sz="6" w:space="0" w:color="auto"/>
            </w:tcBorders>
            <w:shd w:val="clear" w:color="auto" w:fill="366091"/>
          </w:tcPr>
          <w:p w14:paraId="0CF6C8DC" w14:textId="77777777" w:rsidR="008B1C85" w:rsidRPr="00A0517F" w:rsidRDefault="008B1C85" w:rsidP="008B1C85">
            <w:pPr>
              <w:pStyle w:val="01Tableheadingorsubheading"/>
              <w:rPr>
                <w:rFonts w:cstheme="minorHAnsi"/>
                <w:lang w:eastAsia="en-AU"/>
              </w:rPr>
            </w:pPr>
            <w:r w:rsidRPr="00A0517F">
              <w:rPr>
                <w:rFonts w:cstheme="minorHAnsi"/>
                <w:lang w:eastAsia="en-AU"/>
              </w:rPr>
              <w:t>MBS item number</w:t>
            </w:r>
          </w:p>
        </w:tc>
        <w:tc>
          <w:tcPr>
            <w:tcW w:w="2519" w:type="pct"/>
            <w:shd w:val="clear" w:color="auto" w:fill="366091"/>
          </w:tcPr>
          <w:p w14:paraId="7284495B" w14:textId="77777777" w:rsidR="008B1C85" w:rsidRPr="00A0517F" w:rsidRDefault="008B1C85" w:rsidP="008B1C85">
            <w:pPr>
              <w:pStyle w:val="01Tableheadingorsubheading"/>
              <w:rPr>
                <w:rFonts w:cstheme="minorHAnsi"/>
                <w:lang w:eastAsia="en-AU"/>
              </w:rPr>
            </w:pPr>
            <w:r w:rsidRPr="00A0517F">
              <w:rPr>
                <w:rFonts w:cstheme="minorHAnsi"/>
                <w:lang w:eastAsia="en-AU"/>
              </w:rPr>
              <w:t>Type of date</w:t>
            </w:r>
          </w:p>
        </w:tc>
        <w:tc>
          <w:tcPr>
            <w:tcW w:w="1202" w:type="pct"/>
            <w:shd w:val="clear" w:color="auto" w:fill="366091"/>
          </w:tcPr>
          <w:p w14:paraId="57FF130E" w14:textId="77777777" w:rsidR="008B1C85" w:rsidRPr="00A0517F" w:rsidRDefault="008B1C85" w:rsidP="008B1C85">
            <w:pPr>
              <w:pStyle w:val="01Tableheadingorsubheading"/>
              <w:rPr>
                <w:rFonts w:cstheme="minorHAnsi"/>
                <w:lang w:eastAsia="en-AU"/>
              </w:rPr>
            </w:pPr>
            <w:r w:rsidRPr="00A0517F">
              <w:rPr>
                <w:rFonts w:cstheme="minorHAnsi"/>
                <w:lang w:eastAsia="en-AU"/>
              </w:rPr>
              <w:t>Date</w:t>
            </w:r>
          </w:p>
        </w:tc>
      </w:tr>
      <w:tr w:rsidR="00134608" w:rsidRPr="00A0517F" w14:paraId="6A304C4A" w14:textId="77777777" w:rsidTr="00DC29AA">
        <w:trPr>
          <w:trHeight w:val="227"/>
        </w:trPr>
        <w:tc>
          <w:tcPr>
            <w:tcW w:w="1279" w:type="pct"/>
            <w:vMerge w:val="restart"/>
          </w:tcPr>
          <w:p w14:paraId="3F0A916C" w14:textId="77777777" w:rsidR="00134608" w:rsidRPr="00A0517F" w:rsidRDefault="00134608" w:rsidP="00840BAD">
            <w:pPr>
              <w:pStyle w:val="Tabletext"/>
              <w:rPr>
                <w:rFonts w:cstheme="minorHAnsi"/>
              </w:rPr>
            </w:pPr>
            <w:r w:rsidRPr="00A0517F">
              <w:rPr>
                <w:rFonts w:cstheme="minorHAnsi"/>
              </w:rPr>
              <w:t>11500</w:t>
            </w:r>
          </w:p>
        </w:tc>
        <w:tc>
          <w:tcPr>
            <w:tcW w:w="2519" w:type="pct"/>
            <w:vAlign w:val="center"/>
          </w:tcPr>
          <w:p w14:paraId="1379B3AE" w14:textId="77777777" w:rsidR="00134608" w:rsidRPr="00A0517F" w:rsidRDefault="00134608" w:rsidP="008B1C85">
            <w:pPr>
              <w:pStyle w:val="Tabletext"/>
              <w:rPr>
                <w:rFonts w:cstheme="minorHAnsi"/>
              </w:rPr>
            </w:pPr>
            <w:r w:rsidRPr="00A0517F">
              <w:rPr>
                <w:rFonts w:cstheme="minorHAnsi"/>
              </w:rPr>
              <w:t>Item Start Date</w:t>
            </w:r>
          </w:p>
        </w:tc>
        <w:tc>
          <w:tcPr>
            <w:tcW w:w="1202" w:type="pct"/>
          </w:tcPr>
          <w:p w14:paraId="3EEECCB7" w14:textId="77777777" w:rsidR="00134608" w:rsidRPr="00A0517F" w:rsidRDefault="00134608" w:rsidP="008B1C85">
            <w:pPr>
              <w:pStyle w:val="Tabletext"/>
              <w:rPr>
                <w:rFonts w:cstheme="minorHAnsi"/>
              </w:rPr>
            </w:pPr>
            <w:r w:rsidRPr="00A0517F">
              <w:rPr>
                <w:rFonts w:cstheme="minorHAnsi"/>
              </w:rPr>
              <w:t>01 Dec 1975</w:t>
            </w:r>
          </w:p>
        </w:tc>
      </w:tr>
      <w:tr w:rsidR="00134608" w:rsidRPr="00A0517F" w14:paraId="4FEC3B28" w14:textId="77777777" w:rsidTr="00DC29AA">
        <w:trPr>
          <w:trHeight w:val="227"/>
        </w:trPr>
        <w:tc>
          <w:tcPr>
            <w:tcW w:w="1279" w:type="pct"/>
            <w:vMerge/>
          </w:tcPr>
          <w:p w14:paraId="59EB9B7B" w14:textId="77777777" w:rsidR="00134608" w:rsidRPr="00E90C0F" w:rsidRDefault="00134608" w:rsidP="008B1C85">
            <w:pPr>
              <w:pStyle w:val="Tabletext"/>
            </w:pPr>
          </w:p>
        </w:tc>
        <w:tc>
          <w:tcPr>
            <w:tcW w:w="2519" w:type="pct"/>
            <w:vAlign w:val="center"/>
          </w:tcPr>
          <w:p w14:paraId="3EB8AD67" w14:textId="77777777" w:rsidR="00134608" w:rsidRPr="00A0517F" w:rsidRDefault="00134608" w:rsidP="008B1C85">
            <w:pPr>
              <w:pStyle w:val="Tabletext"/>
              <w:rPr>
                <w:rFonts w:cstheme="minorHAnsi"/>
              </w:rPr>
            </w:pPr>
            <w:r w:rsidRPr="00A0517F">
              <w:rPr>
                <w:rFonts w:cstheme="minorHAnsi"/>
              </w:rPr>
              <w:t>Current Descriptor Start Date</w:t>
            </w:r>
          </w:p>
        </w:tc>
        <w:tc>
          <w:tcPr>
            <w:tcW w:w="1202" w:type="pct"/>
          </w:tcPr>
          <w:p w14:paraId="4DE11B96" w14:textId="77777777" w:rsidR="00134608" w:rsidRPr="00A0517F" w:rsidRDefault="00134608" w:rsidP="008B1C85">
            <w:pPr>
              <w:pStyle w:val="Tabletext"/>
              <w:rPr>
                <w:rFonts w:cstheme="minorHAnsi"/>
              </w:rPr>
            </w:pPr>
            <w:r w:rsidRPr="00A0517F">
              <w:rPr>
                <w:rFonts w:cstheme="minorHAnsi"/>
              </w:rPr>
              <w:t>01 Dec 1991</w:t>
            </w:r>
          </w:p>
        </w:tc>
      </w:tr>
      <w:tr w:rsidR="00134608" w:rsidRPr="00A0517F" w14:paraId="2B3FE196" w14:textId="77777777" w:rsidTr="00DC29AA">
        <w:trPr>
          <w:trHeight w:val="227"/>
        </w:trPr>
        <w:tc>
          <w:tcPr>
            <w:tcW w:w="1279" w:type="pct"/>
            <w:vMerge/>
            <w:tcBorders>
              <w:bottom w:val="single" w:sz="6" w:space="0" w:color="auto"/>
            </w:tcBorders>
          </w:tcPr>
          <w:p w14:paraId="34A65C6D" w14:textId="77777777" w:rsidR="00134608" w:rsidRPr="00E90C0F" w:rsidRDefault="00134608" w:rsidP="008B1C85">
            <w:pPr>
              <w:pStyle w:val="Tabletext"/>
            </w:pPr>
          </w:p>
        </w:tc>
        <w:tc>
          <w:tcPr>
            <w:tcW w:w="2519" w:type="pct"/>
            <w:vAlign w:val="center"/>
          </w:tcPr>
          <w:p w14:paraId="6D3494D7" w14:textId="77777777" w:rsidR="00134608" w:rsidRPr="00A0517F" w:rsidRDefault="00134608" w:rsidP="008B1C85">
            <w:pPr>
              <w:pStyle w:val="Tabletext"/>
              <w:rPr>
                <w:rFonts w:cstheme="minorHAnsi"/>
              </w:rPr>
            </w:pPr>
            <w:r w:rsidRPr="00A0517F">
              <w:rPr>
                <w:rFonts w:cstheme="minorHAnsi"/>
              </w:rPr>
              <w:t>Current Schedule Fee Start Date</w:t>
            </w:r>
          </w:p>
        </w:tc>
        <w:tc>
          <w:tcPr>
            <w:tcW w:w="1202" w:type="pct"/>
          </w:tcPr>
          <w:p w14:paraId="153EF4BE" w14:textId="77777777" w:rsidR="00134608" w:rsidRPr="00A0517F" w:rsidRDefault="00134608" w:rsidP="008B1C85">
            <w:pPr>
              <w:pStyle w:val="Tabletext"/>
              <w:rPr>
                <w:rFonts w:cstheme="minorHAnsi"/>
              </w:rPr>
            </w:pPr>
            <w:r w:rsidRPr="00A0517F">
              <w:rPr>
                <w:rFonts w:cstheme="minorHAnsi"/>
              </w:rPr>
              <w:t>01 Nov 2012</w:t>
            </w:r>
          </w:p>
        </w:tc>
      </w:tr>
      <w:tr w:rsidR="00134608" w:rsidRPr="00A0517F" w14:paraId="5390D754" w14:textId="77777777" w:rsidTr="00332187">
        <w:trPr>
          <w:trHeight w:val="227"/>
        </w:trPr>
        <w:tc>
          <w:tcPr>
            <w:tcW w:w="1279" w:type="pct"/>
            <w:vMerge w:val="restart"/>
            <w:shd w:val="clear" w:color="auto" w:fill="auto"/>
          </w:tcPr>
          <w:p w14:paraId="4CBDF2AF" w14:textId="77777777" w:rsidR="00134608" w:rsidRPr="00A0517F" w:rsidRDefault="00134608" w:rsidP="008B1C85">
            <w:pPr>
              <w:pStyle w:val="Tabletext"/>
              <w:rPr>
                <w:rFonts w:cstheme="minorHAnsi"/>
              </w:rPr>
            </w:pPr>
            <w:r w:rsidRPr="00A0517F">
              <w:rPr>
                <w:rFonts w:cstheme="minorHAnsi"/>
              </w:rPr>
              <w:t>11503</w:t>
            </w:r>
          </w:p>
        </w:tc>
        <w:tc>
          <w:tcPr>
            <w:tcW w:w="2519" w:type="pct"/>
            <w:shd w:val="clear" w:color="auto" w:fill="auto"/>
            <w:vAlign w:val="center"/>
          </w:tcPr>
          <w:p w14:paraId="2E141072" w14:textId="77777777" w:rsidR="00134608" w:rsidRPr="00A0517F" w:rsidRDefault="00134608" w:rsidP="008B1C85">
            <w:pPr>
              <w:pStyle w:val="Tabletext"/>
              <w:rPr>
                <w:rFonts w:cstheme="minorHAnsi"/>
              </w:rPr>
            </w:pPr>
            <w:r w:rsidRPr="00A0517F">
              <w:rPr>
                <w:rFonts w:cstheme="minorHAnsi"/>
              </w:rPr>
              <w:t>Item Start Date</w:t>
            </w:r>
          </w:p>
        </w:tc>
        <w:tc>
          <w:tcPr>
            <w:tcW w:w="1202" w:type="pct"/>
            <w:shd w:val="clear" w:color="auto" w:fill="auto"/>
          </w:tcPr>
          <w:p w14:paraId="52C7BC54" w14:textId="77777777" w:rsidR="00134608" w:rsidRPr="00A0517F" w:rsidRDefault="00134608" w:rsidP="008B1C85">
            <w:pPr>
              <w:pStyle w:val="Tabletext"/>
              <w:rPr>
                <w:rFonts w:cstheme="minorHAnsi"/>
              </w:rPr>
            </w:pPr>
            <w:r w:rsidRPr="00A0517F">
              <w:rPr>
                <w:rFonts w:cstheme="minorHAnsi"/>
              </w:rPr>
              <w:t>01 Dec 1975</w:t>
            </w:r>
          </w:p>
        </w:tc>
      </w:tr>
      <w:tr w:rsidR="00134608" w:rsidRPr="00A0517F" w14:paraId="28586EB4" w14:textId="77777777" w:rsidTr="00332187">
        <w:trPr>
          <w:trHeight w:val="227"/>
        </w:trPr>
        <w:tc>
          <w:tcPr>
            <w:tcW w:w="1279" w:type="pct"/>
            <w:vMerge/>
            <w:shd w:val="clear" w:color="auto" w:fill="auto"/>
          </w:tcPr>
          <w:p w14:paraId="76A1922C" w14:textId="77777777" w:rsidR="00134608" w:rsidRPr="00E90C0F" w:rsidRDefault="00134608" w:rsidP="008B1C85">
            <w:pPr>
              <w:pStyle w:val="Tabletext"/>
            </w:pPr>
          </w:p>
        </w:tc>
        <w:tc>
          <w:tcPr>
            <w:tcW w:w="2519" w:type="pct"/>
            <w:shd w:val="clear" w:color="auto" w:fill="auto"/>
            <w:vAlign w:val="center"/>
          </w:tcPr>
          <w:p w14:paraId="2F7187F7" w14:textId="77777777" w:rsidR="00134608" w:rsidRPr="00A0517F" w:rsidRDefault="00134608" w:rsidP="008B1C85">
            <w:pPr>
              <w:pStyle w:val="Tabletext"/>
              <w:rPr>
                <w:rFonts w:cstheme="minorHAnsi"/>
              </w:rPr>
            </w:pPr>
            <w:r w:rsidRPr="00A0517F">
              <w:rPr>
                <w:rFonts w:cstheme="minorHAnsi"/>
              </w:rPr>
              <w:t>Current Descriptor Start Date</w:t>
            </w:r>
          </w:p>
        </w:tc>
        <w:tc>
          <w:tcPr>
            <w:tcW w:w="1202" w:type="pct"/>
            <w:shd w:val="clear" w:color="auto" w:fill="auto"/>
          </w:tcPr>
          <w:p w14:paraId="3179CA73" w14:textId="77777777" w:rsidR="00134608" w:rsidRPr="00A0517F" w:rsidRDefault="00134608" w:rsidP="008B1C85">
            <w:pPr>
              <w:pStyle w:val="Tabletext"/>
              <w:rPr>
                <w:rFonts w:cstheme="minorHAnsi"/>
              </w:rPr>
            </w:pPr>
            <w:r w:rsidRPr="00A0517F">
              <w:rPr>
                <w:rFonts w:cstheme="minorHAnsi"/>
              </w:rPr>
              <w:t>01 Mar 2013</w:t>
            </w:r>
          </w:p>
        </w:tc>
      </w:tr>
      <w:tr w:rsidR="00134608" w:rsidRPr="00A0517F" w14:paraId="26AA6BC8" w14:textId="77777777" w:rsidTr="00332187">
        <w:trPr>
          <w:trHeight w:val="227"/>
        </w:trPr>
        <w:tc>
          <w:tcPr>
            <w:tcW w:w="1279" w:type="pct"/>
            <w:vMerge/>
            <w:tcBorders>
              <w:bottom w:val="single" w:sz="6" w:space="0" w:color="auto"/>
            </w:tcBorders>
            <w:shd w:val="clear" w:color="auto" w:fill="auto"/>
          </w:tcPr>
          <w:p w14:paraId="639BA975" w14:textId="77777777" w:rsidR="00134608" w:rsidRPr="00E90C0F" w:rsidRDefault="00134608" w:rsidP="008B1C85">
            <w:pPr>
              <w:pStyle w:val="Tabletext"/>
            </w:pPr>
          </w:p>
        </w:tc>
        <w:tc>
          <w:tcPr>
            <w:tcW w:w="2519" w:type="pct"/>
            <w:shd w:val="clear" w:color="auto" w:fill="auto"/>
            <w:vAlign w:val="center"/>
          </w:tcPr>
          <w:p w14:paraId="65C0E4F0" w14:textId="77777777" w:rsidR="00134608" w:rsidRPr="00A0517F" w:rsidRDefault="00134608" w:rsidP="008B1C85">
            <w:pPr>
              <w:pStyle w:val="Tabletext"/>
              <w:rPr>
                <w:rFonts w:cstheme="minorHAnsi"/>
              </w:rPr>
            </w:pPr>
            <w:r w:rsidRPr="00A0517F">
              <w:rPr>
                <w:rFonts w:cstheme="minorHAnsi"/>
              </w:rPr>
              <w:t>Current Schedule Fee Start Date</w:t>
            </w:r>
          </w:p>
        </w:tc>
        <w:tc>
          <w:tcPr>
            <w:tcW w:w="1202" w:type="pct"/>
            <w:shd w:val="clear" w:color="auto" w:fill="auto"/>
          </w:tcPr>
          <w:p w14:paraId="341BB98F" w14:textId="77777777" w:rsidR="00134608" w:rsidRPr="00A0517F" w:rsidRDefault="00134608" w:rsidP="008B1C85">
            <w:pPr>
              <w:pStyle w:val="Tabletext"/>
              <w:rPr>
                <w:rFonts w:cstheme="minorHAnsi"/>
              </w:rPr>
            </w:pPr>
            <w:r w:rsidRPr="00A0517F">
              <w:rPr>
                <w:rFonts w:cstheme="minorHAnsi"/>
              </w:rPr>
              <w:t>01 Nov 2012</w:t>
            </w:r>
          </w:p>
        </w:tc>
      </w:tr>
      <w:tr w:rsidR="00137BB4" w:rsidRPr="00A0517F" w14:paraId="57603C97" w14:textId="77777777" w:rsidTr="00DC29AA">
        <w:trPr>
          <w:trHeight w:val="227"/>
        </w:trPr>
        <w:tc>
          <w:tcPr>
            <w:tcW w:w="1279" w:type="pct"/>
            <w:vMerge w:val="restart"/>
            <w:tcBorders>
              <w:top w:val="single" w:sz="6" w:space="0" w:color="auto"/>
            </w:tcBorders>
          </w:tcPr>
          <w:p w14:paraId="72F5A069" w14:textId="77777777" w:rsidR="00137BB4" w:rsidRPr="00A0517F" w:rsidRDefault="00137BB4" w:rsidP="00137BB4">
            <w:pPr>
              <w:pStyle w:val="Tabletext"/>
              <w:rPr>
                <w:rFonts w:cstheme="minorHAnsi"/>
              </w:rPr>
            </w:pPr>
            <w:r w:rsidRPr="00A0517F">
              <w:rPr>
                <w:rFonts w:cstheme="minorHAnsi"/>
              </w:rPr>
              <w:t>11506</w:t>
            </w:r>
          </w:p>
        </w:tc>
        <w:tc>
          <w:tcPr>
            <w:tcW w:w="2519" w:type="pct"/>
            <w:vAlign w:val="center"/>
          </w:tcPr>
          <w:p w14:paraId="5417C44B" w14:textId="77777777" w:rsidR="00137BB4" w:rsidRPr="00A0517F" w:rsidRDefault="00137BB4" w:rsidP="008B1C85">
            <w:pPr>
              <w:pStyle w:val="Tabletext"/>
              <w:rPr>
                <w:rFonts w:cstheme="minorHAnsi"/>
              </w:rPr>
            </w:pPr>
            <w:r w:rsidRPr="00A0517F">
              <w:rPr>
                <w:rFonts w:cstheme="minorHAnsi"/>
              </w:rPr>
              <w:t>Item Start Date</w:t>
            </w:r>
          </w:p>
        </w:tc>
        <w:tc>
          <w:tcPr>
            <w:tcW w:w="1202" w:type="pct"/>
          </w:tcPr>
          <w:p w14:paraId="2ED25DAB" w14:textId="77777777" w:rsidR="00137BB4" w:rsidRPr="00A0517F" w:rsidRDefault="00137BB4" w:rsidP="008B1C85">
            <w:pPr>
              <w:pStyle w:val="Tabletext"/>
              <w:rPr>
                <w:rFonts w:cstheme="minorHAnsi"/>
              </w:rPr>
            </w:pPr>
            <w:r w:rsidRPr="00A0517F">
              <w:rPr>
                <w:rFonts w:cstheme="minorHAnsi"/>
              </w:rPr>
              <w:t>01 Dec 1976</w:t>
            </w:r>
          </w:p>
        </w:tc>
      </w:tr>
      <w:tr w:rsidR="00137BB4" w:rsidRPr="00A0517F" w14:paraId="6734712B" w14:textId="77777777" w:rsidTr="00DC29AA">
        <w:trPr>
          <w:trHeight w:val="227"/>
        </w:trPr>
        <w:tc>
          <w:tcPr>
            <w:tcW w:w="1279" w:type="pct"/>
            <w:vMerge/>
          </w:tcPr>
          <w:p w14:paraId="22015409" w14:textId="77777777" w:rsidR="00137BB4" w:rsidRPr="00E90C0F" w:rsidRDefault="00137BB4" w:rsidP="008B1C85">
            <w:pPr>
              <w:pStyle w:val="Tabletext"/>
            </w:pPr>
          </w:p>
        </w:tc>
        <w:tc>
          <w:tcPr>
            <w:tcW w:w="2519" w:type="pct"/>
            <w:vAlign w:val="center"/>
          </w:tcPr>
          <w:p w14:paraId="28019551" w14:textId="77777777" w:rsidR="00137BB4" w:rsidRPr="00A0517F" w:rsidRDefault="00137BB4" w:rsidP="008B1C85">
            <w:pPr>
              <w:pStyle w:val="Tabletext"/>
              <w:rPr>
                <w:rFonts w:cstheme="minorHAnsi"/>
              </w:rPr>
            </w:pPr>
            <w:r w:rsidRPr="00A0517F">
              <w:rPr>
                <w:rFonts w:cstheme="minorHAnsi"/>
              </w:rPr>
              <w:t>Current Descriptor Start Date</w:t>
            </w:r>
          </w:p>
        </w:tc>
        <w:tc>
          <w:tcPr>
            <w:tcW w:w="1202" w:type="pct"/>
          </w:tcPr>
          <w:p w14:paraId="5FCA192B" w14:textId="77777777" w:rsidR="00137BB4" w:rsidRPr="00A0517F" w:rsidRDefault="00137BB4" w:rsidP="008B1C85">
            <w:pPr>
              <w:pStyle w:val="Tabletext"/>
              <w:rPr>
                <w:rFonts w:cstheme="minorHAnsi"/>
              </w:rPr>
            </w:pPr>
            <w:r w:rsidRPr="00A0517F">
              <w:rPr>
                <w:rFonts w:cstheme="minorHAnsi"/>
              </w:rPr>
              <w:t>01 Dec 1991</w:t>
            </w:r>
          </w:p>
        </w:tc>
      </w:tr>
      <w:tr w:rsidR="00137BB4" w:rsidRPr="00A0517F" w14:paraId="14C22453" w14:textId="77777777" w:rsidTr="00DC29AA">
        <w:trPr>
          <w:trHeight w:val="227"/>
        </w:trPr>
        <w:tc>
          <w:tcPr>
            <w:tcW w:w="1279" w:type="pct"/>
            <w:vMerge/>
            <w:tcBorders>
              <w:bottom w:val="single" w:sz="6" w:space="0" w:color="auto"/>
            </w:tcBorders>
          </w:tcPr>
          <w:p w14:paraId="61E663B3" w14:textId="77777777" w:rsidR="00137BB4" w:rsidRPr="00E90C0F" w:rsidRDefault="00137BB4" w:rsidP="008B1C85">
            <w:pPr>
              <w:pStyle w:val="Tabletext"/>
            </w:pPr>
          </w:p>
        </w:tc>
        <w:tc>
          <w:tcPr>
            <w:tcW w:w="2519" w:type="pct"/>
            <w:vAlign w:val="center"/>
          </w:tcPr>
          <w:p w14:paraId="5E8BA523" w14:textId="77777777" w:rsidR="00137BB4" w:rsidRPr="00A0517F" w:rsidRDefault="00137BB4" w:rsidP="008B1C85">
            <w:pPr>
              <w:pStyle w:val="Tabletext"/>
              <w:rPr>
                <w:rFonts w:cstheme="minorHAnsi"/>
              </w:rPr>
            </w:pPr>
            <w:r w:rsidRPr="00A0517F">
              <w:rPr>
                <w:rFonts w:cstheme="minorHAnsi"/>
              </w:rPr>
              <w:t>Current Schedule Fee Start Date</w:t>
            </w:r>
          </w:p>
        </w:tc>
        <w:tc>
          <w:tcPr>
            <w:tcW w:w="1202" w:type="pct"/>
          </w:tcPr>
          <w:p w14:paraId="2E4B2B20" w14:textId="77777777" w:rsidR="00137BB4" w:rsidRPr="00A0517F" w:rsidRDefault="00137BB4" w:rsidP="008B1C85">
            <w:pPr>
              <w:pStyle w:val="Tabletext"/>
              <w:rPr>
                <w:rFonts w:cstheme="minorHAnsi"/>
              </w:rPr>
            </w:pPr>
            <w:r w:rsidRPr="00A0517F">
              <w:rPr>
                <w:rFonts w:cstheme="minorHAnsi"/>
              </w:rPr>
              <w:t>01 Nov 2012</w:t>
            </w:r>
          </w:p>
        </w:tc>
      </w:tr>
      <w:tr w:rsidR="00137BB4" w:rsidRPr="00A0517F" w14:paraId="13512B8E" w14:textId="77777777" w:rsidTr="00332187">
        <w:trPr>
          <w:trHeight w:val="227"/>
        </w:trPr>
        <w:tc>
          <w:tcPr>
            <w:tcW w:w="1279" w:type="pct"/>
            <w:vMerge w:val="restart"/>
            <w:tcBorders>
              <w:top w:val="single" w:sz="6" w:space="0" w:color="auto"/>
            </w:tcBorders>
            <w:shd w:val="clear" w:color="auto" w:fill="auto"/>
          </w:tcPr>
          <w:p w14:paraId="76F83261" w14:textId="77777777" w:rsidR="00137BB4" w:rsidRPr="00A0517F" w:rsidRDefault="00137BB4" w:rsidP="008B1C85">
            <w:pPr>
              <w:pStyle w:val="Tabletext"/>
              <w:rPr>
                <w:rFonts w:cstheme="minorHAnsi"/>
              </w:rPr>
            </w:pPr>
            <w:r w:rsidRPr="00A0517F">
              <w:rPr>
                <w:rFonts w:cstheme="minorHAnsi"/>
              </w:rPr>
              <w:t>11509</w:t>
            </w:r>
          </w:p>
        </w:tc>
        <w:tc>
          <w:tcPr>
            <w:tcW w:w="2519" w:type="pct"/>
            <w:shd w:val="clear" w:color="auto" w:fill="auto"/>
            <w:vAlign w:val="center"/>
          </w:tcPr>
          <w:p w14:paraId="2AB1B637" w14:textId="77777777" w:rsidR="00137BB4" w:rsidRPr="00A0517F" w:rsidRDefault="00137BB4" w:rsidP="008B1C85">
            <w:pPr>
              <w:pStyle w:val="Tabletext"/>
              <w:rPr>
                <w:rFonts w:cstheme="minorHAnsi"/>
              </w:rPr>
            </w:pPr>
            <w:r w:rsidRPr="00A0517F">
              <w:rPr>
                <w:rFonts w:cstheme="minorHAnsi"/>
              </w:rPr>
              <w:t>Item Start Date</w:t>
            </w:r>
          </w:p>
        </w:tc>
        <w:tc>
          <w:tcPr>
            <w:tcW w:w="1202" w:type="pct"/>
            <w:shd w:val="clear" w:color="auto" w:fill="auto"/>
          </w:tcPr>
          <w:p w14:paraId="7EA822EF" w14:textId="77777777" w:rsidR="00137BB4" w:rsidRPr="00A0517F" w:rsidRDefault="00137BB4" w:rsidP="008B1C85">
            <w:pPr>
              <w:pStyle w:val="Tabletext"/>
              <w:rPr>
                <w:rFonts w:cstheme="minorHAnsi"/>
              </w:rPr>
            </w:pPr>
            <w:r w:rsidRPr="00A0517F">
              <w:rPr>
                <w:rFonts w:cstheme="minorHAnsi"/>
              </w:rPr>
              <w:t>01 May 1990</w:t>
            </w:r>
          </w:p>
        </w:tc>
      </w:tr>
      <w:tr w:rsidR="00137BB4" w:rsidRPr="00A0517F" w14:paraId="4F46C467" w14:textId="77777777" w:rsidTr="00332187">
        <w:trPr>
          <w:trHeight w:val="227"/>
        </w:trPr>
        <w:tc>
          <w:tcPr>
            <w:tcW w:w="1279" w:type="pct"/>
            <w:vMerge/>
            <w:shd w:val="clear" w:color="auto" w:fill="auto"/>
          </w:tcPr>
          <w:p w14:paraId="2C009C76" w14:textId="77777777" w:rsidR="00137BB4" w:rsidRPr="00E90C0F" w:rsidRDefault="00137BB4" w:rsidP="008B1C85">
            <w:pPr>
              <w:pStyle w:val="Tabletext"/>
            </w:pPr>
          </w:p>
        </w:tc>
        <w:tc>
          <w:tcPr>
            <w:tcW w:w="2519" w:type="pct"/>
            <w:shd w:val="clear" w:color="auto" w:fill="auto"/>
            <w:vAlign w:val="center"/>
          </w:tcPr>
          <w:p w14:paraId="2E7F2559" w14:textId="77777777" w:rsidR="00137BB4" w:rsidRPr="00A0517F" w:rsidRDefault="00137BB4" w:rsidP="008B1C85">
            <w:pPr>
              <w:pStyle w:val="Tabletext"/>
              <w:rPr>
                <w:rFonts w:cstheme="minorHAnsi"/>
              </w:rPr>
            </w:pPr>
            <w:r w:rsidRPr="00A0517F">
              <w:rPr>
                <w:rFonts w:cstheme="minorHAnsi"/>
              </w:rPr>
              <w:t>Current Descriptor Start Date</w:t>
            </w:r>
          </w:p>
        </w:tc>
        <w:tc>
          <w:tcPr>
            <w:tcW w:w="1202" w:type="pct"/>
            <w:shd w:val="clear" w:color="auto" w:fill="auto"/>
          </w:tcPr>
          <w:p w14:paraId="5EC88FF0" w14:textId="77777777" w:rsidR="00137BB4" w:rsidRPr="00A0517F" w:rsidRDefault="00137BB4" w:rsidP="008B1C85">
            <w:pPr>
              <w:pStyle w:val="Tabletext"/>
              <w:rPr>
                <w:rFonts w:cstheme="minorHAnsi"/>
              </w:rPr>
            </w:pPr>
            <w:r w:rsidRPr="00A0517F">
              <w:rPr>
                <w:rFonts w:cstheme="minorHAnsi"/>
              </w:rPr>
              <w:t>01 May 1990</w:t>
            </w:r>
          </w:p>
        </w:tc>
      </w:tr>
      <w:tr w:rsidR="00137BB4" w:rsidRPr="00A0517F" w14:paraId="1F7D5E43" w14:textId="77777777" w:rsidTr="00332187">
        <w:trPr>
          <w:trHeight w:val="227"/>
        </w:trPr>
        <w:tc>
          <w:tcPr>
            <w:tcW w:w="1279" w:type="pct"/>
            <w:vMerge/>
            <w:tcBorders>
              <w:bottom w:val="single" w:sz="4" w:space="0" w:color="auto"/>
            </w:tcBorders>
            <w:shd w:val="clear" w:color="auto" w:fill="auto"/>
          </w:tcPr>
          <w:p w14:paraId="68E97191" w14:textId="77777777" w:rsidR="00137BB4" w:rsidRPr="00E90C0F" w:rsidRDefault="00137BB4" w:rsidP="008B1C85">
            <w:pPr>
              <w:pStyle w:val="Tabletext"/>
            </w:pPr>
          </w:p>
        </w:tc>
        <w:tc>
          <w:tcPr>
            <w:tcW w:w="2519" w:type="pct"/>
            <w:shd w:val="clear" w:color="auto" w:fill="auto"/>
            <w:vAlign w:val="center"/>
          </w:tcPr>
          <w:p w14:paraId="5EB6B2D2" w14:textId="77777777" w:rsidR="00137BB4" w:rsidRPr="00A0517F" w:rsidRDefault="00137BB4" w:rsidP="008B1C85">
            <w:pPr>
              <w:pStyle w:val="Tabletext"/>
              <w:rPr>
                <w:rFonts w:cstheme="minorHAnsi"/>
              </w:rPr>
            </w:pPr>
            <w:r w:rsidRPr="00A0517F">
              <w:rPr>
                <w:rFonts w:cstheme="minorHAnsi"/>
              </w:rPr>
              <w:t>Current Schedule Fee Start Date</w:t>
            </w:r>
          </w:p>
        </w:tc>
        <w:tc>
          <w:tcPr>
            <w:tcW w:w="1202" w:type="pct"/>
            <w:shd w:val="clear" w:color="auto" w:fill="auto"/>
          </w:tcPr>
          <w:p w14:paraId="21F718C1" w14:textId="77777777" w:rsidR="00137BB4" w:rsidRPr="00A0517F" w:rsidRDefault="00137BB4" w:rsidP="008B1C85">
            <w:pPr>
              <w:pStyle w:val="Tabletext"/>
              <w:rPr>
                <w:rFonts w:cstheme="minorHAnsi"/>
              </w:rPr>
            </w:pPr>
            <w:r w:rsidRPr="00A0517F">
              <w:rPr>
                <w:rFonts w:cstheme="minorHAnsi"/>
              </w:rPr>
              <w:t>01 Nov 2012</w:t>
            </w:r>
          </w:p>
        </w:tc>
      </w:tr>
      <w:tr w:rsidR="00137BB4" w:rsidRPr="00A0517F" w14:paraId="783171D0" w14:textId="77777777" w:rsidTr="00DC29AA">
        <w:trPr>
          <w:trHeight w:val="227"/>
        </w:trPr>
        <w:tc>
          <w:tcPr>
            <w:tcW w:w="1279" w:type="pct"/>
            <w:vMerge w:val="restart"/>
            <w:tcBorders>
              <w:top w:val="single" w:sz="4" w:space="0" w:color="auto"/>
            </w:tcBorders>
            <w:shd w:val="clear" w:color="auto" w:fill="auto"/>
          </w:tcPr>
          <w:p w14:paraId="2795E205" w14:textId="77777777" w:rsidR="00137BB4" w:rsidRPr="00A0517F" w:rsidRDefault="00137BB4" w:rsidP="00137BB4">
            <w:pPr>
              <w:pStyle w:val="Tabletext"/>
              <w:rPr>
                <w:rFonts w:cstheme="minorHAnsi"/>
              </w:rPr>
            </w:pPr>
            <w:r w:rsidRPr="00A0517F">
              <w:rPr>
                <w:rFonts w:cstheme="minorHAnsi"/>
              </w:rPr>
              <w:t>11512</w:t>
            </w:r>
          </w:p>
        </w:tc>
        <w:tc>
          <w:tcPr>
            <w:tcW w:w="2519" w:type="pct"/>
            <w:shd w:val="clear" w:color="auto" w:fill="auto"/>
            <w:vAlign w:val="center"/>
          </w:tcPr>
          <w:p w14:paraId="3C0C9DB4" w14:textId="77777777" w:rsidR="00137BB4" w:rsidRPr="00A0517F" w:rsidRDefault="00137BB4" w:rsidP="008B1C85">
            <w:pPr>
              <w:pStyle w:val="Tabletext"/>
              <w:rPr>
                <w:rFonts w:cstheme="minorHAnsi"/>
              </w:rPr>
            </w:pPr>
            <w:r w:rsidRPr="00A0517F">
              <w:rPr>
                <w:rFonts w:cstheme="minorHAnsi"/>
              </w:rPr>
              <w:t>Item Start Date</w:t>
            </w:r>
          </w:p>
        </w:tc>
        <w:tc>
          <w:tcPr>
            <w:tcW w:w="1202" w:type="pct"/>
            <w:shd w:val="clear" w:color="auto" w:fill="auto"/>
          </w:tcPr>
          <w:p w14:paraId="4B0ACB98" w14:textId="77777777" w:rsidR="00137BB4" w:rsidRPr="00A0517F" w:rsidRDefault="00137BB4" w:rsidP="008B1C85">
            <w:pPr>
              <w:pStyle w:val="Tabletext"/>
              <w:rPr>
                <w:rFonts w:cstheme="minorHAnsi"/>
              </w:rPr>
            </w:pPr>
            <w:r w:rsidRPr="00A0517F">
              <w:rPr>
                <w:rFonts w:cstheme="minorHAnsi"/>
              </w:rPr>
              <w:t>01 May 1990</w:t>
            </w:r>
          </w:p>
        </w:tc>
      </w:tr>
      <w:tr w:rsidR="00137BB4" w:rsidRPr="00A0517F" w14:paraId="20D7904A" w14:textId="77777777" w:rsidTr="00DC29AA">
        <w:trPr>
          <w:trHeight w:val="227"/>
        </w:trPr>
        <w:tc>
          <w:tcPr>
            <w:tcW w:w="1279" w:type="pct"/>
            <w:vMerge/>
            <w:shd w:val="clear" w:color="auto" w:fill="auto"/>
          </w:tcPr>
          <w:p w14:paraId="1BE83279" w14:textId="77777777" w:rsidR="00137BB4" w:rsidRPr="00E90C0F" w:rsidRDefault="00137BB4" w:rsidP="008B1C85">
            <w:pPr>
              <w:pStyle w:val="Tabletext"/>
            </w:pPr>
          </w:p>
        </w:tc>
        <w:tc>
          <w:tcPr>
            <w:tcW w:w="2519" w:type="pct"/>
            <w:shd w:val="clear" w:color="auto" w:fill="auto"/>
            <w:vAlign w:val="center"/>
          </w:tcPr>
          <w:p w14:paraId="35E513D0" w14:textId="77777777" w:rsidR="00137BB4" w:rsidRPr="00A0517F" w:rsidRDefault="00137BB4" w:rsidP="008B1C85">
            <w:pPr>
              <w:pStyle w:val="Tabletext"/>
              <w:rPr>
                <w:rFonts w:cstheme="minorHAnsi"/>
              </w:rPr>
            </w:pPr>
            <w:r w:rsidRPr="00A0517F">
              <w:rPr>
                <w:rFonts w:cstheme="minorHAnsi"/>
              </w:rPr>
              <w:t>Current Descriptor Start Date</w:t>
            </w:r>
          </w:p>
        </w:tc>
        <w:tc>
          <w:tcPr>
            <w:tcW w:w="1202" w:type="pct"/>
            <w:shd w:val="clear" w:color="auto" w:fill="auto"/>
          </w:tcPr>
          <w:p w14:paraId="3035F3D2" w14:textId="77777777" w:rsidR="00137BB4" w:rsidRPr="00A0517F" w:rsidRDefault="00137BB4" w:rsidP="008B1C85">
            <w:pPr>
              <w:pStyle w:val="Tabletext"/>
              <w:rPr>
                <w:rFonts w:cstheme="minorHAnsi"/>
              </w:rPr>
            </w:pPr>
            <w:r w:rsidRPr="00A0517F">
              <w:rPr>
                <w:rFonts w:cstheme="minorHAnsi"/>
              </w:rPr>
              <w:t>01 May 1990</w:t>
            </w:r>
          </w:p>
        </w:tc>
      </w:tr>
      <w:tr w:rsidR="00137BB4" w:rsidRPr="00A0517F" w14:paraId="6D715418" w14:textId="77777777" w:rsidTr="00DC29AA">
        <w:trPr>
          <w:trHeight w:val="227"/>
        </w:trPr>
        <w:tc>
          <w:tcPr>
            <w:tcW w:w="1279" w:type="pct"/>
            <w:vMerge/>
            <w:shd w:val="clear" w:color="auto" w:fill="auto"/>
          </w:tcPr>
          <w:p w14:paraId="08C727ED" w14:textId="77777777" w:rsidR="00137BB4" w:rsidRPr="00E90C0F" w:rsidRDefault="00137BB4" w:rsidP="008B1C85">
            <w:pPr>
              <w:pStyle w:val="Tabletext"/>
            </w:pPr>
          </w:p>
        </w:tc>
        <w:tc>
          <w:tcPr>
            <w:tcW w:w="2519" w:type="pct"/>
            <w:shd w:val="clear" w:color="auto" w:fill="auto"/>
            <w:vAlign w:val="center"/>
          </w:tcPr>
          <w:p w14:paraId="5B5355AF" w14:textId="77777777" w:rsidR="00137BB4" w:rsidRPr="00A0517F" w:rsidRDefault="00137BB4" w:rsidP="008B1C85">
            <w:pPr>
              <w:pStyle w:val="Tabletext"/>
              <w:rPr>
                <w:rFonts w:cstheme="minorHAnsi"/>
              </w:rPr>
            </w:pPr>
            <w:r w:rsidRPr="00A0517F">
              <w:rPr>
                <w:rFonts w:cstheme="minorHAnsi"/>
              </w:rPr>
              <w:t>Current Schedule Fee Start Date</w:t>
            </w:r>
          </w:p>
        </w:tc>
        <w:tc>
          <w:tcPr>
            <w:tcW w:w="1202" w:type="pct"/>
            <w:shd w:val="clear" w:color="auto" w:fill="auto"/>
          </w:tcPr>
          <w:p w14:paraId="270B0952" w14:textId="77777777" w:rsidR="00137BB4" w:rsidRPr="00A0517F" w:rsidRDefault="00137BB4" w:rsidP="008B1C85">
            <w:pPr>
              <w:pStyle w:val="Tabletext"/>
              <w:rPr>
                <w:rFonts w:cstheme="minorHAnsi"/>
              </w:rPr>
            </w:pPr>
            <w:r w:rsidRPr="00A0517F">
              <w:rPr>
                <w:rFonts w:cstheme="minorHAnsi"/>
              </w:rPr>
              <w:t>01 Nov 2012</w:t>
            </w:r>
          </w:p>
        </w:tc>
      </w:tr>
    </w:tbl>
    <w:p w14:paraId="2FB41D99" w14:textId="77777777" w:rsidR="008B1C85" w:rsidRDefault="008B1C85" w:rsidP="008B1C85">
      <w:pPr>
        <w:pStyle w:val="08Tablefootnotes"/>
      </w:pPr>
      <w:r>
        <w:t>Source: Department of Human Services – Medicare Australia, accessed 05 January 2016.</w:t>
      </w:r>
    </w:p>
    <w:p w14:paraId="2BE03A3E" w14:textId="77777777" w:rsidR="008B1C85" w:rsidRDefault="008B1C85" w:rsidP="008B1C85">
      <w:pPr>
        <w:pStyle w:val="BodyText"/>
        <w:sectPr w:rsidR="008B1C85" w:rsidSect="008B1C85">
          <w:pgSz w:w="11906" w:h="16838" w:code="9"/>
          <w:pgMar w:top="1134" w:right="1134" w:bottom="1701" w:left="1701" w:header="567" w:footer="567" w:gutter="0"/>
          <w:cols w:space="708"/>
          <w:docGrid w:linePitch="360"/>
        </w:sectPr>
      </w:pPr>
    </w:p>
    <w:p w14:paraId="54273730" w14:textId="77777777" w:rsidR="008B1C85" w:rsidRDefault="00A227D5" w:rsidP="00A227D5">
      <w:pPr>
        <w:pStyle w:val="AttHeading1"/>
      </w:pPr>
      <w:bookmarkStart w:id="378" w:name="_Ref442799062"/>
      <w:r>
        <w:lastRenderedPageBreak/>
        <w:t xml:space="preserve">Appendix 3 </w:t>
      </w:r>
      <w:r w:rsidR="008B1C85">
        <w:t>MBS Data</w:t>
      </w:r>
      <w:bookmarkEnd w:id="378"/>
    </w:p>
    <w:p w14:paraId="7F7CFE08" w14:textId="77777777" w:rsidR="008B1C85" w:rsidRDefault="008B1C85" w:rsidP="00DF3A06">
      <w:pPr>
        <w:pStyle w:val="Appcaption"/>
      </w:pPr>
      <w:r>
        <w:t>Table A-3.1</w:t>
      </w:r>
      <w:r>
        <w:tab/>
        <w:t>Services and benefits paid for MBS item 11506, financial year 2014-15</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Look w:val="00A0" w:firstRow="1" w:lastRow="0" w:firstColumn="1" w:lastColumn="0" w:noHBand="0" w:noVBand="0"/>
        <w:tblDescription w:val="Services and benefits paid for MBS item 11506, financial year 2014-15. This table lists the number of times a benefit was paid for item 11506, the number of patients who claimed item 11506, the percent of services provided to patients who were not admitted to hospital, the percent of services that were bulk billed, the total amount of benefits paid and the increase in the number of services over the period 2011-12 to 2014-15."/>
      </w:tblPr>
      <w:tblGrid>
        <w:gridCol w:w="984"/>
        <w:gridCol w:w="1111"/>
        <w:gridCol w:w="1111"/>
        <w:gridCol w:w="1111"/>
        <w:gridCol w:w="1111"/>
        <w:gridCol w:w="1110"/>
        <w:gridCol w:w="1110"/>
        <w:gridCol w:w="1407"/>
      </w:tblGrid>
      <w:tr w:rsidR="008B1C85" w:rsidRPr="00A0517F" w14:paraId="4E3AB41C" w14:textId="77777777" w:rsidTr="00FF6AB5">
        <w:trPr>
          <w:trHeight w:val="227"/>
          <w:tblHeader/>
        </w:trPr>
        <w:tc>
          <w:tcPr>
            <w:tcW w:w="543" w:type="pct"/>
            <w:shd w:val="clear" w:color="auto" w:fill="366091"/>
          </w:tcPr>
          <w:p w14:paraId="792A71B0" w14:textId="77777777" w:rsidR="008B1C85" w:rsidRPr="00A0517F" w:rsidRDefault="008B1C85" w:rsidP="008B1C85">
            <w:pPr>
              <w:pStyle w:val="01Tableheadingorsubheading"/>
              <w:rPr>
                <w:rFonts w:cstheme="minorHAnsi"/>
              </w:rPr>
            </w:pPr>
            <w:r w:rsidRPr="00A0517F">
              <w:rPr>
                <w:rFonts w:cstheme="minorHAnsi"/>
              </w:rPr>
              <w:t>MBS item</w:t>
            </w:r>
          </w:p>
        </w:tc>
        <w:tc>
          <w:tcPr>
            <w:tcW w:w="613" w:type="pct"/>
            <w:shd w:val="clear" w:color="auto" w:fill="366091"/>
          </w:tcPr>
          <w:p w14:paraId="6C5865A5" w14:textId="77777777" w:rsidR="008B1C85" w:rsidRPr="00A0517F" w:rsidRDefault="008B1C85" w:rsidP="008B1C85">
            <w:pPr>
              <w:pStyle w:val="01Tableheadingorsubheading"/>
              <w:jc w:val="right"/>
              <w:rPr>
                <w:rFonts w:cstheme="minorHAnsi"/>
              </w:rPr>
            </w:pPr>
            <w:r w:rsidRPr="00A0517F">
              <w:rPr>
                <w:rFonts w:cstheme="minorHAnsi"/>
              </w:rPr>
              <w:t>No. of services</w:t>
            </w:r>
          </w:p>
        </w:tc>
        <w:tc>
          <w:tcPr>
            <w:tcW w:w="613" w:type="pct"/>
            <w:shd w:val="clear" w:color="auto" w:fill="366091"/>
          </w:tcPr>
          <w:p w14:paraId="16405CC3" w14:textId="77777777" w:rsidR="008B1C85" w:rsidRPr="00A0517F" w:rsidRDefault="008B1C85" w:rsidP="008B1C85">
            <w:pPr>
              <w:pStyle w:val="01Tableheadingorsubheading"/>
              <w:jc w:val="right"/>
              <w:rPr>
                <w:rFonts w:cstheme="minorHAnsi"/>
              </w:rPr>
            </w:pPr>
            <w:r w:rsidRPr="00A0517F">
              <w:rPr>
                <w:rFonts w:cstheme="minorHAnsi"/>
              </w:rPr>
              <w:t>No. of patients</w:t>
            </w:r>
          </w:p>
        </w:tc>
        <w:tc>
          <w:tcPr>
            <w:tcW w:w="613" w:type="pct"/>
            <w:shd w:val="clear" w:color="auto" w:fill="366091"/>
          </w:tcPr>
          <w:p w14:paraId="3E335505" w14:textId="77777777" w:rsidR="008B1C85" w:rsidRPr="00A0517F" w:rsidRDefault="008B1C85" w:rsidP="008B1C85">
            <w:pPr>
              <w:pStyle w:val="01Tableheadingorsubheading"/>
              <w:jc w:val="right"/>
              <w:rPr>
                <w:rFonts w:cstheme="minorHAnsi"/>
              </w:rPr>
            </w:pPr>
            <w:r w:rsidRPr="00A0517F">
              <w:rPr>
                <w:rFonts w:cstheme="minorHAnsi"/>
              </w:rPr>
              <w:t>No. of providers</w:t>
            </w:r>
          </w:p>
        </w:tc>
        <w:tc>
          <w:tcPr>
            <w:tcW w:w="613" w:type="pct"/>
            <w:shd w:val="clear" w:color="auto" w:fill="366091"/>
          </w:tcPr>
          <w:p w14:paraId="525172CA" w14:textId="77777777" w:rsidR="008B1C85" w:rsidRPr="00A0517F" w:rsidRDefault="008B1C85" w:rsidP="008B1C85">
            <w:pPr>
              <w:pStyle w:val="01Tableheadingorsubheading"/>
              <w:jc w:val="right"/>
              <w:rPr>
                <w:rFonts w:cstheme="minorHAnsi"/>
              </w:rPr>
            </w:pPr>
            <w:r w:rsidRPr="00A0517F">
              <w:rPr>
                <w:rFonts w:cstheme="minorHAnsi"/>
              </w:rPr>
              <w:t>OOH services</w:t>
            </w:r>
          </w:p>
        </w:tc>
        <w:tc>
          <w:tcPr>
            <w:tcW w:w="613" w:type="pct"/>
            <w:shd w:val="clear" w:color="auto" w:fill="366091"/>
          </w:tcPr>
          <w:p w14:paraId="19AD7E49" w14:textId="77777777" w:rsidR="008B1C85" w:rsidRPr="00A0517F" w:rsidRDefault="008B1C85" w:rsidP="008B1C85">
            <w:pPr>
              <w:pStyle w:val="01Tableheadingorsubheading"/>
              <w:jc w:val="right"/>
              <w:rPr>
                <w:rFonts w:cstheme="minorHAnsi"/>
              </w:rPr>
            </w:pPr>
            <w:r w:rsidRPr="00A0517F">
              <w:rPr>
                <w:rFonts w:cstheme="minorHAnsi"/>
              </w:rPr>
              <w:t>Bulk billing rate (OOH services)</w:t>
            </w:r>
          </w:p>
        </w:tc>
        <w:tc>
          <w:tcPr>
            <w:tcW w:w="613" w:type="pct"/>
            <w:shd w:val="clear" w:color="auto" w:fill="366091"/>
          </w:tcPr>
          <w:p w14:paraId="2FD27443" w14:textId="77777777" w:rsidR="008B1C85" w:rsidRPr="00A0517F" w:rsidRDefault="008B1C85" w:rsidP="008B1C85">
            <w:pPr>
              <w:pStyle w:val="01Tableheadingorsubheading"/>
              <w:jc w:val="right"/>
              <w:rPr>
                <w:rFonts w:cstheme="minorHAnsi"/>
              </w:rPr>
            </w:pPr>
            <w:r w:rsidRPr="00A0517F">
              <w:rPr>
                <w:rFonts w:cstheme="minorHAnsi"/>
              </w:rPr>
              <w:t>Benefits paid ($)</w:t>
            </w:r>
          </w:p>
        </w:tc>
        <w:tc>
          <w:tcPr>
            <w:tcW w:w="777" w:type="pct"/>
            <w:shd w:val="clear" w:color="auto" w:fill="366091"/>
          </w:tcPr>
          <w:p w14:paraId="37C2FB97" w14:textId="77777777" w:rsidR="008B1C85" w:rsidRPr="00A0517F" w:rsidRDefault="008B1C85" w:rsidP="008B1C85">
            <w:pPr>
              <w:pStyle w:val="01Tableheadingorsubheading"/>
              <w:jc w:val="right"/>
              <w:rPr>
                <w:rFonts w:cstheme="minorHAnsi"/>
              </w:rPr>
            </w:pPr>
            <w:r w:rsidRPr="00A0517F">
              <w:rPr>
                <w:rFonts w:cstheme="minorHAnsi"/>
              </w:rPr>
              <w:t>Change in services 2011-12 to 2014-15</w:t>
            </w:r>
          </w:p>
        </w:tc>
      </w:tr>
      <w:tr w:rsidR="008B1C85" w:rsidRPr="00A0517F" w14:paraId="634F36F3" w14:textId="77777777" w:rsidTr="008B1C85">
        <w:trPr>
          <w:trHeight w:val="227"/>
        </w:trPr>
        <w:tc>
          <w:tcPr>
            <w:tcW w:w="543" w:type="pct"/>
          </w:tcPr>
          <w:p w14:paraId="3D1C715C" w14:textId="77777777" w:rsidR="008B1C85" w:rsidRPr="00A0517F" w:rsidRDefault="008B1C85" w:rsidP="008B1C85">
            <w:pPr>
              <w:pStyle w:val="Tabletext"/>
              <w:rPr>
                <w:rFonts w:cstheme="minorHAnsi"/>
              </w:rPr>
            </w:pPr>
            <w:r w:rsidRPr="00A0517F">
              <w:rPr>
                <w:rFonts w:cstheme="minorHAnsi"/>
              </w:rPr>
              <w:t>11506</w:t>
            </w:r>
          </w:p>
        </w:tc>
        <w:tc>
          <w:tcPr>
            <w:tcW w:w="613" w:type="pct"/>
          </w:tcPr>
          <w:p w14:paraId="0735B270" w14:textId="77777777" w:rsidR="008B1C85" w:rsidRPr="00A0517F" w:rsidRDefault="008B1C85" w:rsidP="008B1C85">
            <w:pPr>
              <w:pStyle w:val="Tabletext"/>
              <w:jc w:val="right"/>
              <w:rPr>
                <w:rFonts w:cstheme="minorHAnsi"/>
              </w:rPr>
            </w:pPr>
            <w:r w:rsidRPr="00A0517F">
              <w:rPr>
                <w:rFonts w:cstheme="minorHAnsi"/>
              </w:rPr>
              <w:t>270,258</w:t>
            </w:r>
          </w:p>
        </w:tc>
        <w:tc>
          <w:tcPr>
            <w:tcW w:w="613" w:type="pct"/>
          </w:tcPr>
          <w:p w14:paraId="320B2843" w14:textId="77777777" w:rsidR="008B1C85" w:rsidRPr="00A0517F" w:rsidRDefault="008B1C85" w:rsidP="008B1C85">
            <w:pPr>
              <w:pStyle w:val="Tabletext"/>
              <w:jc w:val="right"/>
              <w:rPr>
                <w:rFonts w:cstheme="minorHAnsi"/>
              </w:rPr>
            </w:pPr>
            <w:r w:rsidRPr="00A0517F">
              <w:rPr>
                <w:rFonts w:cstheme="minorHAnsi"/>
              </w:rPr>
              <w:t>231,878</w:t>
            </w:r>
          </w:p>
        </w:tc>
        <w:tc>
          <w:tcPr>
            <w:tcW w:w="613" w:type="pct"/>
          </w:tcPr>
          <w:p w14:paraId="7114674E"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18,358</w:t>
            </w:r>
          </w:p>
        </w:tc>
        <w:tc>
          <w:tcPr>
            <w:tcW w:w="613" w:type="pct"/>
          </w:tcPr>
          <w:p w14:paraId="36CC1ACA"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100%</w:t>
            </w:r>
          </w:p>
        </w:tc>
        <w:tc>
          <w:tcPr>
            <w:tcW w:w="613" w:type="pct"/>
          </w:tcPr>
          <w:p w14:paraId="4F2C902C"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84%</w:t>
            </w:r>
          </w:p>
        </w:tc>
        <w:tc>
          <w:tcPr>
            <w:tcW w:w="613" w:type="pct"/>
          </w:tcPr>
          <w:p w14:paraId="7BA3CB30"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5,372, 888</w:t>
            </w:r>
          </w:p>
        </w:tc>
        <w:tc>
          <w:tcPr>
            <w:tcW w:w="777" w:type="pct"/>
          </w:tcPr>
          <w:p w14:paraId="55B6DD28"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9%</w:t>
            </w:r>
          </w:p>
        </w:tc>
      </w:tr>
    </w:tbl>
    <w:p w14:paraId="70FBE5EF" w14:textId="77777777" w:rsidR="008B1C85" w:rsidRDefault="008B1C85" w:rsidP="008B1C85">
      <w:pPr>
        <w:pStyle w:val="08Tablefootnotes"/>
      </w:pPr>
      <w:r w:rsidRPr="00092105">
        <w:t>Source: Department of Health, Medical Benefits Division, Medicare Financing &amp; Listings Branch, MBS Analyti</w:t>
      </w:r>
      <w:r>
        <w:t>cs Section. Data received 11 January 2016.</w:t>
      </w:r>
    </w:p>
    <w:p w14:paraId="0AB103FA" w14:textId="77777777" w:rsidR="008B1C85" w:rsidRPr="004455B2" w:rsidRDefault="008B1C85" w:rsidP="008B1C85">
      <w:pPr>
        <w:pStyle w:val="09Tablefootnoteslast-nostick"/>
      </w:pPr>
      <w:r w:rsidRPr="004455B2">
        <w:t>Abbreviations: BB, bulk billing; OOH, out of hospital</w:t>
      </w:r>
    </w:p>
    <w:p w14:paraId="43F254ED" w14:textId="77777777" w:rsidR="008B1C85" w:rsidRDefault="008B1C85" w:rsidP="00DF3A06">
      <w:pPr>
        <w:pStyle w:val="Appcaption"/>
      </w:pPr>
      <w:r>
        <w:t>Figure A-3.1</w:t>
      </w:r>
      <w:r>
        <w:tab/>
        <w:t>Number of Services by State/Territory for MBS item 11506, 2009-10 to 2014-15</w:t>
      </w:r>
    </w:p>
    <w:p w14:paraId="42B0F066" w14:textId="77777777" w:rsidR="008B1C85" w:rsidRDefault="008B1C85" w:rsidP="008B1C85">
      <w:pPr>
        <w:pStyle w:val="BodyText"/>
      </w:pPr>
      <w:r w:rsidRPr="001002A9">
        <w:rPr>
          <w:rFonts w:asciiTheme="majorHAnsi" w:hAnsiTheme="majorHAnsi"/>
          <w:noProof/>
        </w:rPr>
        <w:drawing>
          <wp:inline distT="0" distB="0" distL="0" distR="0" wp14:anchorId="317E4068" wp14:editId="5379A7D4">
            <wp:extent cx="5760085" cy="2634855"/>
            <wp:effectExtent l="0" t="0" r="12065" b="13335"/>
            <wp:docPr id="2" name="Chart 2" descr="The figure shows a general trend of a slight increase in the number of services of item 11506 in each state and territory between 2009-10 and 2014-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9034CE7" w14:textId="77777777" w:rsidR="008B1C85" w:rsidRDefault="008B1C85" w:rsidP="008B1C85">
      <w:pPr>
        <w:pStyle w:val="09Tablefootnoteslast-nostick"/>
      </w:pPr>
      <w:r w:rsidRPr="00092105">
        <w:t>Source: Department of Health, Medical Benefits Division, Medicare Financing &amp; Listings Branch, MBS Analyti</w:t>
      </w:r>
      <w:r>
        <w:t>cs Section. Data received 11 January 2016.</w:t>
      </w:r>
    </w:p>
    <w:p w14:paraId="2EA9F736" w14:textId="77777777" w:rsidR="008B1C85" w:rsidRDefault="008B1C85" w:rsidP="00DF3A06">
      <w:pPr>
        <w:pStyle w:val="Appcaption"/>
      </w:pPr>
      <w:r>
        <w:t>Table A-3.2</w:t>
      </w:r>
      <w:r>
        <w:tab/>
        <w:t>Number of services per capita by state/territory for MBS item 11506, financial year 2014-15</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Look w:val="00A0" w:firstRow="1" w:lastRow="0" w:firstColumn="1" w:lastColumn="0" w:noHBand="0" w:noVBand="0"/>
        <w:tblDescription w:val="Number of services, number of services per 1,000 people and the estimated residential population in each state and territory for MBS item 11506 in 2014-15. This table lists the estimated residential population as at December 2014, the number of times a benefit was paid for item 11506 broken down by state and territory; and by service rate for each 1,000 people."/>
      </w:tblPr>
      <w:tblGrid>
        <w:gridCol w:w="1102"/>
        <w:gridCol w:w="924"/>
        <w:gridCol w:w="924"/>
        <w:gridCol w:w="924"/>
        <w:gridCol w:w="845"/>
        <w:gridCol w:w="843"/>
        <w:gridCol w:w="846"/>
        <w:gridCol w:w="844"/>
        <w:gridCol w:w="846"/>
        <w:gridCol w:w="957"/>
      </w:tblGrid>
      <w:tr w:rsidR="008B1C85" w:rsidRPr="00A0517F" w14:paraId="5A7D5B6F" w14:textId="77777777" w:rsidTr="00FF6AB5">
        <w:trPr>
          <w:trHeight w:val="227"/>
          <w:tblHeader/>
        </w:trPr>
        <w:tc>
          <w:tcPr>
            <w:tcW w:w="622" w:type="pct"/>
            <w:shd w:val="clear" w:color="auto" w:fill="366091"/>
          </w:tcPr>
          <w:p w14:paraId="497D9C6C" w14:textId="77777777" w:rsidR="008B1C85" w:rsidRPr="00A0517F" w:rsidRDefault="008B1C85" w:rsidP="008B1C85">
            <w:pPr>
              <w:pStyle w:val="01Tableheadingorsubheading"/>
              <w:rPr>
                <w:rFonts w:cstheme="minorHAnsi"/>
              </w:rPr>
            </w:pPr>
          </w:p>
        </w:tc>
        <w:tc>
          <w:tcPr>
            <w:tcW w:w="479" w:type="pct"/>
            <w:shd w:val="clear" w:color="auto" w:fill="366091"/>
          </w:tcPr>
          <w:p w14:paraId="72E6B1D9" w14:textId="77777777" w:rsidR="008B1C85" w:rsidRPr="00A0517F" w:rsidRDefault="008B1C85" w:rsidP="008B1C85">
            <w:pPr>
              <w:pStyle w:val="01Tableheadingorsubheading"/>
              <w:jc w:val="right"/>
              <w:rPr>
                <w:rFonts w:cstheme="minorHAnsi"/>
              </w:rPr>
            </w:pPr>
            <w:r w:rsidRPr="00A0517F">
              <w:rPr>
                <w:rFonts w:cstheme="minorHAnsi"/>
              </w:rPr>
              <w:t>NSW</w:t>
            </w:r>
          </w:p>
        </w:tc>
        <w:tc>
          <w:tcPr>
            <w:tcW w:w="480" w:type="pct"/>
            <w:shd w:val="clear" w:color="auto" w:fill="366091"/>
          </w:tcPr>
          <w:p w14:paraId="1741D123" w14:textId="77777777" w:rsidR="008B1C85" w:rsidRPr="00A0517F" w:rsidRDefault="008B1C85" w:rsidP="008B1C85">
            <w:pPr>
              <w:pStyle w:val="01Tableheadingorsubheading"/>
              <w:jc w:val="right"/>
              <w:rPr>
                <w:rFonts w:cstheme="minorHAnsi"/>
              </w:rPr>
            </w:pPr>
            <w:r w:rsidRPr="00A0517F">
              <w:rPr>
                <w:rFonts w:cstheme="minorHAnsi"/>
              </w:rPr>
              <w:t>VIC</w:t>
            </w:r>
          </w:p>
        </w:tc>
        <w:tc>
          <w:tcPr>
            <w:tcW w:w="479" w:type="pct"/>
            <w:shd w:val="clear" w:color="auto" w:fill="366091"/>
          </w:tcPr>
          <w:p w14:paraId="5300F691" w14:textId="77777777" w:rsidR="008B1C85" w:rsidRPr="00A0517F" w:rsidRDefault="008B1C85" w:rsidP="008B1C85">
            <w:pPr>
              <w:pStyle w:val="01Tableheadingorsubheading"/>
              <w:jc w:val="right"/>
              <w:rPr>
                <w:rFonts w:cstheme="minorHAnsi"/>
              </w:rPr>
            </w:pPr>
            <w:r w:rsidRPr="00A0517F">
              <w:rPr>
                <w:rFonts w:cstheme="minorHAnsi"/>
              </w:rPr>
              <w:t>QLD</w:t>
            </w:r>
          </w:p>
        </w:tc>
        <w:tc>
          <w:tcPr>
            <w:tcW w:w="480" w:type="pct"/>
            <w:shd w:val="clear" w:color="auto" w:fill="366091"/>
          </w:tcPr>
          <w:p w14:paraId="6700041F" w14:textId="77777777" w:rsidR="008B1C85" w:rsidRPr="00A0517F" w:rsidRDefault="008B1C85" w:rsidP="008B1C85">
            <w:pPr>
              <w:pStyle w:val="01Tableheadingorsubheading"/>
              <w:jc w:val="right"/>
              <w:rPr>
                <w:rFonts w:cstheme="minorHAnsi"/>
              </w:rPr>
            </w:pPr>
            <w:r w:rsidRPr="00A0517F">
              <w:rPr>
                <w:rFonts w:cstheme="minorHAnsi"/>
              </w:rPr>
              <w:t>SA</w:t>
            </w:r>
          </w:p>
        </w:tc>
        <w:tc>
          <w:tcPr>
            <w:tcW w:w="479" w:type="pct"/>
            <w:shd w:val="clear" w:color="auto" w:fill="366091"/>
          </w:tcPr>
          <w:p w14:paraId="06AB053D" w14:textId="77777777" w:rsidR="008B1C85" w:rsidRPr="00A0517F" w:rsidRDefault="008B1C85" w:rsidP="008B1C85">
            <w:pPr>
              <w:pStyle w:val="01Tableheadingorsubheading"/>
              <w:jc w:val="right"/>
              <w:rPr>
                <w:rFonts w:cstheme="minorHAnsi"/>
              </w:rPr>
            </w:pPr>
            <w:r w:rsidRPr="00A0517F">
              <w:rPr>
                <w:rFonts w:cstheme="minorHAnsi"/>
              </w:rPr>
              <w:t>WA</w:t>
            </w:r>
          </w:p>
        </w:tc>
        <w:tc>
          <w:tcPr>
            <w:tcW w:w="480" w:type="pct"/>
            <w:shd w:val="clear" w:color="auto" w:fill="366091"/>
          </w:tcPr>
          <w:p w14:paraId="69F49ED1" w14:textId="77777777" w:rsidR="008B1C85" w:rsidRPr="00A0517F" w:rsidRDefault="008B1C85" w:rsidP="008B1C85">
            <w:pPr>
              <w:pStyle w:val="01Tableheadingorsubheading"/>
              <w:jc w:val="right"/>
              <w:rPr>
                <w:rFonts w:cstheme="minorHAnsi"/>
              </w:rPr>
            </w:pPr>
            <w:r w:rsidRPr="00A0517F">
              <w:rPr>
                <w:rFonts w:cstheme="minorHAnsi"/>
              </w:rPr>
              <w:t>TAS</w:t>
            </w:r>
          </w:p>
        </w:tc>
        <w:tc>
          <w:tcPr>
            <w:tcW w:w="479" w:type="pct"/>
            <w:shd w:val="clear" w:color="auto" w:fill="366091"/>
          </w:tcPr>
          <w:p w14:paraId="687DB7D4" w14:textId="77777777" w:rsidR="008B1C85" w:rsidRPr="00A0517F" w:rsidRDefault="008B1C85" w:rsidP="008B1C85">
            <w:pPr>
              <w:pStyle w:val="01Tableheadingorsubheading"/>
              <w:jc w:val="right"/>
              <w:rPr>
                <w:rFonts w:cstheme="minorHAnsi"/>
              </w:rPr>
            </w:pPr>
            <w:r w:rsidRPr="00A0517F">
              <w:rPr>
                <w:rFonts w:cstheme="minorHAnsi"/>
              </w:rPr>
              <w:t>NT</w:t>
            </w:r>
          </w:p>
        </w:tc>
        <w:tc>
          <w:tcPr>
            <w:tcW w:w="480" w:type="pct"/>
            <w:shd w:val="clear" w:color="auto" w:fill="366091"/>
          </w:tcPr>
          <w:p w14:paraId="3A021C2E" w14:textId="77777777" w:rsidR="008B1C85" w:rsidRPr="00A0517F" w:rsidRDefault="008B1C85" w:rsidP="008B1C85">
            <w:pPr>
              <w:pStyle w:val="01Tableheadingorsubheading"/>
              <w:jc w:val="right"/>
              <w:rPr>
                <w:rFonts w:cstheme="minorHAnsi"/>
              </w:rPr>
            </w:pPr>
            <w:r w:rsidRPr="00A0517F">
              <w:rPr>
                <w:rFonts w:cstheme="minorHAnsi"/>
              </w:rPr>
              <w:t>ACT</w:t>
            </w:r>
          </w:p>
        </w:tc>
        <w:tc>
          <w:tcPr>
            <w:tcW w:w="541" w:type="pct"/>
            <w:shd w:val="clear" w:color="auto" w:fill="366091"/>
          </w:tcPr>
          <w:p w14:paraId="7DFFD438" w14:textId="77777777" w:rsidR="008B1C85" w:rsidRPr="00A0517F" w:rsidRDefault="008B1C85" w:rsidP="008B1C85">
            <w:pPr>
              <w:pStyle w:val="01Tableheadingorsubheading"/>
              <w:jc w:val="right"/>
              <w:rPr>
                <w:rFonts w:cstheme="minorHAnsi"/>
              </w:rPr>
            </w:pPr>
            <w:r w:rsidRPr="00A0517F">
              <w:rPr>
                <w:rFonts w:cstheme="minorHAnsi"/>
              </w:rPr>
              <w:t>Australia</w:t>
            </w:r>
          </w:p>
        </w:tc>
      </w:tr>
      <w:tr w:rsidR="008B1C85" w:rsidRPr="00A0517F" w14:paraId="09B63D11" w14:textId="77777777" w:rsidTr="008B1C85">
        <w:trPr>
          <w:trHeight w:val="227"/>
        </w:trPr>
        <w:tc>
          <w:tcPr>
            <w:tcW w:w="622" w:type="pct"/>
          </w:tcPr>
          <w:p w14:paraId="16298B2B" w14:textId="77777777" w:rsidR="008B1C85" w:rsidRPr="00A0517F" w:rsidRDefault="008B1C85" w:rsidP="008B1C85">
            <w:pPr>
              <w:pStyle w:val="Tabletext"/>
              <w:rPr>
                <w:rFonts w:cstheme="minorHAnsi"/>
              </w:rPr>
            </w:pPr>
            <w:r w:rsidRPr="00A0517F">
              <w:rPr>
                <w:rFonts w:cstheme="minorHAnsi"/>
              </w:rPr>
              <w:t xml:space="preserve">ERP </w:t>
            </w:r>
            <w:r w:rsidRPr="00A0517F">
              <w:rPr>
                <w:rFonts w:cstheme="minorHAnsi"/>
                <w:vertAlign w:val="superscript"/>
              </w:rPr>
              <w:t>a</w:t>
            </w:r>
          </w:p>
        </w:tc>
        <w:tc>
          <w:tcPr>
            <w:tcW w:w="479" w:type="pct"/>
          </w:tcPr>
          <w:p w14:paraId="52CC9BEE" w14:textId="77777777" w:rsidR="008B1C85" w:rsidRPr="00A0517F" w:rsidRDefault="008B1C85" w:rsidP="008B1C85">
            <w:pPr>
              <w:pStyle w:val="Tabletext"/>
              <w:jc w:val="right"/>
              <w:rPr>
                <w:rFonts w:cstheme="minorHAnsi"/>
              </w:rPr>
            </w:pPr>
            <w:r w:rsidRPr="00A0517F">
              <w:rPr>
                <w:rFonts w:cstheme="minorHAnsi"/>
              </w:rPr>
              <w:t xml:space="preserve">7,565,497 </w:t>
            </w:r>
          </w:p>
        </w:tc>
        <w:tc>
          <w:tcPr>
            <w:tcW w:w="480" w:type="pct"/>
          </w:tcPr>
          <w:p w14:paraId="0E86D2DB" w14:textId="77777777" w:rsidR="008B1C85" w:rsidRPr="00A0517F" w:rsidRDefault="008B1C85" w:rsidP="008B1C85">
            <w:pPr>
              <w:pStyle w:val="Tabletext"/>
              <w:jc w:val="right"/>
              <w:rPr>
                <w:rFonts w:cstheme="minorHAnsi"/>
              </w:rPr>
            </w:pPr>
            <w:r w:rsidRPr="00A0517F">
              <w:rPr>
                <w:rFonts w:cstheme="minorHAnsi"/>
              </w:rPr>
              <w:t xml:space="preserve">5,886,436 </w:t>
            </w:r>
          </w:p>
        </w:tc>
        <w:tc>
          <w:tcPr>
            <w:tcW w:w="479" w:type="pct"/>
          </w:tcPr>
          <w:p w14:paraId="6553C36B" w14:textId="77777777" w:rsidR="008B1C85" w:rsidRPr="00A0517F" w:rsidRDefault="008B1C85" w:rsidP="008B1C85">
            <w:pPr>
              <w:pStyle w:val="Tabletext"/>
              <w:jc w:val="right"/>
              <w:rPr>
                <w:rFonts w:cstheme="minorHAnsi"/>
              </w:rPr>
            </w:pPr>
            <w:r w:rsidRPr="00A0517F">
              <w:rPr>
                <w:rFonts w:cstheme="minorHAnsi"/>
              </w:rPr>
              <w:t xml:space="preserve">4,750,513 </w:t>
            </w:r>
          </w:p>
        </w:tc>
        <w:tc>
          <w:tcPr>
            <w:tcW w:w="480" w:type="pct"/>
          </w:tcPr>
          <w:p w14:paraId="597CD1FC"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 xml:space="preserve">1,691,503 </w:t>
            </w:r>
          </w:p>
        </w:tc>
        <w:tc>
          <w:tcPr>
            <w:tcW w:w="479" w:type="pct"/>
          </w:tcPr>
          <w:p w14:paraId="2490A2E4"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 xml:space="preserve">2,581,250 </w:t>
            </w:r>
          </w:p>
        </w:tc>
        <w:tc>
          <w:tcPr>
            <w:tcW w:w="480" w:type="pct"/>
          </w:tcPr>
          <w:p w14:paraId="5BC5BF59"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 xml:space="preserve">515,235 </w:t>
            </w:r>
          </w:p>
        </w:tc>
        <w:tc>
          <w:tcPr>
            <w:tcW w:w="479" w:type="pct"/>
          </w:tcPr>
          <w:p w14:paraId="4C4A8DDA"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 xml:space="preserve">244,265 </w:t>
            </w:r>
          </w:p>
        </w:tc>
        <w:tc>
          <w:tcPr>
            <w:tcW w:w="480" w:type="pct"/>
          </w:tcPr>
          <w:p w14:paraId="6330B9D6"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 xml:space="preserve">387,640 </w:t>
            </w:r>
          </w:p>
        </w:tc>
        <w:tc>
          <w:tcPr>
            <w:tcW w:w="541" w:type="pct"/>
          </w:tcPr>
          <w:p w14:paraId="5F56382F"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 xml:space="preserve">23,625,561 </w:t>
            </w:r>
          </w:p>
        </w:tc>
      </w:tr>
      <w:tr w:rsidR="008B1C85" w:rsidRPr="00A0517F" w14:paraId="59F78D45" w14:textId="77777777" w:rsidTr="00D07D24">
        <w:trPr>
          <w:trHeight w:val="227"/>
        </w:trPr>
        <w:tc>
          <w:tcPr>
            <w:tcW w:w="622" w:type="pct"/>
            <w:shd w:val="clear" w:color="auto" w:fill="auto"/>
          </w:tcPr>
          <w:p w14:paraId="2F516E6C" w14:textId="77777777" w:rsidR="008B1C85" w:rsidRPr="00A0517F" w:rsidRDefault="008B1C85" w:rsidP="008B1C85">
            <w:pPr>
              <w:pStyle w:val="Tabletext"/>
              <w:rPr>
                <w:rFonts w:cstheme="minorHAnsi"/>
              </w:rPr>
            </w:pPr>
            <w:r w:rsidRPr="00A0517F">
              <w:rPr>
                <w:rFonts w:cstheme="minorHAnsi"/>
              </w:rPr>
              <w:t>11506</w:t>
            </w:r>
          </w:p>
        </w:tc>
        <w:tc>
          <w:tcPr>
            <w:tcW w:w="479" w:type="pct"/>
            <w:shd w:val="clear" w:color="auto" w:fill="auto"/>
          </w:tcPr>
          <w:p w14:paraId="6205F661" w14:textId="77777777" w:rsidR="008B1C85" w:rsidRPr="00A0517F" w:rsidRDefault="008B1C85" w:rsidP="008B1C85">
            <w:pPr>
              <w:pStyle w:val="Tabletext"/>
              <w:jc w:val="right"/>
              <w:rPr>
                <w:rFonts w:cstheme="minorHAnsi"/>
              </w:rPr>
            </w:pPr>
            <w:r w:rsidRPr="00A0517F">
              <w:rPr>
                <w:rFonts w:cstheme="minorHAnsi"/>
              </w:rPr>
              <w:t xml:space="preserve">109,903 </w:t>
            </w:r>
          </w:p>
        </w:tc>
        <w:tc>
          <w:tcPr>
            <w:tcW w:w="480" w:type="pct"/>
            <w:shd w:val="clear" w:color="auto" w:fill="auto"/>
          </w:tcPr>
          <w:p w14:paraId="19C9DC94" w14:textId="77777777" w:rsidR="008B1C85" w:rsidRPr="00A0517F" w:rsidRDefault="008B1C85" w:rsidP="008B1C85">
            <w:pPr>
              <w:pStyle w:val="Tabletext"/>
              <w:jc w:val="right"/>
              <w:rPr>
                <w:rFonts w:cstheme="minorHAnsi"/>
              </w:rPr>
            </w:pPr>
            <w:r w:rsidRPr="00A0517F">
              <w:rPr>
                <w:rFonts w:cstheme="minorHAnsi"/>
              </w:rPr>
              <w:t xml:space="preserve">29,228 </w:t>
            </w:r>
          </w:p>
        </w:tc>
        <w:tc>
          <w:tcPr>
            <w:tcW w:w="479" w:type="pct"/>
            <w:shd w:val="clear" w:color="auto" w:fill="auto"/>
          </w:tcPr>
          <w:p w14:paraId="701FDE79" w14:textId="77777777" w:rsidR="008B1C85" w:rsidRPr="00A0517F" w:rsidRDefault="008B1C85" w:rsidP="008B1C85">
            <w:pPr>
              <w:pStyle w:val="Tabletext"/>
              <w:jc w:val="right"/>
              <w:rPr>
                <w:rFonts w:cstheme="minorHAnsi"/>
              </w:rPr>
            </w:pPr>
            <w:r w:rsidRPr="00A0517F">
              <w:rPr>
                <w:rFonts w:cstheme="minorHAnsi"/>
              </w:rPr>
              <w:t xml:space="preserve">78,751 </w:t>
            </w:r>
          </w:p>
        </w:tc>
        <w:tc>
          <w:tcPr>
            <w:tcW w:w="480" w:type="pct"/>
            <w:shd w:val="clear" w:color="auto" w:fill="auto"/>
          </w:tcPr>
          <w:p w14:paraId="11A6B774"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 xml:space="preserve">17,226 </w:t>
            </w:r>
          </w:p>
        </w:tc>
        <w:tc>
          <w:tcPr>
            <w:tcW w:w="479" w:type="pct"/>
            <w:shd w:val="clear" w:color="auto" w:fill="auto"/>
          </w:tcPr>
          <w:p w14:paraId="43D89B68"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 xml:space="preserve">25,436 </w:t>
            </w:r>
          </w:p>
        </w:tc>
        <w:tc>
          <w:tcPr>
            <w:tcW w:w="480" w:type="pct"/>
            <w:shd w:val="clear" w:color="auto" w:fill="auto"/>
          </w:tcPr>
          <w:p w14:paraId="67CEBC72"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 xml:space="preserve">6,559 </w:t>
            </w:r>
          </w:p>
        </w:tc>
        <w:tc>
          <w:tcPr>
            <w:tcW w:w="479" w:type="pct"/>
            <w:shd w:val="clear" w:color="auto" w:fill="auto"/>
          </w:tcPr>
          <w:p w14:paraId="01204F30"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 xml:space="preserve">1,199 </w:t>
            </w:r>
          </w:p>
        </w:tc>
        <w:tc>
          <w:tcPr>
            <w:tcW w:w="480" w:type="pct"/>
            <w:shd w:val="clear" w:color="auto" w:fill="auto"/>
          </w:tcPr>
          <w:p w14:paraId="4F8A9BE2"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 xml:space="preserve">1,934 </w:t>
            </w:r>
          </w:p>
        </w:tc>
        <w:tc>
          <w:tcPr>
            <w:tcW w:w="541" w:type="pct"/>
            <w:shd w:val="clear" w:color="auto" w:fill="auto"/>
          </w:tcPr>
          <w:p w14:paraId="138B16D4"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 xml:space="preserve">270,258 </w:t>
            </w:r>
          </w:p>
        </w:tc>
      </w:tr>
      <w:tr w:rsidR="008B1C85" w:rsidRPr="00A0517F" w14:paraId="455AFE03" w14:textId="77777777" w:rsidTr="008B1C85">
        <w:trPr>
          <w:trHeight w:val="227"/>
        </w:trPr>
        <w:tc>
          <w:tcPr>
            <w:tcW w:w="622" w:type="pct"/>
          </w:tcPr>
          <w:p w14:paraId="08F36A22" w14:textId="77777777" w:rsidR="008B1C85" w:rsidRPr="00A0517F" w:rsidRDefault="008B1C85" w:rsidP="008B1C85">
            <w:pPr>
              <w:pStyle w:val="Tabletext"/>
              <w:rPr>
                <w:rFonts w:cstheme="minorHAnsi"/>
              </w:rPr>
            </w:pPr>
            <w:r w:rsidRPr="00A0517F">
              <w:rPr>
                <w:rFonts w:cstheme="minorHAnsi"/>
              </w:rPr>
              <w:t>Service rate per 1,000</w:t>
            </w:r>
          </w:p>
        </w:tc>
        <w:tc>
          <w:tcPr>
            <w:tcW w:w="479" w:type="pct"/>
          </w:tcPr>
          <w:p w14:paraId="7D3B5A90" w14:textId="77777777" w:rsidR="008B1C85" w:rsidRPr="00A0517F" w:rsidRDefault="008B1C85" w:rsidP="008B1C85">
            <w:pPr>
              <w:pStyle w:val="Tabletext"/>
              <w:jc w:val="right"/>
              <w:rPr>
                <w:rFonts w:cstheme="minorHAnsi"/>
              </w:rPr>
            </w:pPr>
            <w:r w:rsidRPr="00A0517F">
              <w:rPr>
                <w:rFonts w:cstheme="minorHAnsi"/>
              </w:rPr>
              <w:t xml:space="preserve">14.5 </w:t>
            </w:r>
          </w:p>
        </w:tc>
        <w:tc>
          <w:tcPr>
            <w:tcW w:w="480" w:type="pct"/>
          </w:tcPr>
          <w:p w14:paraId="690E39B3" w14:textId="77777777" w:rsidR="008B1C85" w:rsidRPr="00A0517F" w:rsidRDefault="008B1C85" w:rsidP="008B1C85">
            <w:pPr>
              <w:pStyle w:val="Tabletext"/>
              <w:jc w:val="right"/>
              <w:rPr>
                <w:rFonts w:cstheme="minorHAnsi"/>
              </w:rPr>
            </w:pPr>
            <w:r w:rsidRPr="00A0517F">
              <w:rPr>
                <w:rFonts w:cstheme="minorHAnsi"/>
              </w:rPr>
              <w:t xml:space="preserve">5.0 </w:t>
            </w:r>
          </w:p>
        </w:tc>
        <w:tc>
          <w:tcPr>
            <w:tcW w:w="479" w:type="pct"/>
          </w:tcPr>
          <w:p w14:paraId="61C87DBD" w14:textId="77777777" w:rsidR="008B1C85" w:rsidRPr="00A0517F" w:rsidRDefault="008B1C85" w:rsidP="008B1C85">
            <w:pPr>
              <w:pStyle w:val="Tabletext"/>
              <w:jc w:val="right"/>
              <w:rPr>
                <w:rFonts w:cstheme="minorHAnsi"/>
              </w:rPr>
            </w:pPr>
            <w:r w:rsidRPr="00A0517F">
              <w:rPr>
                <w:rFonts w:cstheme="minorHAnsi"/>
              </w:rPr>
              <w:t xml:space="preserve">16.6 </w:t>
            </w:r>
          </w:p>
        </w:tc>
        <w:tc>
          <w:tcPr>
            <w:tcW w:w="480" w:type="pct"/>
          </w:tcPr>
          <w:p w14:paraId="638CA336"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 xml:space="preserve">10.2 </w:t>
            </w:r>
          </w:p>
        </w:tc>
        <w:tc>
          <w:tcPr>
            <w:tcW w:w="479" w:type="pct"/>
          </w:tcPr>
          <w:p w14:paraId="255E2982"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 xml:space="preserve">9.9 </w:t>
            </w:r>
          </w:p>
        </w:tc>
        <w:tc>
          <w:tcPr>
            <w:tcW w:w="480" w:type="pct"/>
          </w:tcPr>
          <w:p w14:paraId="286B205E"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 xml:space="preserve">12.7 </w:t>
            </w:r>
          </w:p>
        </w:tc>
        <w:tc>
          <w:tcPr>
            <w:tcW w:w="479" w:type="pct"/>
          </w:tcPr>
          <w:p w14:paraId="30C57C35"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 xml:space="preserve">4.9 </w:t>
            </w:r>
          </w:p>
        </w:tc>
        <w:tc>
          <w:tcPr>
            <w:tcW w:w="480" w:type="pct"/>
          </w:tcPr>
          <w:p w14:paraId="233AD0BA"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 xml:space="preserve">5.0 </w:t>
            </w:r>
          </w:p>
        </w:tc>
        <w:tc>
          <w:tcPr>
            <w:tcW w:w="541" w:type="pct"/>
          </w:tcPr>
          <w:p w14:paraId="22663063"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 xml:space="preserve">11.4 </w:t>
            </w:r>
          </w:p>
        </w:tc>
      </w:tr>
    </w:tbl>
    <w:p w14:paraId="4ECF8DD5" w14:textId="77777777" w:rsidR="008B1C85" w:rsidRDefault="008B1C85" w:rsidP="008B1C85">
      <w:pPr>
        <w:pStyle w:val="08Tablefootnotes"/>
      </w:pPr>
      <w:r w:rsidRPr="00092105">
        <w:t>Source: Department of Health, Medical Benefits Division, Medicare Financing &amp; Listings Branch, MBS Analyti</w:t>
      </w:r>
      <w:r>
        <w:t>cs Section. Data received 11 January 2016.</w:t>
      </w:r>
    </w:p>
    <w:p w14:paraId="0B810EEE" w14:textId="77777777" w:rsidR="008B1C85" w:rsidRDefault="008B1C85" w:rsidP="008B1C85">
      <w:pPr>
        <w:pStyle w:val="08Tablefootnotes"/>
      </w:pPr>
      <w:r w:rsidRPr="004455B2">
        <w:t xml:space="preserve">Abbreviations: </w:t>
      </w:r>
      <w:r>
        <w:t>ERP, estimated residential population</w:t>
      </w:r>
    </w:p>
    <w:p w14:paraId="71267F2C" w14:textId="77777777" w:rsidR="00EF19DF" w:rsidRDefault="008B1C85" w:rsidP="008B1C85">
      <w:pPr>
        <w:pStyle w:val="09Tablefootnoteslast-nostick"/>
      </w:pPr>
      <w:r w:rsidRPr="004455B2">
        <w:rPr>
          <w:vertAlign w:val="superscript"/>
        </w:rPr>
        <w:t>a</w:t>
      </w:r>
      <w:r>
        <w:t xml:space="preserve"> At</w:t>
      </w:r>
      <w:r w:rsidRPr="004455B2">
        <w:t xml:space="preserve"> December 2014 (ABS)</w:t>
      </w:r>
      <w:r w:rsidR="00EF19DF">
        <w:br w:type="page"/>
      </w:r>
    </w:p>
    <w:p w14:paraId="6CE9BC75" w14:textId="77777777" w:rsidR="008B1C85" w:rsidRDefault="008B1C85" w:rsidP="00DF3A06">
      <w:pPr>
        <w:pStyle w:val="Appcaption"/>
      </w:pPr>
      <w:r>
        <w:lastRenderedPageBreak/>
        <w:t>Table A-3.3</w:t>
      </w:r>
      <w:r>
        <w:tab/>
        <w:t>Number of services for MBS item 11506 by age group, financial year 2014-15</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Look w:val="00A0" w:firstRow="1" w:lastRow="0" w:firstColumn="1" w:lastColumn="0" w:noHBand="0" w:noVBand="0"/>
        <w:tblCaption w:val="Number of services for MBS item 11506 by age group, financial year 2014-15"/>
        <w:tblDescription w:val="This table lists a break-down of the number of times a benefit was paid for item 11506 by age group and by the per cent of services provided to each age group."/>
      </w:tblPr>
      <w:tblGrid>
        <w:gridCol w:w="4103"/>
        <w:gridCol w:w="2552"/>
        <w:gridCol w:w="2400"/>
      </w:tblGrid>
      <w:tr w:rsidR="008B1C85" w:rsidRPr="00A0517F" w14:paraId="726B280C" w14:textId="77777777" w:rsidTr="00FF6AB5">
        <w:trPr>
          <w:trHeight w:val="227"/>
          <w:tblHeader/>
        </w:trPr>
        <w:tc>
          <w:tcPr>
            <w:tcW w:w="2266" w:type="pct"/>
            <w:shd w:val="clear" w:color="auto" w:fill="366091"/>
          </w:tcPr>
          <w:p w14:paraId="5DEFCFE9" w14:textId="77777777" w:rsidR="008B1C85" w:rsidRPr="00A0517F" w:rsidRDefault="008B1C85" w:rsidP="008B1C85">
            <w:pPr>
              <w:pStyle w:val="01Tableheadingorsubheading"/>
              <w:rPr>
                <w:rFonts w:cstheme="minorHAnsi"/>
              </w:rPr>
            </w:pPr>
            <w:r w:rsidRPr="00A0517F">
              <w:rPr>
                <w:rFonts w:cstheme="minorHAnsi"/>
              </w:rPr>
              <w:t>Age group</w:t>
            </w:r>
          </w:p>
        </w:tc>
        <w:tc>
          <w:tcPr>
            <w:tcW w:w="1409" w:type="pct"/>
            <w:shd w:val="clear" w:color="auto" w:fill="366091"/>
          </w:tcPr>
          <w:p w14:paraId="5407FDC7" w14:textId="77777777" w:rsidR="008B1C85" w:rsidRPr="00A0517F" w:rsidRDefault="008B1C85" w:rsidP="008B1C85">
            <w:pPr>
              <w:pStyle w:val="01Tableheadingorsubheading"/>
              <w:jc w:val="right"/>
              <w:rPr>
                <w:rFonts w:cstheme="minorHAnsi"/>
              </w:rPr>
            </w:pPr>
            <w:r w:rsidRPr="00A0517F">
              <w:rPr>
                <w:rFonts w:cstheme="minorHAnsi"/>
              </w:rPr>
              <w:t>Number of services</w:t>
            </w:r>
          </w:p>
        </w:tc>
        <w:tc>
          <w:tcPr>
            <w:tcW w:w="1325" w:type="pct"/>
            <w:shd w:val="clear" w:color="auto" w:fill="366091"/>
          </w:tcPr>
          <w:p w14:paraId="519F96DB" w14:textId="77777777" w:rsidR="008B1C85" w:rsidRPr="00A0517F" w:rsidRDefault="008B1C85" w:rsidP="008B1C85">
            <w:pPr>
              <w:pStyle w:val="01Tableheadingorsubheading"/>
              <w:jc w:val="right"/>
              <w:rPr>
                <w:rFonts w:cstheme="minorHAnsi"/>
              </w:rPr>
            </w:pPr>
            <w:r w:rsidRPr="00A0517F">
              <w:rPr>
                <w:rFonts w:cstheme="minorHAnsi"/>
              </w:rPr>
              <w:t>% provided to age group</w:t>
            </w:r>
          </w:p>
        </w:tc>
      </w:tr>
      <w:tr w:rsidR="008B1C85" w:rsidRPr="00A0517F" w14:paraId="1FEA0055" w14:textId="77777777" w:rsidTr="008B1C85">
        <w:trPr>
          <w:trHeight w:val="227"/>
        </w:trPr>
        <w:tc>
          <w:tcPr>
            <w:tcW w:w="2266" w:type="pct"/>
          </w:tcPr>
          <w:p w14:paraId="13EC420F" w14:textId="77777777" w:rsidR="008B1C85" w:rsidRPr="00A0517F" w:rsidRDefault="008B1C85" w:rsidP="008B1C85">
            <w:pPr>
              <w:pStyle w:val="Tabletext"/>
              <w:rPr>
                <w:rFonts w:cstheme="minorHAnsi"/>
              </w:rPr>
            </w:pPr>
            <w:r w:rsidRPr="00A0517F">
              <w:rPr>
                <w:rFonts w:cstheme="minorHAnsi"/>
              </w:rPr>
              <w:t>0-4</w:t>
            </w:r>
          </w:p>
        </w:tc>
        <w:tc>
          <w:tcPr>
            <w:tcW w:w="1409" w:type="pct"/>
          </w:tcPr>
          <w:p w14:paraId="69AEE9ED" w14:textId="77777777" w:rsidR="008B1C85" w:rsidRPr="00A0517F" w:rsidRDefault="008B1C85" w:rsidP="008B1C85">
            <w:pPr>
              <w:pStyle w:val="Tabletext"/>
              <w:jc w:val="right"/>
              <w:rPr>
                <w:rFonts w:cstheme="minorHAnsi"/>
              </w:rPr>
            </w:pPr>
            <w:r w:rsidRPr="00A0517F">
              <w:rPr>
                <w:rFonts w:cstheme="minorHAnsi"/>
              </w:rPr>
              <w:t>461</w:t>
            </w:r>
          </w:p>
        </w:tc>
        <w:tc>
          <w:tcPr>
            <w:tcW w:w="1325" w:type="pct"/>
          </w:tcPr>
          <w:p w14:paraId="765116F1" w14:textId="77777777" w:rsidR="008B1C85" w:rsidRPr="00A0517F" w:rsidRDefault="008B1C85" w:rsidP="008B1C85">
            <w:pPr>
              <w:pStyle w:val="Tabletext"/>
              <w:jc w:val="right"/>
              <w:rPr>
                <w:rFonts w:cstheme="minorHAnsi"/>
              </w:rPr>
            </w:pPr>
            <w:r w:rsidRPr="00A0517F">
              <w:rPr>
                <w:rFonts w:cstheme="minorHAnsi"/>
              </w:rPr>
              <w:t>0%</w:t>
            </w:r>
          </w:p>
        </w:tc>
      </w:tr>
      <w:tr w:rsidR="008B1C85" w:rsidRPr="00A0517F" w14:paraId="5998056A" w14:textId="77777777" w:rsidTr="00F41459">
        <w:trPr>
          <w:trHeight w:val="227"/>
        </w:trPr>
        <w:tc>
          <w:tcPr>
            <w:tcW w:w="2266" w:type="pct"/>
            <w:shd w:val="clear" w:color="auto" w:fill="auto"/>
          </w:tcPr>
          <w:p w14:paraId="6F1B7C31" w14:textId="77777777" w:rsidR="008B1C85" w:rsidRPr="00A0517F" w:rsidRDefault="008B1C85" w:rsidP="008B1C85">
            <w:pPr>
              <w:pStyle w:val="Tabletext"/>
              <w:rPr>
                <w:rFonts w:cstheme="minorHAnsi"/>
              </w:rPr>
            </w:pPr>
            <w:r w:rsidRPr="00A0517F">
              <w:rPr>
                <w:rFonts w:cstheme="minorHAnsi"/>
              </w:rPr>
              <w:t>5-9</w:t>
            </w:r>
          </w:p>
        </w:tc>
        <w:tc>
          <w:tcPr>
            <w:tcW w:w="1409" w:type="pct"/>
            <w:shd w:val="clear" w:color="auto" w:fill="auto"/>
          </w:tcPr>
          <w:p w14:paraId="0C78504D" w14:textId="77777777" w:rsidR="008B1C85" w:rsidRPr="00A0517F" w:rsidRDefault="008B1C85" w:rsidP="008B1C85">
            <w:pPr>
              <w:pStyle w:val="Tabletext"/>
              <w:jc w:val="right"/>
              <w:rPr>
                <w:rFonts w:cstheme="minorHAnsi"/>
              </w:rPr>
            </w:pPr>
            <w:r w:rsidRPr="00A0517F">
              <w:rPr>
                <w:rFonts w:cstheme="minorHAnsi"/>
              </w:rPr>
              <w:t>7,956</w:t>
            </w:r>
          </w:p>
        </w:tc>
        <w:tc>
          <w:tcPr>
            <w:tcW w:w="1325" w:type="pct"/>
            <w:shd w:val="clear" w:color="auto" w:fill="auto"/>
          </w:tcPr>
          <w:p w14:paraId="7EAD4E0B" w14:textId="77777777" w:rsidR="008B1C85" w:rsidRPr="00A0517F" w:rsidRDefault="008B1C85" w:rsidP="008B1C85">
            <w:pPr>
              <w:pStyle w:val="Tabletext"/>
              <w:jc w:val="right"/>
              <w:rPr>
                <w:rFonts w:cstheme="minorHAnsi"/>
              </w:rPr>
            </w:pPr>
            <w:r w:rsidRPr="00A0517F">
              <w:rPr>
                <w:rFonts w:cstheme="minorHAnsi"/>
              </w:rPr>
              <w:t>3%</w:t>
            </w:r>
          </w:p>
        </w:tc>
      </w:tr>
      <w:tr w:rsidR="008B1C85" w:rsidRPr="00A0517F" w14:paraId="09A1D421" w14:textId="77777777" w:rsidTr="008B1C85">
        <w:trPr>
          <w:trHeight w:val="227"/>
        </w:trPr>
        <w:tc>
          <w:tcPr>
            <w:tcW w:w="2266" w:type="pct"/>
          </w:tcPr>
          <w:p w14:paraId="38149271" w14:textId="77777777" w:rsidR="008B1C85" w:rsidRPr="00A0517F" w:rsidRDefault="008B1C85" w:rsidP="008B1C85">
            <w:pPr>
              <w:pStyle w:val="Tabletext"/>
              <w:rPr>
                <w:rFonts w:cstheme="minorHAnsi"/>
              </w:rPr>
            </w:pPr>
            <w:r w:rsidRPr="00A0517F">
              <w:rPr>
                <w:rFonts w:cstheme="minorHAnsi"/>
              </w:rPr>
              <w:t>10-14</w:t>
            </w:r>
          </w:p>
        </w:tc>
        <w:tc>
          <w:tcPr>
            <w:tcW w:w="1409" w:type="pct"/>
          </w:tcPr>
          <w:p w14:paraId="0842D837" w14:textId="77777777" w:rsidR="008B1C85" w:rsidRPr="00A0517F" w:rsidRDefault="008B1C85" w:rsidP="008B1C85">
            <w:pPr>
              <w:pStyle w:val="Tabletext"/>
              <w:jc w:val="right"/>
              <w:rPr>
                <w:rFonts w:cstheme="minorHAnsi"/>
              </w:rPr>
            </w:pPr>
            <w:r w:rsidRPr="00A0517F">
              <w:rPr>
                <w:rFonts w:cstheme="minorHAnsi"/>
              </w:rPr>
              <w:t>11,506</w:t>
            </w:r>
          </w:p>
        </w:tc>
        <w:tc>
          <w:tcPr>
            <w:tcW w:w="1325" w:type="pct"/>
          </w:tcPr>
          <w:p w14:paraId="076D5D52" w14:textId="77777777" w:rsidR="008B1C85" w:rsidRPr="00A0517F" w:rsidRDefault="008B1C85" w:rsidP="008B1C85">
            <w:pPr>
              <w:pStyle w:val="Tabletext"/>
              <w:jc w:val="right"/>
              <w:rPr>
                <w:rFonts w:cstheme="minorHAnsi"/>
              </w:rPr>
            </w:pPr>
            <w:r w:rsidRPr="00A0517F">
              <w:rPr>
                <w:rFonts w:cstheme="minorHAnsi"/>
              </w:rPr>
              <w:t>4%</w:t>
            </w:r>
          </w:p>
        </w:tc>
      </w:tr>
      <w:tr w:rsidR="008B1C85" w:rsidRPr="00A0517F" w14:paraId="28E82B7B" w14:textId="77777777" w:rsidTr="00F41459">
        <w:trPr>
          <w:trHeight w:val="227"/>
        </w:trPr>
        <w:tc>
          <w:tcPr>
            <w:tcW w:w="2266" w:type="pct"/>
            <w:shd w:val="clear" w:color="auto" w:fill="auto"/>
          </w:tcPr>
          <w:p w14:paraId="2053B874" w14:textId="77777777" w:rsidR="008B1C85" w:rsidRPr="00A0517F" w:rsidRDefault="008B1C85" w:rsidP="008B1C85">
            <w:pPr>
              <w:pStyle w:val="Tabletext"/>
              <w:rPr>
                <w:rFonts w:cstheme="minorHAnsi"/>
              </w:rPr>
            </w:pPr>
            <w:r w:rsidRPr="00A0517F">
              <w:rPr>
                <w:rFonts w:cstheme="minorHAnsi"/>
              </w:rPr>
              <w:t>15-19</w:t>
            </w:r>
          </w:p>
        </w:tc>
        <w:tc>
          <w:tcPr>
            <w:tcW w:w="1409" w:type="pct"/>
            <w:shd w:val="clear" w:color="auto" w:fill="auto"/>
          </w:tcPr>
          <w:p w14:paraId="46D7F209" w14:textId="77777777" w:rsidR="008B1C85" w:rsidRPr="00A0517F" w:rsidRDefault="008B1C85" w:rsidP="008B1C85">
            <w:pPr>
              <w:pStyle w:val="Tabletext"/>
              <w:jc w:val="right"/>
              <w:rPr>
                <w:rFonts w:cstheme="minorHAnsi"/>
              </w:rPr>
            </w:pPr>
            <w:r w:rsidRPr="00A0517F">
              <w:rPr>
                <w:rFonts w:cstheme="minorHAnsi"/>
              </w:rPr>
              <w:t>10,388</w:t>
            </w:r>
          </w:p>
        </w:tc>
        <w:tc>
          <w:tcPr>
            <w:tcW w:w="1325" w:type="pct"/>
            <w:shd w:val="clear" w:color="auto" w:fill="auto"/>
          </w:tcPr>
          <w:p w14:paraId="656D3070" w14:textId="77777777" w:rsidR="008B1C85" w:rsidRPr="00A0517F" w:rsidRDefault="008B1C85" w:rsidP="008B1C85">
            <w:pPr>
              <w:pStyle w:val="Tabletext"/>
              <w:jc w:val="right"/>
              <w:rPr>
                <w:rFonts w:cstheme="minorHAnsi"/>
              </w:rPr>
            </w:pPr>
            <w:r w:rsidRPr="00A0517F">
              <w:rPr>
                <w:rFonts w:cstheme="minorHAnsi"/>
              </w:rPr>
              <w:t>4%</w:t>
            </w:r>
          </w:p>
        </w:tc>
      </w:tr>
      <w:tr w:rsidR="008B1C85" w:rsidRPr="00A0517F" w14:paraId="40DDA588" w14:textId="77777777" w:rsidTr="008B1C85">
        <w:trPr>
          <w:trHeight w:val="227"/>
        </w:trPr>
        <w:tc>
          <w:tcPr>
            <w:tcW w:w="2266" w:type="pct"/>
          </w:tcPr>
          <w:p w14:paraId="6DD8CBA6" w14:textId="77777777" w:rsidR="008B1C85" w:rsidRPr="00A0517F" w:rsidRDefault="008B1C85" w:rsidP="008B1C85">
            <w:pPr>
              <w:pStyle w:val="Tabletext"/>
              <w:rPr>
                <w:rFonts w:cstheme="minorHAnsi"/>
              </w:rPr>
            </w:pPr>
            <w:r w:rsidRPr="00A0517F">
              <w:rPr>
                <w:rFonts w:cstheme="minorHAnsi"/>
              </w:rPr>
              <w:t>20-24</w:t>
            </w:r>
          </w:p>
        </w:tc>
        <w:tc>
          <w:tcPr>
            <w:tcW w:w="1409" w:type="pct"/>
          </w:tcPr>
          <w:p w14:paraId="31098176" w14:textId="77777777" w:rsidR="008B1C85" w:rsidRPr="00A0517F" w:rsidRDefault="008B1C85" w:rsidP="008B1C85">
            <w:pPr>
              <w:pStyle w:val="Tabletext"/>
              <w:jc w:val="right"/>
              <w:rPr>
                <w:rFonts w:cstheme="minorHAnsi"/>
              </w:rPr>
            </w:pPr>
            <w:r w:rsidRPr="00A0517F">
              <w:rPr>
                <w:rFonts w:cstheme="minorHAnsi"/>
              </w:rPr>
              <w:t>9,705</w:t>
            </w:r>
          </w:p>
        </w:tc>
        <w:tc>
          <w:tcPr>
            <w:tcW w:w="1325" w:type="pct"/>
          </w:tcPr>
          <w:p w14:paraId="54B863E8" w14:textId="77777777" w:rsidR="008B1C85" w:rsidRPr="00A0517F" w:rsidRDefault="008B1C85" w:rsidP="008B1C85">
            <w:pPr>
              <w:pStyle w:val="Tabletext"/>
              <w:jc w:val="right"/>
              <w:rPr>
                <w:rFonts w:cstheme="minorHAnsi"/>
              </w:rPr>
            </w:pPr>
            <w:r w:rsidRPr="00A0517F">
              <w:rPr>
                <w:rFonts w:cstheme="minorHAnsi"/>
              </w:rPr>
              <w:t>4%</w:t>
            </w:r>
          </w:p>
        </w:tc>
      </w:tr>
      <w:tr w:rsidR="008B1C85" w:rsidRPr="00A0517F" w14:paraId="0332C3D2" w14:textId="77777777" w:rsidTr="00F41459">
        <w:trPr>
          <w:trHeight w:val="227"/>
        </w:trPr>
        <w:tc>
          <w:tcPr>
            <w:tcW w:w="2266" w:type="pct"/>
            <w:shd w:val="clear" w:color="auto" w:fill="auto"/>
          </w:tcPr>
          <w:p w14:paraId="12241B9D" w14:textId="77777777" w:rsidR="008B1C85" w:rsidRPr="00A0517F" w:rsidRDefault="008B1C85" w:rsidP="008B1C85">
            <w:pPr>
              <w:pStyle w:val="Tabletext"/>
              <w:rPr>
                <w:rFonts w:cstheme="minorHAnsi"/>
              </w:rPr>
            </w:pPr>
            <w:r w:rsidRPr="00A0517F">
              <w:rPr>
                <w:rFonts w:cstheme="minorHAnsi"/>
              </w:rPr>
              <w:t>25-29</w:t>
            </w:r>
          </w:p>
        </w:tc>
        <w:tc>
          <w:tcPr>
            <w:tcW w:w="1409" w:type="pct"/>
            <w:shd w:val="clear" w:color="auto" w:fill="auto"/>
          </w:tcPr>
          <w:p w14:paraId="0E441B46" w14:textId="77777777" w:rsidR="008B1C85" w:rsidRPr="00A0517F" w:rsidRDefault="008B1C85" w:rsidP="008B1C85">
            <w:pPr>
              <w:pStyle w:val="Tabletext"/>
              <w:jc w:val="right"/>
              <w:rPr>
                <w:rFonts w:cstheme="minorHAnsi"/>
              </w:rPr>
            </w:pPr>
            <w:r w:rsidRPr="00A0517F">
              <w:rPr>
                <w:rFonts w:cstheme="minorHAnsi"/>
              </w:rPr>
              <w:t>9,316</w:t>
            </w:r>
          </w:p>
        </w:tc>
        <w:tc>
          <w:tcPr>
            <w:tcW w:w="1325" w:type="pct"/>
            <w:shd w:val="clear" w:color="auto" w:fill="auto"/>
          </w:tcPr>
          <w:p w14:paraId="65D6F99C" w14:textId="77777777" w:rsidR="008B1C85" w:rsidRPr="00A0517F" w:rsidRDefault="008B1C85" w:rsidP="008B1C85">
            <w:pPr>
              <w:pStyle w:val="Tabletext"/>
              <w:jc w:val="right"/>
              <w:rPr>
                <w:rFonts w:cstheme="minorHAnsi"/>
              </w:rPr>
            </w:pPr>
            <w:r w:rsidRPr="00A0517F">
              <w:rPr>
                <w:rFonts w:cstheme="minorHAnsi"/>
              </w:rPr>
              <w:t>3%</w:t>
            </w:r>
          </w:p>
        </w:tc>
      </w:tr>
      <w:tr w:rsidR="008B1C85" w:rsidRPr="00A0517F" w14:paraId="22E9C2F2" w14:textId="77777777" w:rsidTr="008B1C85">
        <w:trPr>
          <w:trHeight w:val="227"/>
        </w:trPr>
        <w:tc>
          <w:tcPr>
            <w:tcW w:w="2266" w:type="pct"/>
          </w:tcPr>
          <w:p w14:paraId="4D8F0337" w14:textId="77777777" w:rsidR="008B1C85" w:rsidRPr="00A0517F" w:rsidRDefault="008B1C85" w:rsidP="008B1C85">
            <w:pPr>
              <w:pStyle w:val="Tabletext"/>
              <w:rPr>
                <w:rFonts w:cstheme="minorHAnsi"/>
              </w:rPr>
            </w:pPr>
            <w:r w:rsidRPr="00A0517F">
              <w:rPr>
                <w:rFonts w:cstheme="minorHAnsi"/>
              </w:rPr>
              <w:t>30-34</w:t>
            </w:r>
          </w:p>
        </w:tc>
        <w:tc>
          <w:tcPr>
            <w:tcW w:w="1409" w:type="pct"/>
          </w:tcPr>
          <w:p w14:paraId="027B2A1B" w14:textId="77777777" w:rsidR="008B1C85" w:rsidRPr="00A0517F" w:rsidRDefault="008B1C85" w:rsidP="008B1C85">
            <w:pPr>
              <w:pStyle w:val="Tabletext"/>
              <w:jc w:val="right"/>
              <w:rPr>
                <w:rFonts w:cstheme="minorHAnsi"/>
              </w:rPr>
            </w:pPr>
            <w:r w:rsidRPr="00A0517F">
              <w:rPr>
                <w:rFonts w:cstheme="minorHAnsi"/>
              </w:rPr>
              <w:t>10,348</w:t>
            </w:r>
          </w:p>
        </w:tc>
        <w:tc>
          <w:tcPr>
            <w:tcW w:w="1325" w:type="pct"/>
          </w:tcPr>
          <w:p w14:paraId="4A0AFF1C" w14:textId="77777777" w:rsidR="008B1C85" w:rsidRPr="00A0517F" w:rsidRDefault="008B1C85" w:rsidP="008B1C85">
            <w:pPr>
              <w:pStyle w:val="Tabletext"/>
              <w:jc w:val="right"/>
              <w:rPr>
                <w:rFonts w:cstheme="minorHAnsi"/>
              </w:rPr>
            </w:pPr>
            <w:r w:rsidRPr="00A0517F">
              <w:rPr>
                <w:rFonts w:cstheme="minorHAnsi"/>
              </w:rPr>
              <w:t>4%</w:t>
            </w:r>
          </w:p>
        </w:tc>
      </w:tr>
      <w:tr w:rsidR="008B1C85" w:rsidRPr="00A0517F" w14:paraId="28101B4B" w14:textId="77777777" w:rsidTr="00F41459">
        <w:trPr>
          <w:trHeight w:val="227"/>
        </w:trPr>
        <w:tc>
          <w:tcPr>
            <w:tcW w:w="2266" w:type="pct"/>
            <w:shd w:val="clear" w:color="auto" w:fill="auto"/>
          </w:tcPr>
          <w:p w14:paraId="7CE88C5C" w14:textId="77777777" w:rsidR="008B1C85" w:rsidRPr="00A0517F" w:rsidRDefault="008B1C85" w:rsidP="008B1C85">
            <w:pPr>
              <w:pStyle w:val="Tabletext"/>
              <w:rPr>
                <w:rFonts w:cstheme="minorHAnsi"/>
              </w:rPr>
            </w:pPr>
            <w:r w:rsidRPr="00A0517F">
              <w:rPr>
                <w:rFonts w:cstheme="minorHAnsi"/>
              </w:rPr>
              <w:t>35-39</w:t>
            </w:r>
          </w:p>
        </w:tc>
        <w:tc>
          <w:tcPr>
            <w:tcW w:w="1409" w:type="pct"/>
            <w:shd w:val="clear" w:color="auto" w:fill="auto"/>
          </w:tcPr>
          <w:p w14:paraId="005DAC72" w14:textId="77777777" w:rsidR="008B1C85" w:rsidRPr="00A0517F" w:rsidRDefault="008B1C85" w:rsidP="008B1C85">
            <w:pPr>
              <w:pStyle w:val="Tabletext"/>
              <w:jc w:val="right"/>
              <w:rPr>
                <w:rFonts w:cstheme="minorHAnsi"/>
              </w:rPr>
            </w:pPr>
            <w:r w:rsidRPr="00A0517F">
              <w:rPr>
                <w:rFonts w:cstheme="minorHAnsi"/>
              </w:rPr>
              <w:t>11,293</w:t>
            </w:r>
          </w:p>
        </w:tc>
        <w:tc>
          <w:tcPr>
            <w:tcW w:w="1325" w:type="pct"/>
            <w:shd w:val="clear" w:color="auto" w:fill="auto"/>
          </w:tcPr>
          <w:p w14:paraId="24AD512E" w14:textId="77777777" w:rsidR="008B1C85" w:rsidRPr="00A0517F" w:rsidRDefault="008B1C85" w:rsidP="008B1C85">
            <w:pPr>
              <w:pStyle w:val="Tabletext"/>
              <w:jc w:val="right"/>
              <w:rPr>
                <w:rFonts w:cstheme="minorHAnsi"/>
              </w:rPr>
            </w:pPr>
            <w:r w:rsidRPr="00A0517F">
              <w:rPr>
                <w:rFonts w:cstheme="minorHAnsi"/>
              </w:rPr>
              <w:t>4%</w:t>
            </w:r>
          </w:p>
        </w:tc>
      </w:tr>
      <w:tr w:rsidR="008B1C85" w:rsidRPr="00A0517F" w14:paraId="22132FAD" w14:textId="77777777" w:rsidTr="008B1C85">
        <w:trPr>
          <w:trHeight w:val="227"/>
        </w:trPr>
        <w:tc>
          <w:tcPr>
            <w:tcW w:w="2266" w:type="pct"/>
          </w:tcPr>
          <w:p w14:paraId="0CF3DC59" w14:textId="77777777" w:rsidR="008B1C85" w:rsidRPr="00A0517F" w:rsidRDefault="008B1C85" w:rsidP="008B1C85">
            <w:pPr>
              <w:pStyle w:val="Tabletext"/>
              <w:rPr>
                <w:rFonts w:cstheme="minorHAnsi"/>
              </w:rPr>
            </w:pPr>
            <w:r w:rsidRPr="00A0517F">
              <w:rPr>
                <w:rFonts w:cstheme="minorHAnsi"/>
              </w:rPr>
              <w:t>40-44</w:t>
            </w:r>
          </w:p>
        </w:tc>
        <w:tc>
          <w:tcPr>
            <w:tcW w:w="1409" w:type="pct"/>
          </w:tcPr>
          <w:p w14:paraId="0258FC7B" w14:textId="77777777" w:rsidR="008B1C85" w:rsidRPr="00A0517F" w:rsidRDefault="008B1C85" w:rsidP="008B1C85">
            <w:pPr>
              <w:pStyle w:val="Tabletext"/>
              <w:jc w:val="right"/>
              <w:rPr>
                <w:rFonts w:cstheme="minorHAnsi"/>
              </w:rPr>
            </w:pPr>
            <w:r w:rsidRPr="00A0517F">
              <w:rPr>
                <w:rFonts w:cstheme="minorHAnsi"/>
              </w:rPr>
              <w:t>14,289</w:t>
            </w:r>
          </w:p>
        </w:tc>
        <w:tc>
          <w:tcPr>
            <w:tcW w:w="1325" w:type="pct"/>
          </w:tcPr>
          <w:p w14:paraId="2ADAAC5D" w14:textId="77777777" w:rsidR="008B1C85" w:rsidRPr="00A0517F" w:rsidRDefault="008B1C85" w:rsidP="008B1C85">
            <w:pPr>
              <w:pStyle w:val="Tabletext"/>
              <w:jc w:val="right"/>
              <w:rPr>
                <w:rFonts w:cstheme="minorHAnsi"/>
              </w:rPr>
            </w:pPr>
            <w:r w:rsidRPr="00A0517F">
              <w:rPr>
                <w:rFonts w:cstheme="minorHAnsi"/>
              </w:rPr>
              <w:t>5%</w:t>
            </w:r>
          </w:p>
        </w:tc>
      </w:tr>
      <w:tr w:rsidR="008B1C85" w:rsidRPr="00A0517F" w14:paraId="15813576" w14:textId="77777777" w:rsidTr="00F41459">
        <w:trPr>
          <w:trHeight w:val="227"/>
        </w:trPr>
        <w:tc>
          <w:tcPr>
            <w:tcW w:w="2266" w:type="pct"/>
            <w:shd w:val="clear" w:color="auto" w:fill="auto"/>
          </w:tcPr>
          <w:p w14:paraId="5518B9B1" w14:textId="77777777" w:rsidR="008B1C85" w:rsidRPr="00A0517F" w:rsidRDefault="008B1C85" w:rsidP="008B1C85">
            <w:pPr>
              <w:pStyle w:val="Tabletext"/>
              <w:rPr>
                <w:rFonts w:cstheme="minorHAnsi"/>
              </w:rPr>
            </w:pPr>
            <w:r w:rsidRPr="00A0517F">
              <w:rPr>
                <w:rFonts w:cstheme="minorHAnsi"/>
              </w:rPr>
              <w:t>45-49</w:t>
            </w:r>
          </w:p>
        </w:tc>
        <w:tc>
          <w:tcPr>
            <w:tcW w:w="1409" w:type="pct"/>
            <w:shd w:val="clear" w:color="auto" w:fill="auto"/>
          </w:tcPr>
          <w:p w14:paraId="30989DD5" w14:textId="77777777" w:rsidR="008B1C85" w:rsidRPr="00A0517F" w:rsidRDefault="008B1C85" w:rsidP="008B1C85">
            <w:pPr>
              <w:pStyle w:val="Tabletext"/>
              <w:jc w:val="right"/>
              <w:rPr>
                <w:rFonts w:cstheme="minorHAnsi"/>
              </w:rPr>
            </w:pPr>
            <w:r w:rsidRPr="00A0517F">
              <w:rPr>
                <w:rFonts w:cstheme="minorHAnsi"/>
              </w:rPr>
              <w:t>18,001</w:t>
            </w:r>
          </w:p>
        </w:tc>
        <w:tc>
          <w:tcPr>
            <w:tcW w:w="1325" w:type="pct"/>
            <w:shd w:val="clear" w:color="auto" w:fill="auto"/>
          </w:tcPr>
          <w:p w14:paraId="69EBC8BF" w14:textId="77777777" w:rsidR="008B1C85" w:rsidRPr="00A0517F" w:rsidRDefault="008B1C85" w:rsidP="008B1C85">
            <w:pPr>
              <w:pStyle w:val="Tabletext"/>
              <w:jc w:val="right"/>
              <w:rPr>
                <w:rFonts w:cstheme="minorHAnsi"/>
              </w:rPr>
            </w:pPr>
            <w:r w:rsidRPr="00A0517F">
              <w:rPr>
                <w:rFonts w:cstheme="minorHAnsi"/>
              </w:rPr>
              <w:t>7%</w:t>
            </w:r>
          </w:p>
        </w:tc>
      </w:tr>
      <w:tr w:rsidR="008B1C85" w:rsidRPr="00A0517F" w14:paraId="5501EAAD" w14:textId="77777777" w:rsidTr="008B1C85">
        <w:trPr>
          <w:trHeight w:val="227"/>
        </w:trPr>
        <w:tc>
          <w:tcPr>
            <w:tcW w:w="2266" w:type="pct"/>
            <w:shd w:val="clear" w:color="auto" w:fill="auto"/>
          </w:tcPr>
          <w:p w14:paraId="18EC9CD4" w14:textId="77777777" w:rsidR="008B1C85" w:rsidRPr="00A0517F" w:rsidRDefault="008B1C85" w:rsidP="008B1C85">
            <w:pPr>
              <w:pStyle w:val="Tabletext"/>
              <w:rPr>
                <w:rFonts w:cstheme="minorHAnsi"/>
              </w:rPr>
            </w:pPr>
            <w:r w:rsidRPr="00A0517F">
              <w:rPr>
                <w:rFonts w:cstheme="minorHAnsi"/>
              </w:rPr>
              <w:t>50-54</w:t>
            </w:r>
          </w:p>
        </w:tc>
        <w:tc>
          <w:tcPr>
            <w:tcW w:w="1409" w:type="pct"/>
            <w:shd w:val="clear" w:color="auto" w:fill="auto"/>
          </w:tcPr>
          <w:p w14:paraId="484923E4" w14:textId="77777777" w:rsidR="008B1C85" w:rsidRPr="00A0517F" w:rsidRDefault="008B1C85" w:rsidP="008B1C85">
            <w:pPr>
              <w:pStyle w:val="Tabletext"/>
              <w:jc w:val="right"/>
              <w:rPr>
                <w:rFonts w:cstheme="minorHAnsi"/>
              </w:rPr>
            </w:pPr>
            <w:r w:rsidRPr="00A0517F">
              <w:rPr>
                <w:rFonts w:cstheme="minorHAnsi"/>
              </w:rPr>
              <w:t>19,607</w:t>
            </w:r>
          </w:p>
        </w:tc>
        <w:tc>
          <w:tcPr>
            <w:tcW w:w="1325" w:type="pct"/>
            <w:shd w:val="clear" w:color="auto" w:fill="auto"/>
          </w:tcPr>
          <w:p w14:paraId="38F2C87B" w14:textId="77777777" w:rsidR="008B1C85" w:rsidRPr="00A0517F" w:rsidRDefault="008B1C85" w:rsidP="008B1C85">
            <w:pPr>
              <w:pStyle w:val="Tabletext"/>
              <w:jc w:val="right"/>
              <w:rPr>
                <w:rFonts w:cstheme="minorHAnsi"/>
              </w:rPr>
            </w:pPr>
            <w:r w:rsidRPr="00A0517F">
              <w:rPr>
                <w:rFonts w:cstheme="minorHAnsi"/>
              </w:rPr>
              <w:t>7%</w:t>
            </w:r>
          </w:p>
        </w:tc>
      </w:tr>
      <w:tr w:rsidR="008B1C85" w:rsidRPr="00A0517F" w14:paraId="2D6DF777" w14:textId="77777777" w:rsidTr="00F41459">
        <w:trPr>
          <w:trHeight w:val="227"/>
        </w:trPr>
        <w:tc>
          <w:tcPr>
            <w:tcW w:w="2266" w:type="pct"/>
            <w:shd w:val="clear" w:color="auto" w:fill="auto"/>
          </w:tcPr>
          <w:p w14:paraId="4594E070" w14:textId="77777777" w:rsidR="008B1C85" w:rsidRPr="00A0517F" w:rsidRDefault="008B1C85" w:rsidP="008B1C85">
            <w:pPr>
              <w:pStyle w:val="Tabletext"/>
              <w:rPr>
                <w:rFonts w:cstheme="minorHAnsi"/>
              </w:rPr>
            </w:pPr>
            <w:r w:rsidRPr="00A0517F">
              <w:rPr>
                <w:rFonts w:cstheme="minorHAnsi"/>
              </w:rPr>
              <w:t>55-59</w:t>
            </w:r>
          </w:p>
        </w:tc>
        <w:tc>
          <w:tcPr>
            <w:tcW w:w="1409" w:type="pct"/>
            <w:shd w:val="clear" w:color="auto" w:fill="auto"/>
          </w:tcPr>
          <w:p w14:paraId="7B73109C" w14:textId="77777777" w:rsidR="008B1C85" w:rsidRPr="00A0517F" w:rsidRDefault="008B1C85" w:rsidP="008B1C85">
            <w:pPr>
              <w:pStyle w:val="Tabletext"/>
              <w:jc w:val="right"/>
              <w:rPr>
                <w:rFonts w:cstheme="minorHAnsi"/>
              </w:rPr>
            </w:pPr>
            <w:r w:rsidRPr="00A0517F">
              <w:rPr>
                <w:rFonts w:cstheme="minorHAnsi"/>
              </w:rPr>
              <w:t>23,016</w:t>
            </w:r>
          </w:p>
        </w:tc>
        <w:tc>
          <w:tcPr>
            <w:tcW w:w="1325" w:type="pct"/>
            <w:shd w:val="clear" w:color="auto" w:fill="auto"/>
          </w:tcPr>
          <w:p w14:paraId="08512E68" w14:textId="77777777" w:rsidR="008B1C85" w:rsidRPr="00A0517F" w:rsidRDefault="008B1C85" w:rsidP="008B1C85">
            <w:pPr>
              <w:pStyle w:val="Tabletext"/>
              <w:jc w:val="right"/>
              <w:rPr>
                <w:rFonts w:cstheme="minorHAnsi"/>
              </w:rPr>
            </w:pPr>
            <w:r w:rsidRPr="00A0517F">
              <w:rPr>
                <w:rFonts w:cstheme="minorHAnsi"/>
              </w:rPr>
              <w:t>9%</w:t>
            </w:r>
          </w:p>
        </w:tc>
      </w:tr>
      <w:tr w:rsidR="008B1C85" w:rsidRPr="00A0517F" w14:paraId="00C0A314" w14:textId="77777777" w:rsidTr="008B1C85">
        <w:trPr>
          <w:trHeight w:val="227"/>
        </w:trPr>
        <w:tc>
          <w:tcPr>
            <w:tcW w:w="2266" w:type="pct"/>
            <w:shd w:val="clear" w:color="auto" w:fill="auto"/>
          </w:tcPr>
          <w:p w14:paraId="6EBB6619" w14:textId="77777777" w:rsidR="008B1C85" w:rsidRPr="00A0517F" w:rsidRDefault="008B1C85" w:rsidP="008B1C85">
            <w:pPr>
              <w:pStyle w:val="Tabletext"/>
              <w:rPr>
                <w:rFonts w:cstheme="minorHAnsi"/>
              </w:rPr>
            </w:pPr>
            <w:r w:rsidRPr="00A0517F">
              <w:rPr>
                <w:rFonts w:cstheme="minorHAnsi"/>
              </w:rPr>
              <w:t>60-64</w:t>
            </w:r>
          </w:p>
        </w:tc>
        <w:tc>
          <w:tcPr>
            <w:tcW w:w="1409" w:type="pct"/>
            <w:shd w:val="clear" w:color="auto" w:fill="auto"/>
          </w:tcPr>
          <w:p w14:paraId="2648AD11" w14:textId="77777777" w:rsidR="008B1C85" w:rsidRPr="00A0517F" w:rsidRDefault="008B1C85" w:rsidP="008B1C85">
            <w:pPr>
              <w:pStyle w:val="Tabletext"/>
              <w:jc w:val="right"/>
              <w:rPr>
                <w:rFonts w:cstheme="minorHAnsi"/>
              </w:rPr>
            </w:pPr>
            <w:r w:rsidRPr="00A0517F">
              <w:rPr>
                <w:rFonts w:cstheme="minorHAnsi"/>
              </w:rPr>
              <w:t>26,536</w:t>
            </w:r>
          </w:p>
        </w:tc>
        <w:tc>
          <w:tcPr>
            <w:tcW w:w="1325" w:type="pct"/>
            <w:shd w:val="clear" w:color="auto" w:fill="auto"/>
          </w:tcPr>
          <w:p w14:paraId="4D2432E0" w14:textId="77777777" w:rsidR="008B1C85" w:rsidRPr="00A0517F" w:rsidRDefault="008B1C85" w:rsidP="008B1C85">
            <w:pPr>
              <w:pStyle w:val="Tabletext"/>
              <w:jc w:val="right"/>
              <w:rPr>
                <w:rFonts w:cstheme="minorHAnsi"/>
              </w:rPr>
            </w:pPr>
            <w:r w:rsidRPr="00A0517F">
              <w:rPr>
                <w:rFonts w:cstheme="minorHAnsi"/>
              </w:rPr>
              <w:t>10%</w:t>
            </w:r>
          </w:p>
        </w:tc>
      </w:tr>
      <w:tr w:rsidR="008B1C85" w:rsidRPr="00A0517F" w14:paraId="6FED90F2" w14:textId="77777777" w:rsidTr="00F41459">
        <w:trPr>
          <w:trHeight w:val="227"/>
        </w:trPr>
        <w:tc>
          <w:tcPr>
            <w:tcW w:w="2266" w:type="pct"/>
            <w:shd w:val="clear" w:color="auto" w:fill="auto"/>
          </w:tcPr>
          <w:p w14:paraId="793CF8B9" w14:textId="77777777" w:rsidR="008B1C85" w:rsidRPr="00A0517F" w:rsidRDefault="008B1C85" w:rsidP="008B1C85">
            <w:pPr>
              <w:pStyle w:val="Tabletext"/>
              <w:rPr>
                <w:rFonts w:cstheme="minorHAnsi"/>
              </w:rPr>
            </w:pPr>
            <w:r w:rsidRPr="00A0517F">
              <w:rPr>
                <w:rFonts w:cstheme="minorHAnsi"/>
              </w:rPr>
              <w:t>65-69</w:t>
            </w:r>
          </w:p>
        </w:tc>
        <w:tc>
          <w:tcPr>
            <w:tcW w:w="1409" w:type="pct"/>
            <w:shd w:val="clear" w:color="auto" w:fill="auto"/>
          </w:tcPr>
          <w:p w14:paraId="331ED5D5" w14:textId="77777777" w:rsidR="008B1C85" w:rsidRPr="00A0517F" w:rsidRDefault="008B1C85" w:rsidP="008B1C85">
            <w:pPr>
              <w:pStyle w:val="Tabletext"/>
              <w:jc w:val="right"/>
              <w:rPr>
                <w:rFonts w:cstheme="minorHAnsi"/>
              </w:rPr>
            </w:pPr>
            <w:r w:rsidRPr="00A0517F">
              <w:rPr>
                <w:rFonts w:cstheme="minorHAnsi"/>
              </w:rPr>
              <w:t>30,440</w:t>
            </w:r>
          </w:p>
        </w:tc>
        <w:tc>
          <w:tcPr>
            <w:tcW w:w="1325" w:type="pct"/>
            <w:shd w:val="clear" w:color="auto" w:fill="auto"/>
          </w:tcPr>
          <w:p w14:paraId="40FE1EBA" w14:textId="77777777" w:rsidR="008B1C85" w:rsidRPr="00A0517F" w:rsidRDefault="008B1C85" w:rsidP="008B1C85">
            <w:pPr>
              <w:pStyle w:val="Tabletext"/>
              <w:jc w:val="right"/>
              <w:rPr>
                <w:rFonts w:cstheme="minorHAnsi"/>
              </w:rPr>
            </w:pPr>
            <w:r w:rsidRPr="00A0517F">
              <w:rPr>
                <w:rFonts w:cstheme="minorHAnsi"/>
              </w:rPr>
              <w:t>11%</w:t>
            </w:r>
          </w:p>
        </w:tc>
      </w:tr>
      <w:tr w:rsidR="008B1C85" w:rsidRPr="00A0517F" w14:paraId="051ABE19" w14:textId="77777777" w:rsidTr="008B1C85">
        <w:trPr>
          <w:trHeight w:val="227"/>
        </w:trPr>
        <w:tc>
          <w:tcPr>
            <w:tcW w:w="2266" w:type="pct"/>
            <w:shd w:val="clear" w:color="auto" w:fill="auto"/>
          </w:tcPr>
          <w:p w14:paraId="07DE89C8" w14:textId="77777777" w:rsidR="008B1C85" w:rsidRPr="00A0517F" w:rsidRDefault="008B1C85" w:rsidP="008B1C85">
            <w:pPr>
              <w:pStyle w:val="Tabletext"/>
              <w:rPr>
                <w:rFonts w:cstheme="minorHAnsi"/>
              </w:rPr>
            </w:pPr>
            <w:r w:rsidRPr="00A0517F">
              <w:rPr>
                <w:rFonts w:cstheme="minorHAnsi"/>
              </w:rPr>
              <w:t>70-74</w:t>
            </w:r>
          </w:p>
        </w:tc>
        <w:tc>
          <w:tcPr>
            <w:tcW w:w="1409" w:type="pct"/>
            <w:shd w:val="clear" w:color="auto" w:fill="auto"/>
          </w:tcPr>
          <w:p w14:paraId="7F58667D" w14:textId="77777777" w:rsidR="008B1C85" w:rsidRPr="00A0517F" w:rsidRDefault="008B1C85" w:rsidP="008B1C85">
            <w:pPr>
              <w:pStyle w:val="Tabletext"/>
              <w:jc w:val="right"/>
              <w:rPr>
                <w:rFonts w:cstheme="minorHAnsi"/>
              </w:rPr>
            </w:pPr>
            <w:r w:rsidRPr="00A0517F">
              <w:rPr>
                <w:rFonts w:cstheme="minorHAnsi"/>
              </w:rPr>
              <w:t>26,547</w:t>
            </w:r>
          </w:p>
        </w:tc>
        <w:tc>
          <w:tcPr>
            <w:tcW w:w="1325" w:type="pct"/>
            <w:shd w:val="clear" w:color="auto" w:fill="auto"/>
          </w:tcPr>
          <w:p w14:paraId="7D60C962" w14:textId="77777777" w:rsidR="008B1C85" w:rsidRPr="00A0517F" w:rsidRDefault="008B1C85" w:rsidP="008B1C85">
            <w:pPr>
              <w:pStyle w:val="Tabletext"/>
              <w:jc w:val="right"/>
              <w:rPr>
                <w:rFonts w:cstheme="minorHAnsi"/>
              </w:rPr>
            </w:pPr>
            <w:r w:rsidRPr="00A0517F">
              <w:rPr>
                <w:rFonts w:cstheme="minorHAnsi"/>
              </w:rPr>
              <w:t>10%</w:t>
            </w:r>
          </w:p>
        </w:tc>
      </w:tr>
      <w:tr w:rsidR="008B1C85" w:rsidRPr="00A0517F" w14:paraId="13DB2E95" w14:textId="77777777" w:rsidTr="00F41459">
        <w:trPr>
          <w:trHeight w:val="227"/>
        </w:trPr>
        <w:tc>
          <w:tcPr>
            <w:tcW w:w="2266" w:type="pct"/>
            <w:shd w:val="clear" w:color="auto" w:fill="auto"/>
          </w:tcPr>
          <w:p w14:paraId="6DFB848B" w14:textId="77777777" w:rsidR="008B1C85" w:rsidRPr="00A0517F" w:rsidRDefault="008B1C85" w:rsidP="008B1C85">
            <w:pPr>
              <w:pStyle w:val="Tabletext"/>
              <w:rPr>
                <w:rFonts w:cstheme="minorHAnsi"/>
              </w:rPr>
            </w:pPr>
            <w:r w:rsidRPr="00A0517F">
              <w:rPr>
                <w:rFonts w:cstheme="minorHAnsi"/>
              </w:rPr>
              <w:t>75-79</w:t>
            </w:r>
          </w:p>
        </w:tc>
        <w:tc>
          <w:tcPr>
            <w:tcW w:w="1409" w:type="pct"/>
            <w:shd w:val="clear" w:color="auto" w:fill="auto"/>
          </w:tcPr>
          <w:p w14:paraId="6518C2ED" w14:textId="77777777" w:rsidR="008B1C85" w:rsidRPr="00A0517F" w:rsidRDefault="008B1C85" w:rsidP="008B1C85">
            <w:pPr>
              <w:pStyle w:val="Tabletext"/>
              <w:jc w:val="right"/>
              <w:rPr>
                <w:rFonts w:cstheme="minorHAnsi"/>
              </w:rPr>
            </w:pPr>
            <w:r w:rsidRPr="00A0517F">
              <w:rPr>
                <w:rFonts w:cstheme="minorHAnsi"/>
              </w:rPr>
              <w:t>21,400</w:t>
            </w:r>
          </w:p>
        </w:tc>
        <w:tc>
          <w:tcPr>
            <w:tcW w:w="1325" w:type="pct"/>
            <w:shd w:val="clear" w:color="auto" w:fill="auto"/>
          </w:tcPr>
          <w:p w14:paraId="01FAF6D0" w14:textId="77777777" w:rsidR="008B1C85" w:rsidRPr="00A0517F" w:rsidRDefault="008B1C85" w:rsidP="008B1C85">
            <w:pPr>
              <w:pStyle w:val="Tabletext"/>
              <w:jc w:val="right"/>
              <w:rPr>
                <w:rFonts w:cstheme="minorHAnsi"/>
              </w:rPr>
            </w:pPr>
            <w:r w:rsidRPr="00A0517F">
              <w:rPr>
                <w:rFonts w:cstheme="minorHAnsi"/>
              </w:rPr>
              <w:t>8%</w:t>
            </w:r>
          </w:p>
        </w:tc>
      </w:tr>
      <w:tr w:rsidR="008B1C85" w:rsidRPr="00A0517F" w14:paraId="614EC814" w14:textId="77777777" w:rsidTr="008B1C85">
        <w:trPr>
          <w:trHeight w:val="227"/>
        </w:trPr>
        <w:tc>
          <w:tcPr>
            <w:tcW w:w="2266" w:type="pct"/>
            <w:shd w:val="clear" w:color="auto" w:fill="auto"/>
          </w:tcPr>
          <w:p w14:paraId="5A96B344" w14:textId="77777777" w:rsidR="008B1C85" w:rsidRPr="00A0517F" w:rsidRDefault="008B1C85" w:rsidP="008B1C85">
            <w:pPr>
              <w:pStyle w:val="Tabletext"/>
              <w:rPr>
                <w:rFonts w:cstheme="minorHAnsi"/>
              </w:rPr>
            </w:pPr>
            <w:r w:rsidRPr="00A0517F">
              <w:rPr>
                <w:rFonts w:cstheme="minorHAnsi"/>
              </w:rPr>
              <w:t>80-84</w:t>
            </w:r>
          </w:p>
        </w:tc>
        <w:tc>
          <w:tcPr>
            <w:tcW w:w="1409" w:type="pct"/>
            <w:shd w:val="clear" w:color="auto" w:fill="auto"/>
          </w:tcPr>
          <w:p w14:paraId="62681DD4" w14:textId="77777777" w:rsidR="008B1C85" w:rsidRPr="00A0517F" w:rsidRDefault="008B1C85" w:rsidP="008B1C85">
            <w:pPr>
              <w:pStyle w:val="Tabletext"/>
              <w:jc w:val="right"/>
              <w:rPr>
                <w:rFonts w:cstheme="minorHAnsi"/>
              </w:rPr>
            </w:pPr>
            <w:r w:rsidRPr="00A0517F">
              <w:rPr>
                <w:rFonts w:cstheme="minorHAnsi"/>
              </w:rPr>
              <w:t>12,916</w:t>
            </w:r>
          </w:p>
        </w:tc>
        <w:tc>
          <w:tcPr>
            <w:tcW w:w="1325" w:type="pct"/>
            <w:shd w:val="clear" w:color="auto" w:fill="auto"/>
          </w:tcPr>
          <w:p w14:paraId="4F4D3DF5" w14:textId="77777777" w:rsidR="008B1C85" w:rsidRPr="00A0517F" w:rsidRDefault="008B1C85" w:rsidP="008B1C85">
            <w:pPr>
              <w:pStyle w:val="Tabletext"/>
              <w:jc w:val="right"/>
              <w:rPr>
                <w:rFonts w:cstheme="minorHAnsi"/>
              </w:rPr>
            </w:pPr>
            <w:r w:rsidRPr="00A0517F">
              <w:rPr>
                <w:rFonts w:cstheme="minorHAnsi"/>
              </w:rPr>
              <w:t>5%</w:t>
            </w:r>
          </w:p>
        </w:tc>
      </w:tr>
      <w:tr w:rsidR="008B1C85" w:rsidRPr="00A0517F" w14:paraId="10BFC827" w14:textId="77777777" w:rsidTr="00F41459">
        <w:trPr>
          <w:trHeight w:val="227"/>
        </w:trPr>
        <w:tc>
          <w:tcPr>
            <w:tcW w:w="2266" w:type="pct"/>
            <w:shd w:val="clear" w:color="auto" w:fill="auto"/>
          </w:tcPr>
          <w:p w14:paraId="265E8C92" w14:textId="77777777" w:rsidR="008B1C85" w:rsidRPr="00A0517F" w:rsidRDefault="008B1C85" w:rsidP="008B1C85">
            <w:pPr>
              <w:pStyle w:val="Tabletext"/>
              <w:rPr>
                <w:rFonts w:cstheme="minorHAnsi"/>
              </w:rPr>
            </w:pPr>
            <w:r w:rsidRPr="00A0517F">
              <w:rPr>
                <w:rFonts w:cstheme="minorHAnsi"/>
              </w:rPr>
              <w:t>&gt;=85</w:t>
            </w:r>
          </w:p>
        </w:tc>
        <w:tc>
          <w:tcPr>
            <w:tcW w:w="1409" w:type="pct"/>
            <w:shd w:val="clear" w:color="auto" w:fill="auto"/>
          </w:tcPr>
          <w:p w14:paraId="144386B2" w14:textId="77777777" w:rsidR="008B1C85" w:rsidRPr="00A0517F" w:rsidRDefault="008B1C85" w:rsidP="008B1C85">
            <w:pPr>
              <w:pStyle w:val="Tabletext"/>
              <w:jc w:val="right"/>
              <w:rPr>
                <w:rFonts w:cstheme="minorHAnsi"/>
              </w:rPr>
            </w:pPr>
            <w:r w:rsidRPr="00A0517F">
              <w:rPr>
                <w:rFonts w:cstheme="minorHAnsi"/>
              </w:rPr>
              <w:t>6,533</w:t>
            </w:r>
          </w:p>
        </w:tc>
        <w:tc>
          <w:tcPr>
            <w:tcW w:w="1325" w:type="pct"/>
            <w:shd w:val="clear" w:color="auto" w:fill="auto"/>
          </w:tcPr>
          <w:p w14:paraId="7D932357" w14:textId="77777777" w:rsidR="008B1C85" w:rsidRPr="00A0517F" w:rsidRDefault="008B1C85" w:rsidP="008B1C85">
            <w:pPr>
              <w:pStyle w:val="Tabletext"/>
              <w:jc w:val="right"/>
              <w:rPr>
                <w:rFonts w:cstheme="minorHAnsi"/>
              </w:rPr>
            </w:pPr>
            <w:r w:rsidRPr="00A0517F">
              <w:rPr>
                <w:rFonts w:cstheme="minorHAnsi"/>
              </w:rPr>
              <w:t>2%</w:t>
            </w:r>
          </w:p>
        </w:tc>
      </w:tr>
      <w:tr w:rsidR="008B1C85" w:rsidRPr="00A0517F" w14:paraId="69B2C30E" w14:textId="77777777" w:rsidTr="008B1C85">
        <w:trPr>
          <w:trHeight w:val="227"/>
        </w:trPr>
        <w:tc>
          <w:tcPr>
            <w:tcW w:w="2266" w:type="pct"/>
            <w:shd w:val="clear" w:color="auto" w:fill="auto"/>
          </w:tcPr>
          <w:p w14:paraId="286E4A46" w14:textId="77777777" w:rsidR="008B1C85" w:rsidRPr="00A0517F" w:rsidRDefault="008B1C85" w:rsidP="008B1C85">
            <w:pPr>
              <w:pStyle w:val="Tabletext"/>
              <w:rPr>
                <w:rFonts w:cstheme="minorHAnsi"/>
                <w:b/>
              </w:rPr>
            </w:pPr>
            <w:r w:rsidRPr="00A0517F">
              <w:rPr>
                <w:rFonts w:cstheme="minorHAnsi"/>
                <w:b/>
              </w:rPr>
              <w:t>Total</w:t>
            </w:r>
          </w:p>
        </w:tc>
        <w:tc>
          <w:tcPr>
            <w:tcW w:w="1409" w:type="pct"/>
            <w:shd w:val="clear" w:color="auto" w:fill="auto"/>
          </w:tcPr>
          <w:p w14:paraId="2A242B8F" w14:textId="77777777" w:rsidR="008B1C85" w:rsidRPr="00A0517F" w:rsidRDefault="008B1C85" w:rsidP="008B1C85">
            <w:pPr>
              <w:pStyle w:val="Tabletext"/>
              <w:jc w:val="right"/>
              <w:rPr>
                <w:rFonts w:cstheme="minorHAnsi"/>
                <w:b/>
              </w:rPr>
            </w:pPr>
            <w:r w:rsidRPr="00A0517F">
              <w:rPr>
                <w:rFonts w:cstheme="minorHAnsi"/>
                <w:b/>
              </w:rPr>
              <w:t>270,258</w:t>
            </w:r>
          </w:p>
        </w:tc>
        <w:tc>
          <w:tcPr>
            <w:tcW w:w="1325" w:type="pct"/>
            <w:shd w:val="clear" w:color="auto" w:fill="auto"/>
          </w:tcPr>
          <w:p w14:paraId="48A7D568" w14:textId="77777777" w:rsidR="008B1C85" w:rsidRPr="00A0517F" w:rsidRDefault="008B1C85" w:rsidP="008B1C85">
            <w:pPr>
              <w:pStyle w:val="Tabletext"/>
              <w:jc w:val="right"/>
              <w:rPr>
                <w:rFonts w:cstheme="minorHAnsi"/>
                <w:b/>
              </w:rPr>
            </w:pPr>
            <w:r w:rsidRPr="00A0517F">
              <w:rPr>
                <w:rFonts w:cstheme="minorHAnsi"/>
                <w:b/>
              </w:rPr>
              <w:t>100%</w:t>
            </w:r>
          </w:p>
        </w:tc>
      </w:tr>
    </w:tbl>
    <w:p w14:paraId="09F1ECD8" w14:textId="77777777" w:rsidR="008B1C85" w:rsidRDefault="008B1C85" w:rsidP="008B1C85">
      <w:pPr>
        <w:pStyle w:val="09Tablefootnoteslast-nostick"/>
      </w:pPr>
      <w:r w:rsidRPr="00092105">
        <w:t>Source: Department of Health, Medical Benefits Division, Medicare Financing &amp; Listings Branch, MBS Analyti</w:t>
      </w:r>
      <w:r>
        <w:t>cs Section. Data received 11 January 2016.</w:t>
      </w:r>
    </w:p>
    <w:p w14:paraId="2117DE81" w14:textId="77777777" w:rsidR="00EF19DF" w:rsidRDefault="00EF19DF" w:rsidP="00DF3A06">
      <w:pPr>
        <w:pStyle w:val="Appcaption"/>
      </w:pPr>
      <w:r>
        <w:br w:type="page"/>
      </w:r>
    </w:p>
    <w:p w14:paraId="2BBFD202" w14:textId="77777777" w:rsidR="008B1C85" w:rsidRDefault="008B1C85" w:rsidP="00DF3A06">
      <w:pPr>
        <w:pStyle w:val="Appcaption"/>
      </w:pPr>
      <w:r>
        <w:lastRenderedPageBreak/>
        <w:t>Table A-3.4</w:t>
      </w:r>
      <w:r>
        <w:tab/>
        <w:t>Top ten item combinations with MBS item 11506, financial year 2014-15</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Look w:val="00A0" w:firstRow="1" w:lastRow="0" w:firstColumn="1" w:lastColumn="0" w:noHBand="0" w:noVBand="0"/>
        <w:tblDescription w:val="Ten most common MBS items combined with item 11506 in 2014-15 on the same occasion. "/>
      </w:tblPr>
      <w:tblGrid>
        <w:gridCol w:w="1267"/>
        <w:gridCol w:w="1135"/>
        <w:gridCol w:w="1134"/>
        <w:gridCol w:w="1134"/>
        <w:gridCol w:w="3260"/>
        <w:gridCol w:w="1125"/>
      </w:tblGrid>
      <w:tr w:rsidR="008B1C85" w:rsidRPr="00A0517F" w14:paraId="49BCB24F" w14:textId="77777777" w:rsidTr="00FF6AB5">
        <w:trPr>
          <w:trHeight w:val="227"/>
          <w:tblHeader/>
        </w:trPr>
        <w:tc>
          <w:tcPr>
            <w:tcW w:w="700" w:type="pct"/>
            <w:shd w:val="clear" w:color="auto" w:fill="366091"/>
          </w:tcPr>
          <w:p w14:paraId="78E853B7" w14:textId="77777777" w:rsidR="008B1C85" w:rsidRPr="00A0517F" w:rsidRDefault="008B1C85" w:rsidP="008B1C85">
            <w:pPr>
              <w:pStyle w:val="01Tableheadingorsubheading"/>
              <w:rPr>
                <w:rFonts w:cstheme="minorHAnsi"/>
              </w:rPr>
            </w:pPr>
            <w:r w:rsidRPr="00A0517F">
              <w:rPr>
                <w:rFonts w:cstheme="minorHAnsi"/>
              </w:rPr>
              <w:t xml:space="preserve">Item combination </w:t>
            </w:r>
          </w:p>
        </w:tc>
        <w:tc>
          <w:tcPr>
            <w:tcW w:w="627" w:type="pct"/>
            <w:shd w:val="clear" w:color="auto" w:fill="366091"/>
          </w:tcPr>
          <w:p w14:paraId="03E08E24" w14:textId="77777777" w:rsidR="008B1C85" w:rsidRPr="00A0517F" w:rsidRDefault="008B1C85" w:rsidP="008B1C85">
            <w:pPr>
              <w:pStyle w:val="01Tableheadingorsubheading"/>
              <w:jc w:val="right"/>
              <w:rPr>
                <w:rFonts w:cstheme="minorHAnsi"/>
              </w:rPr>
            </w:pPr>
            <w:r w:rsidRPr="00A0517F">
              <w:rPr>
                <w:rFonts w:cstheme="minorHAnsi"/>
              </w:rPr>
              <w:t>Number of Episodes</w:t>
            </w:r>
          </w:p>
        </w:tc>
        <w:tc>
          <w:tcPr>
            <w:tcW w:w="626" w:type="pct"/>
            <w:shd w:val="clear" w:color="auto" w:fill="366091"/>
          </w:tcPr>
          <w:p w14:paraId="58B9BBE4" w14:textId="77777777" w:rsidR="008B1C85" w:rsidRPr="00A0517F" w:rsidRDefault="008B1C85" w:rsidP="008B1C85">
            <w:pPr>
              <w:pStyle w:val="01Tableheadingorsubheading"/>
              <w:jc w:val="right"/>
              <w:rPr>
                <w:rFonts w:cstheme="minorHAnsi"/>
              </w:rPr>
            </w:pPr>
            <w:r w:rsidRPr="00A0517F">
              <w:rPr>
                <w:rFonts w:cstheme="minorHAnsi"/>
              </w:rPr>
              <w:t xml:space="preserve">Number of services </w:t>
            </w:r>
          </w:p>
        </w:tc>
        <w:tc>
          <w:tcPr>
            <w:tcW w:w="626" w:type="pct"/>
            <w:shd w:val="clear" w:color="auto" w:fill="366091"/>
          </w:tcPr>
          <w:p w14:paraId="6869F83C" w14:textId="77777777" w:rsidR="008B1C85" w:rsidRPr="00A0517F" w:rsidRDefault="008B1C85" w:rsidP="008B1C85">
            <w:pPr>
              <w:pStyle w:val="01Tableheadingorsubheading"/>
              <w:jc w:val="center"/>
              <w:rPr>
                <w:rFonts w:cstheme="minorHAnsi"/>
              </w:rPr>
            </w:pPr>
            <w:r w:rsidRPr="00A0517F">
              <w:rPr>
                <w:rFonts w:cstheme="minorHAnsi"/>
              </w:rPr>
              <w:t>% of total episodes</w:t>
            </w:r>
          </w:p>
        </w:tc>
        <w:tc>
          <w:tcPr>
            <w:tcW w:w="1800" w:type="pct"/>
            <w:shd w:val="clear" w:color="auto" w:fill="366091"/>
          </w:tcPr>
          <w:p w14:paraId="446510E7" w14:textId="77777777" w:rsidR="008B1C85" w:rsidRPr="00A0517F" w:rsidRDefault="008B1C85" w:rsidP="008B1C85">
            <w:pPr>
              <w:pStyle w:val="01Tableheadingorsubheading"/>
              <w:rPr>
                <w:rFonts w:cstheme="minorHAnsi"/>
              </w:rPr>
            </w:pPr>
            <w:r w:rsidRPr="00A0517F">
              <w:rPr>
                <w:rFonts w:cstheme="minorHAnsi"/>
              </w:rPr>
              <w:t>Description of episodes</w:t>
            </w:r>
          </w:p>
        </w:tc>
        <w:tc>
          <w:tcPr>
            <w:tcW w:w="621" w:type="pct"/>
            <w:shd w:val="clear" w:color="auto" w:fill="366091"/>
          </w:tcPr>
          <w:p w14:paraId="74465877" w14:textId="77777777" w:rsidR="008B1C85" w:rsidRPr="00A0517F" w:rsidRDefault="008B1C85" w:rsidP="008B1C85">
            <w:pPr>
              <w:pStyle w:val="01Tableheadingorsubheading"/>
              <w:jc w:val="right"/>
              <w:rPr>
                <w:rFonts w:cstheme="minorHAnsi"/>
              </w:rPr>
            </w:pPr>
            <w:r w:rsidRPr="00A0517F">
              <w:rPr>
                <w:rFonts w:cstheme="minorHAnsi"/>
              </w:rPr>
              <w:t>Average Schedule fee paid for combination</w:t>
            </w:r>
          </w:p>
        </w:tc>
      </w:tr>
      <w:tr w:rsidR="008B1C85" w:rsidRPr="00A0517F" w14:paraId="7F3C8280" w14:textId="77777777" w:rsidTr="008B1C85">
        <w:trPr>
          <w:trHeight w:val="227"/>
        </w:trPr>
        <w:tc>
          <w:tcPr>
            <w:tcW w:w="700" w:type="pct"/>
          </w:tcPr>
          <w:p w14:paraId="67115BE3" w14:textId="77777777" w:rsidR="008B1C85" w:rsidRPr="00A0517F" w:rsidRDefault="008B1C85" w:rsidP="008B1C85">
            <w:pPr>
              <w:pStyle w:val="Tabletext"/>
              <w:rPr>
                <w:rFonts w:cstheme="minorHAnsi"/>
              </w:rPr>
            </w:pPr>
            <w:r w:rsidRPr="00A0517F">
              <w:rPr>
                <w:rFonts w:cstheme="minorHAnsi"/>
              </w:rPr>
              <w:t>11506</w:t>
            </w:r>
          </w:p>
        </w:tc>
        <w:tc>
          <w:tcPr>
            <w:tcW w:w="627" w:type="pct"/>
          </w:tcPr>
          <w:p w14:paraId="1FFEEF7B" w14:textId="77777777" w:rsidR="008B1C85" w:rsidRPr="00A0517F" w:rsidRDefault="008B1C85" w:rsidP="008B1C85">
            <w:pPr>
              <w:pStyle w:val="Tabletext"/>
              <w:jc w:val="right"/>
              <w:rPr>
                <w:rFonts w:cstheme="minorHAnsi"/>
              </w:rPr>
            </w:pPr>
            <w:r w:rsidRPr="00A0517F">
              <w:rPr>
                <w:rFonts w:cstheme="minorHAnsi"/>
              </w:rPr>
              <w:t xml:space="preserve">292,504 </w:t>
            </w:r>
          </w:p>
        </w:tc>
        <w:tc>
          <w:tcPr>
            <w:tcW w:w="626" w:type="pct"/>
          </w:tcPr>
          <w:p w14:paraId="1235F743" w14:textId="77777777" w:rsidR="008B1C85" w:rsidRPr="00A0517F" w:rsidRDefault="008B1C85" w:rsidP="008B1C85">
            <w:pPr>
              <w:pStyle w:val="Tabletext"/>
              <w:jc w:val="right"/>
              <w:rPr>
                <w:rFonts w:cstheme="minorHAnsi"/>
              </w:rPr>
            </w:pPr>
            <w:r w:rsidRPr="00A0517F">
              <w:rPr>
                <w:rFonts w:cstheme="minorHAnsi"/>
              </w:rPr>
              <w:t xml:space="preserve">292,941 </w:t>
            </w:r>
          </w:p>
        </w:tc>
        <w:tc>
          <w:tcPr>
            <w:tcW w:w="626" w:type="pct"/>
          </w:tcPr>
          <w:p w14:paraId="3B5B73F2" w14:textId="77777777" w:rsidR="008B1C85" w:rsidRPr="00A0517F" w:rsidRDefault="008B1C85" w:rsidP="008B1C85">
            <w:pPr>
              <w:pStyle w:val="03Tabletextspacebefore"/>
              <w:jc w:val="center"/>
              <w:rPr>
                <w:rFonts w:asciiTheme="minorHAnsi" w:hAnsiTheme="minorHAnsi" w:cstheme="minorHAnsi"/>
              </w:rPr>
            </w:pPr>
            <w:r w:rsidRPr="00A0517F">
              <w:rPr>
                <w:rFonts w:asciiTheme="minorHAnsi" w:hAnsiTheme="minorHAnsi" w:cstheme="minorHAnsi"/>
              </w:rPr>
              <w:t>54%</w:t>
            </w:r>
          </w:p>
        </w:tc>
        <w:tc>
          <w:tcPr>
            <w:tcW w:w="1800" w:type="pct"/>
          </w:tcPr>
          <w:p w14:paraId="3E7BE401" w14:textId="77777777" w:rsidR="008B1C85" w:rsidRPr="00A0517F" w:rsidRDefault="008B1C85" w:rsidP="008B1C85">
            <w:pPr>
              <w:pStyle w:val="03Tabletextspacebefore"/>
              <w:rPr>
                <w:rFonts w:asciiTheme="minorHAnsi" w:hAnsiTheme="minorHAnsi" w:cstheme="minorHAnsi"/>
              </w:rPr>
            </w:pPr>
            <w:r w:rsidRPr="00A0517F">
              <w:rPr>
                <w:rFonts w:asciiTheme="minorHAnsi" w:hAnsiTheme="minorHAnsi" w:cstheme="minorHAnsi"/>
              </w:rPr>
              <w:t>Measurement of respiratory function after bronchodilator only</w:t>
            </w:r>
          </w:p>
        </w:tc>
        <w:tc>
          <w:tcPr>
            <w:tcW w:w="621" w:type="pct"/>
          </w:tcPr>
          <w:p w14:paraId="31E6D314"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16.83</w:t>
            </w:r>
          </w:p>
        </w:tc>
      </w:tr>
      <w:tr w:rsidR="008B1C85" w:rsidRPr="00A0517F" w14:paraId="48B127F9" w14:textId="77777777" w:rsidTr="0062545C">
        <w:trPr>
          <w:trHeight w:val="227"/>
        </w:trPr>
        <w:tc>
          <w:tcPr>
            <w:tcW w:w="700" w:type="pct"/>
            <w:shd w:val="clear" w:color="auto" w:fill="auto"/>
          </w:tcPr>
          <w:p w14:paraId="4F675957" w14:textId="77777777" w:rsidR="008B1C85" w:rsidRPr="00A0517F" w:rsidRDefault="008B1C85" w:rsidP="008B1C85">
            <w:pPr>
              <w:pStyle w:val="Tabletext"/>
              <w:rPr>
                <w:rFonts w:cstheme="minorHAnsi"/>
              </w:rPr>
            </w:pPr>
            <w:r w:rsidRPr="00A0517F">
              <w:rPr>
                <w:rFonts w:cstheme="minorHAnsi"/>
              </w:rPr>
              <w:t>11506, 00023</w:t>
            </w:r>
          </w:p>
        </w:tc>
        <w:tc>
          <w:tcPr>
            <w:tcW w:w="627" w:type="pct"/>
            <w:shd w:val="clear" w:color="auto" w:fill="auto"/>
          </w:tcPr>
          <w:p w14:paraId="4ADB4DB9" w14:textId="77777777" w:rsidR="008B1C85" w:rsidRPr="00A0517F" w:rsidRDefault="008B1C85" w:rsidP="008B1C85">
            <w:pPr>
              <w:pStyle w:val="Tabletext"/>
              <w:jc w:val="right"/>
              <w:rPr>
                <w:rFonts w:cstheme="minorHAnsi"/>
              </w:rPr>
            </w:pPr>
            <w:r w:rsidRPr="00A0517F">
              <w:rPr>
                <w:rFonts w:cstheme="minorHAnsi"/>
              </w:rPr>
              <w:t xml:space="preserve">85,177 </w:t>
            </w:r>
          </w:p>
        </w:tc>
        <w:tc>
          <w:tcPr>
            <w:tcW w:w="626" w:type="pct"/>
            <w:shd w:val="clear" w:color="auto" w:fill="auto"/>
          </w:tcPr>
          <w:p w14:paraId="5A419A5B" w14:textId="77777777" w:rsidR="008B1C85" w:rsidRPr="00A0517F" w:rsidRDefault="008B1C85" w:rsidP="008B1C85">
            <w:pPr>
              <w:pStyle w:val="Tabletext"/>
              <w:jc w:val="right"/>
              <w:rPr>
                <w:rFonts w:cstheme="minorHAnsi"/>
              </w:rPr>
            </w:pPr>
            <w:r w:rsidRPr="00A0517F">
              <w:rPr>
                <w:rFonts w:cstheme="minorHAnsi"/>
              </w:rPr>
              <w:t xml:space="preserve">170,865 </w:t>
            </w:r>
          </w:p>
        </w:tc>
        <w:tc>
          <w:tcPr>
            <w:tcW w:w="626" w:type="pct"/>
            <w:shd w:val="clear" w:color="auto" w:fill="auto"/>
          </w:tcPr>
          <w:p w14:paraId="21CB8155" w14:textId="77777777" w:rsidR="008B1C85" w:rsidRPr="00A0517F" w:rsidRDefault="008B1C85" w:rsidP="008B1C85">
            <w:pPr>
              <w:pStyle w:val="03Tabletextspacebefore"/>
              <w:jc w:val="center"/>
              <w:rPr>
                <w:rFonts w:asciiTheme="minorHAnsi" w:hAnsiTheme="minorHAnsi" w:cstheme="minorHAnsi"/>
              </w:rPr>
            </w:pPr>
            <w:r w:rsidRPr="00A0517F">
              <w:rPr>
                <w:rFonts w:asciiTheme="minorHAnsi" w:hAnsiTheme="minorHAnsi" w:cstheme="minorHAnsi"/>
              </w:rPr>
              <w:t>16%</w:t>
            </w:r>
          </w:p>
        </w:tc>
        <w:tc>
          <w:tcPr>
            <w:tcW w:w="1800" w:type="pct"/>
            <w:shd w:val="clear" w:color="auto" w:fill="auto"/>
          </w:tcPr>
          <w:p w14:paraId="172D5F6A" w14:textId="77777777" w:rsidR="008B1C85" w:rsidRPr="00A0517F" w:rsidRDefault="008B1C85" w:rsidP="008B1C85">
            <w:pPr>
              <w:pStyle w:val="03Tabletextspacebefore"/>
              <w:rPr>
                <w:rFonts w:asciiTheme="minorHAnsi" w:hAnsiTheme="minorHAnsi" w:cstheme="minorHAnsi"/>
              </w:rPr>
            </w:pPr>
            <w:r w:rsidRPr="00A0517F">
              <w:rPr>
                <w:rFonts w:asciiTheme="minorHAnsi" w:hAnsiTheme="minorHAnsi" w:cstheme="minorHAnsi"/>
              </w:rPr>
              <w:t xml:space="preserve">Measurement of respiratory function after bronchodilator &amp; Level B GP consultation </w:t>
            </w:r>
          </w:p>
        </w:tc>
        <w:tc>
          <w:tcPr>
            <w:tcW w:w="621" w:type="pct"/>
            <w:shd w:val="clear" w:color="auto" w:fill="auto"/>
          </w:tcPr>
          <w:p w14:paraId="42B22E90"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50.47</w:t>
            </w:r>
          </w:p>
        </w:tc>
      </w:tr>
      <w:tr w:rsidR="008B1C85" w:rsidRPr="00A0517F" w14:paraId="1DCC7478" w14:textId="77777777" w:rsidTr="008B1C85">
        <w:trPr>
          <w:trHeight w:val="227"/>
        </w:trPr>
        <w:tc>
          <w:tcPr>
            <w:tcW w:w="700" w:type="pct"/>
          </w:tcPr>
          <w:p w14:paraId="4F57573E" w14:textId="77777777" w:rsidR="008B1C85" w:rsidRPr="00A0517F" w:rsidRDefault="008B1C85" w:rsidP="008B1C85">
            <w:pPr>
              <w:pStyle w:val="Tabletext"/>
              <w:rPr>
                <w:rFonts w:cstheme="minorHAnsi"/>
              </w:rPr>
            </w:pPr>
            <w:r w:rsidRPr="00A0517F">
              <w:rPr>
                <w:rFonts w:cstheme="minorHAnsi"/>
              </w:rPr>
              <w:t>11506, 00036</w:t>
            </w:r>
          </w:p>
        </w:tc>
        <w:tc>
          <w:tcPr>
            <w:tcW w:w="627" w:type="pct"/>
          </w:tcPr>
          <w:p w14:paraId="64BAD2EB" w14:textId="77777777" w:rsidR="008B1C85" w:rsidRPr="00A0517F" w:rsidRDefault="008B1C85" w:rsidP="008B1C85">
            <w:pPr>
              <w:pStyle w:val="Tabletext"/>
              <w:jc w:val="right"/>
              <w:rPr>
                <w:rFonts w:cstheme="minorHAnsi"/>
              </w:rPr>
            </w:pPr>
            <w:r w:rsidRPr="00A0517F">
              <w:rPr>
                <w:rFonts w:cstheme="minorHAnsi"/>
              </w:rPr>
              <w:t xml:space="preserve">46,525 </w:t>
            </w:r>
          </w:p>
        </w:tc>
        <w:tc>
          <w:tcPr>
            <w:tcW w:w="626" w:type="pct"/>
          </w:tcPr>
          <w:p w14:paraId="6E3A62B3" w14:textId="77777777" w:rsidR="008B1C85" w:rsidRPr="00A0517F" w:rsidRDefault="008B1C85" w:rsidP="008B1C85">
            <w:pPr>
              <w:pStyle w:val="Tabletext"/>
              <w:jc w:val="right"/>
              <w:rPr>
                <w:rFonts w:cstheme="minorHAnsi"/>
              </w:rPr>
            </w:pPr>
            <w:r w:rsidRPr="00A0517F">
              <w:rPr>
                <w:rFonts w:cstheme="minorHAnsi"/>
              </w:rPr>
              <w:t xml:space="preserve">93,217 </w:t>
            </w:r>
          </w:p>
        </w:tc>
        <w:tc>
          <w:tcPr>
            <w:tcW w:w="626" w:type="pct"/>
          </w:tcPr>
          <w:p w14:paraId="50E96B5B" w14:textId="77777777" w:rsidR="008B1C85" w:rsidRPr="00A0517F" w:rsidRDefault="008B1C85" w:rsidP="008B1C85">
            <w:pPr>
              <w:pStyle w:val="03Tabletextspacebefore"/>
              <w:jc w:val="center"/>
              <w:rPr>
                <w:rFonts w:asciiTheme="minorHAnsi" w:hAnsiTheme="minorHAnsi" w:cstheme="minorHAnsi"/>
              </w:rPr>
            </w:pPr>
            <w:r w:rsidRPr="00A0517F">
              <w:rPr>
                <w:rFonts w:asciiTheme="minorHAnsi" w:hAnsiTheme="minorHAnsi" w:cstheme="minorHAnsi"/>
              </w:rPr>
              <w:t>9%</w:t>
            </w:r>
          </w:p>
        </w:tc>
        <w:tc>
          <w:tcPr>
            <w:tcW w:w="1800" w:type="pct"/>
          </w:tcPr>
          <w:p w14:paraId="25C8657E" w14:textId="77777777" w:rsidR="008B1C85" w:rsidRPr="00A0517F" w:rsidRDefault="008B1C85" w:rsidP="008B1C85">
            <w:pPr>
              <w:pStyle w:val="03Tabletextspacebefore"/>
              <w:rPr>
                <w:rFonts w:asciiTheme="minorHAnsi" w:hAnsiTheme="minorHAnsi" w:cstheme="minorHAnsi"/>
              </w:rPr>
            </w:pPr>
            <w:r w:rsidRPr="00A0517F">
              <w:rPr>
                <w:rFonts w:asciiTheme="minorHAnsi" w:hAnsiTheme="minorHAnsi" w:cstheme="minorHAnsi"/>
              </w:rPr>
              <w:t>Measurement of respiratory function after bronchodilator &amp; Level C GP consultation</w:t>
            </w:r>
          </w:p>
        </w:tc>
        <w:tc>
          <w:tcPr>
            <w:tcW w:w="621" w:type="pct"/>
          </w:tcPr>
          <w:p w14:paraId="13EA47AD"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43.83</w:t>
            </w:r>
          </w:p>
        </w:tc>
      </w:tr>
      <w:tr w:rsidR="008B1C85" w:rsidRPr="00A0517F" w14:paraId="1ACC00D6" w14:textId="77777777" w:rsidTr="0062545C">
        <w:trPr>
          <w:trHeight w:val="227"/>
        </w:trPr>
        <w:tc>
          <w:tcPr>
            <w:tcW w:w="700" w:type="pct"/>
            <w:shd w:val="clear" w:color="auto" w:fill="auto"/>
          </w:tcPr>
          <w:p w14:paraId="479CD10C" w14:textId="77777777" w:rsidR="008B1C85" w:rsidRPr="00A0517F" w:rsidRDefault="008B1C85" w:rsidP="008B1C85">
            <w:pPr>
              <w:pStyle w:val="Tabletext"/>
              <w:rPr>
                <w:rFonts w:cstheme="minorHAnsi"/>
              </w:rPr>
            </w:pPr>
            <w:r w:rsidRPr="00A0517F">
              <w:rPr>
                <w:rFonts w:cstheme="minorHAnsi"/>
              </w:rPr>
              <w:t>11506, 00116</w:t>
            </w:r>
          </w:p>
        </w:tc>
        <w:tc>
          <w:tcPr>
            <w:tcW w:w="627" w:type="pct"/>
            <w:shd w:val="clear" w:color="auto" w:fill="auto"/>
          </w:tcPr>
          <w:p w14:paraId="660C8EB3" w14:textId="77777777" w:rsidR="008B1C85" w:rsidRPr="00A0517F" w:rsidRDefault="008B1C85" w:rsidP="008B1C85">
            <w:pPr>
              <w:pStyle w:val="Tabletext"/>
              <w:jc w:val="right"/>
              <w:rPr>
                <w:rFonts w:cstheme="minorHAnsi"/>
              </w:rPr>
            </w:pPr>
            <w:r w:rsidRPr="00A0517F">
              <w:rPr>
                <w:rFonts w:cstheme="minorHAnsi"/>
              </w:rPr>
              <w:t xml:space="preserve">21,222 </w:t>
            </w:r>
          </w:p>
        </w:tc>
        <w:tc>
          <w:tcPr>
            <w:tcW w:w="626" w:type="pct"/>
            <w:shd w:val="clear" w:color="auto" w:fill="auto"/>
          </w:tcPr>
          <w:p w14:paraId="0ACB64F6" w14:textId="77777777" w:rsidR="008B1C85" w:rsidRPr="00A0517F" w:rsidRDefault="008B1C85" w:rsidP="008B1C85">
            <w:pPr>
              <w:pStyle w:val="Tabletext"/>
              <w:jc w:val="right"/>
              <w:rPr>
                <w:rFonts w:cstheme="minorHAnsi"/>
              </w:rPr>
            </w:pPr>
            <w:r w:rsidRPr="00A0517F">
              <w:rPr>
                <w:rFonts w:cstheme="minorHAnsi"/>
              </w:rPr>
              <w:t xml:space="preserve">42,455 </w:t>
            </w:r>
          </w:p>
        </w:tc>
        <w:tc>
          <w:tcPr>
            <w:tcW w:w="626" w:type="pct"/>
            <w:shd w:val="clear" w:color="auto" w:fill="auto"/>
          </w:tcPr>
          <w:p w14:paraId="37ECF57A" w14:textId="77777777" w:rsidR="008B1C85" w:rsidRPr="00A0517F" w:rsidRDefault="008B1C85" w:rsidP="008B1C85">
            <w:pPr>
              <w:pStyle w:val="03Tabletextspacebefore"/>
              <w:jc w:val="center"/>
              <w:rPr>
                <w:rFonts w:asciiTheme="minorHAnsi" w:hAnsiTheme="minorHAnsi" w:cstheme="minorHAnsi"/>
              </w:rPr>
            </w:pPr>
            <w:r w:rsidRPr="00A0517F">
              <w:rPr>
                <w:rFonts w:asciiTheme="minorHAnsi" w:hAnsiTheme="minorHAnsi" w:cstheme="minorHAnsi"/>
              </w:rPr>
              <w:t>4%</w:t>
            </w:r>
          </w:p>
        </w:tc>
        <w:tc>
          <w:tcPr>
            <w:tcW w:w="1800" w:type="pct"/>
            <w:shd w:val="clear" w:color="auto" w:fill="auto"/>
          </w:tcPr>
          <w:p w14:paraId="1892276F" w14:textId="77777777" w:rsidR="008B1C85" w:rsidRPr="00A0517F" w:rsidRDefault="008B1C85" w:rsidP="008B1C85">
            <w:pPr>
              <w:pStyle w:val="03Tabletextspacebefore"/>
              <w:rPr>
                <w:rFonts w:asciiTheme="minorHAnsi" w:hAnsiTheme="minorHAnsi" w:cstheme="minorHAnsi"/>
              </w:rPr>
            </w:pPr>
            <w:r w:rsidRPr="00A0517F">
              <w:rPr>
                <w:rFonts w:asciiTheme="minorHAnsi" w:hAnsiTheme="minorHAnsi" w:cstheme="minorHAnsi"/>
              </w:rPr>
              <w:t>Measurement of respiratory function after bronchodilator &amp; subsequent consultant physician consultation</w:t>
            </w:r>
          </w:p>
        </w:tc>
        <w:tc>
          <w:tcPr>
            <w:tcW w:w="621" w:type="pct"/>
            <w:shd w:val="clear" w:color="auto" w:fill="auto"/>
          </w:tcPr>
          <w:p w14:paraId="39FF8632"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86.42</w:t>
            </w:r>
          </w:p>
        </w:tc>
      </w:tr>
      <w:tr w:rsidR="008B1C85" w:rsidRPr="00A0517F" w14:paraId="70CD5ECB" w14:textId="77777777" w:rsidTr="008B1C85">
        <w:trPr>
          <w:trHeight w:val="227"/>
        </w:trPr>
        <w:tc>
          <w:tcPr>
            <w:tcW w:w="700" w:type="pct"/>
          </w:tcPr>
          <w:p w14:paraId="1F48CEF6" w14:textId="77777777" w:rsidR="008B1C85" w:rsidRPr="00A0517F" w:rsidRDefault="008B1C85" w:rsidP="008B1C85">
            <w:pPr>
              <w:pStyle w:val="Tabletext"/>
              <w:rPr>
                <w:rFonts w:cstheme="minorHAnsi"/>
              </w:rPr>
            </w:pPr>
            <w:r w:rsidRPr="00A0517F">
              <w:rPr>
                <w:rFonts w:cstheme="minorHAnsi"/>
              </w:rPr>
              <w:t>11506, 00110</w:t>
            </w:r>
          </w:p>
        </w:tc>
        <w:tc>
          <w:tcPr>
            <w:tcW w:w="627" w:type="pct"/>
          </w:tcPr>
          <w:p w14:paraId="47387634" w14:textId="77777777" w:rsidR="008B1C85" w:rsidRPr="00A0517F" w:rsidRDefault="008B1C85" w:rsidP="008B1C85">
            <w:pPr>
              <w:pStyle w:val="Tabletext"/>
              <w:jc w:val="right"/>
              <w:rPr>
                <w:rFonts w:cstheme="minorHAnsi"/>
              </w:rPr>
            </w:pPr>
            <w:r w:rsidRPr="00A0517F">
              <w:rPr>
                <w:rFonts w:cstheme="minorHAnsi"/>
              </w:rPr>
              <w:t xml:space="preserve">10,697 </w:t>
            </w:r>
          </w:p>
        </w:tc>
        <w:tc>
          <w:tcPr>
            <w:tcW w:w="626" w:type="pct"/>
          </w:tcPr>
          <w:p w14:paraId="5C1B83A1" w14:textId="77777777" w:rsidR="008B1C85" w:rsidRPr="00A0517F" w:rsidRDefault="008B1C85" w:rsidP="008B1C85">
            <w:pPr>
              <w:pStyle w:val="Tabletext"/>
              <w:jc w:val="right"/>
              <w:rPr>
                <w:rFonts w:cstheme="minorHAnsi"/>
              </w:rPr>
            </w:pPr>
            <w:r w:rsidRPr="00A0517F">
              <w:rPr>
                <w:rFonts w:cstheme="minorHAnsi"/>
              </w:rPr>
              <w:t xml:space="preserve">21,395 </w:t>
            </w:r>
          </w:p>
        </w:tc>
        <w:tc>
          <w:tcPr>
            <w:tcW w:w="626" w:type="pct"/>
          </w:tcPr>
          <w:p w14:paraId="2695900E" w14:textId="77777777" w:rsidR="008B1C85" w:rsidRPr="00A0517F" w:rsidRDefault="008B1C85" w:rsidP="008B1C85">
            <w:pPr>
              <w:pStyle w:val="03Tabletextspacebefore"/>
              <w:jc w:val="center"/>
              <w:rPr>
                <w:rFonts w:asciiTheme="minorHAnsi" w:hAnsiTheme="minorHAnsi" w:cstheme="minorHAnsi"/>
              </w:rPr>
            </w:pPr>
            <w:r w:rsidRPr="00A0517F">
              <w:rPr>
                <w:rFonts w:asciiTheme="minorHAnsi" w:hAnsiTheme="minorHAnsi" w:cstheme="minorHAnsi"/>
              </w:rPr>
              <w:t>2%</w:t>
            </w:r>
          </w:p>
        </w:tc>
        <w:tc>
          <w:tcPr>
            <w:tcW w:w="1800" w:type="pct"/>
          </w:tcPr>
          <w:p w14:paraId="52C43763" w14:textId="77777777" w:rsidR="008B1C85" w:rsidRPr="00A0517F" w:rsidRDefault="008B1C85" w:rsidP="008B1C85">
            <w:pPr>
              <w:pStyle w:val="03Tabletextspacebefore"/>
              <w:rPr>
                <w:rFonts w:asciiTheme="minorHAnsi" w:hAnsiTheme="minorHAnsi" w:cstheme="minorHAnsi"/>
              </w:rPr>
            </w:pPr>
            <w:r w:rsidRPr="00A0517F">
              <w:rPr>
                <w:rFonts w:asciiTheme="minorHAnsi" w:hAnsiTheme="minorHAnsi" w:cstheme="minorHAnsi"/>
              </w:rPr>
              <w:t>Measurement of respiratory function after bronchodilator &amp; initial consultant physician consultation</w:t>
            </w:r>
          </w:p>
        </w:tc>
        <w:tc>
          <w:tcPr>
            <w:tcW w:w="621" w:type="pct"/>
          </w:tcPr>
          <w:p w14:paraId="4C8DA3AF"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49.04</w:t>
            </w:r>
          </w:p>
        </w:tc>
      </w:tr>
      <w:tr w:rsidR="008B1C85" w:rsidRPr="00A0517F" w14:paraId="75323F12" w14:textId="77777777" w:rsidTr="0062545C">
        <w:trPr>
          <w:trHeight w:val="227"/>
        </w:trPr>
        <w:tc>
          <w:tcPr>
            <w:tcW w:w="700" w:type="pct"/>
            <w:shd w:val="clear" w:color="auto" w:fill="auto"/>
          </w:tcPr>
          <w:p w14:paraId="11BA7302" w14:textId="77777777" w:rsidR="008B1C85" w:rsidRPr="00A0517F" w:rsidRDefault="008B1C85" w:rsidP="008B1C85">
            <w:pPr>
              <w:pStyle w:val="Tabletext"/>
              <w:rPr>
                <w:rFonts w:cstheme="minorHAnsi"/>
              </w:rPr>
            </w:pPr>
            <w:r w:rsidRPr="00A0517F">
              <w:rPr>
                <w:rFonts w:cstheme="minorHAnsi"/>
              </w:rPr>
              <w:t>11700, 11506</w:t>
            </w:r>
          </w:p>
        </w:tc>
        <w:tc>
          <w:tcPr>
            <w:tcW w:w="627" w:type="pct"/>
            <w:shd w:val="clear" w:color="auto" w:fill="auto"/>
          </w:tcPr>
          <w:p w14:paraId="38DABE83" w14:textId="77777777" w:rsidR="008B1C85" w:rsidRPr="00A0517F" w:rsidRDefault="008B1C85" w:rsidP="008B1C85">
            <w:pPr>
              <w:pStyle w:val="Tabletext"/>
              <w:jc w:val="right"/>
              <w:rPr>
                <w:rFonts w:cstheme="minorHAnsi"/>
              </w:rPr>
            </w:pPr>
            <w:r w:rsidRPr="00A0517F">
              <w:rPr>
                <w:rFonts w:cstheme="minorHAnsi"/>
              </w:rPr>
              <w:t xml:space="preserve">10,111 </w:t>
            </w:r>
          </w:p>
        </w:tc>
        <w:tc>
          <w:tcPr>
            <w:tcW w:w="626" w:type="pct"/>
            <w:shd w:val="clear" w:color="auto" w:fill="auto"/>
          </w:tcPr>
          <w:p w14:paraId="3ACB7691" w14:textId="77777777" w:rsidR="008B1C85" w:rsidRPr="00A0517F" w:rsidRDefault="008B1C85" w:rsidP="008B1C85">
            <w:pPr>
              <w:pStyle w:val="Tabletext"/>
              <w:jc w:val="right"/>
              <w:rPr>
                <w:rFonts w:cstheme="minorHAnsi"/>
              </w:rPr>
            </w:pPr>
            <w:r w:rsidRPr="00A0517F">
              <w:rPr>
                <w:rFonts w:cstheme="minorHAnsi"/>
              </w:rPr>
              <w:t xml:space="preserve">20,251 </w:t>
            </w:r>
          </w:p>
        </w:tc>
        <w:tc>
          <w:tcPr>
            <w:tcW w:w="626" w:type="pct"/>
            <w:shd w:val="clear" w:color="auto" w:fill="auto"/>
          </w:tcPr>
          <w:p w14:paraId="2A905D63" w14:textId="77777777" w:rsidR="008B1C85" w:rsidRPr="00A0517F" w:rsidRDefault="008B1C85" w:rsidP="008B1C85">
            <w:pPr>
              <w:pStyle w:val="03Tabletextspacebefore"/>
              <w:jc w:val="center"/>
              <w:rPr>
                <w:rFonts w:asciiTheme="minorHAnsi" w:hAnsiTheme="minorHAnsi" w:cstheme="minorHAnsi"/>
              </w:rPr>
            </w:pPr>
            <w:r w:rsidRPr="00A0517F">
              <w:rPr>
                <w:rFonts w:asciiTheme="minorHAnsi" w:hAnsiTheme="minorHAnsi" w:cstheme="minorHAnsi"/>
              </w:rPr>
              <w:t>2%</w:t>
            </w:r>
          </w:p>
        </w:tc>
        <w:tc>
          <w:tcPr>
            <w:tcW w:w="1800" w:type="pct"/>
            <w:shd w:val="clear" w:color="auto" w:fill="auto"/>
          </w:tcPr>
          <w:p w14:paraId="7F5B6817" w14:textId="77777777" w:rsidR="008B1C85" w:rsidRPr="00A0517F" w:rsidRDefault="008B1C85" w:rsidP="008B1C85">
            <w:pPr>
              <w:pStyle w:val="03Tabletextspacebefore"/>
              <w:rPr>
                <w:rFonts w:asciiTheme="minorHAnsi" w:hAnsiTheme="minorHAnsi" w:cstheme="minorHAnsi"/>
              </w:rPr>
            </w:pPr>
            <w:r w:rsidRPr="00A0517F">
              <w:rPr>
                <w:rFonts w:asciiTheme="minorHAnsi" w:hAnsiTheme="minorHAnsi" w:cstheme="minorHAnsi"/>
              </w:rPr>
              <w:t>Measurement of respiratory function after bronchodilator &amp; 12 lead ECG</w:t>
            </w:r>
          </w:p>
        </w:tc>
        <w:tc>
          <w:tcPr>
            <w:tcW w:w="621" w:type="pct"/>
            <w:shd w:val="clear" w:color="auto" w:fill="auto"/>
          </w:tcPr>
          <w:p w14:paraId="70B54558"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119.84</w:t>
            </w:r>
          </w:p>
        </w:tc>
      </w:tr>
      <w:tr w:rsidR="008B1C85" w:rsidRPr="00A0517F" w14:paraId="28F0333B" w14:textId="77777777" w:rsidTr="008B1C85">
        <w:trPr>
          <w:trHeight w:val="227"/>
        </w:trPr>
        <w:tc>
          <w:tcPr>
            <w:tcW w:w="700" w:type="pct"/>
          </w:tcPr>
          <w:p w14:paraId="23AA8A5B" w14:textId="77777777" w:rsidR="008B1C85" w:rsidRPr="00A0517F" w:rsidRDefault="008B1C85" w:rsidP="008B1C85">
            <w:pPr>
              <w:pStyle w:val="Tabletext"/>
              <w:rPr>
                <w:rFonts w:cstheme="minorHAnsi"/>
              </w:rPr>
            </w:pPr>
            <w:r w:rsidRPr="00A0517F">
              <w:rPr>
                <w:rFonts w:cstheme="minorHAnsi"/>
              </w:rPr>
              <w:t>11700, 11506, 00036</w:t>
            </w:r>
          </w:p>
        </w:tc>
        <w:tc>
          <w:tcPr>
            <w:tcW w:w="627" w:type="pct"/>
          </w:tcPr>
          <w:p w14:paraId="608A7F6D" w14:textId="77777777" w:rsidR="008B1C85" w:rsidRPr="00A0517F" w:rsidRDefault="008B1C85" w:rsidP="008B1C85">
            <w:pPr>
              <w:pStyle w:val="Tabletext"/>
              <w:jc w:val="right"/>
              <w:rPr>
                <w:rFonts w:cstheme="minorHAnsi"/>
              </w:rPr>
            </w:pPr>
            <w:r w:rsidRPr="00A0517F">
              <w:rPr>
                <w:rFonts w:cstheme="minorHAnsi"/>
              </w:rPr>
              <w:t xml:space="preserve">9,803 </w:t>
            </w:r>
          </w:p>
        </w:tc>
        <w:tc>
          <w:tcPr>
            <w:tcW w:w="626" w:type="pct"/>
          </w:tcPr>
          <w:p w14:paraId="3C47658B" w14:textId="77777777" w:rsidR="008B1C85" w:rsidRPr="00A0517F" w:rsidRDefault="008B1C85" w:rsidP="008B1C85">
            <w:pPr>
              <w:pStyle w:val="Tabletext"/>
              <w:jc w:val="right"/>
              <w:rPr>
                <w:rFonts w:cstheme="minorHAnsi"/>
              </w:rPr>
            </w:pPr>
            <w:r w:rsidRPr="00A0517F">
              <w:rPr>
                <w:rFonts w:cstheme="minorHAnsi"/>
              </w:rPr>
              <w:t xml:space="preserve">29,436 </w:t>
            </w:r>
          </w:p>
        </w:tc>
        <w:tc>
          <w:tcPr>
            <w:tcW w:w="626" w:type="pct"/>
          </w:tcPr>
          <w:p w14:paraId="1A0F6362" w14:textId="77777777" w:rsidR="008B1C85" w:rsidRPr="00A0517F" w:rsidRDefault="008B1C85" w:rsidP="008B1C85">
            <w:pPr>
              <w:pStyle w:val="03Tabletextspacebefore"/>
              <w:jc w:val="center"/>
              <w:rPr>
                <w:rFonts w:asciiTheme="minorHAnsi" w:hAnsiTheme="minorHAnsi" w:cstheme="minorHAnsi"/>
              </w:rPr>
            </w:pPr>
            <w:r w:rsidRPr="00A0517F">
              <w:rPr>
                <w:rFonts w:asciiTheme="minorHAnsi" w:hAnsiTheme="minorHAnsi" w:cstheme="minorHAnsi"/>
              </w:rPr>
              <w:t>2%</w:t>
            </w:r>
          </w:p>
        </w:tc>
        <w:tc>
          <w:tcPr>
            <w:tcW w:w="1800" w:type="pct"/>
          </w:tcPr>
          <w:p w14:paraId="5B6470EE" w14:textId="77777777" w:rsidR="008B1C85" w:rsidRPr="00A0517F" w:rsidRDefault="008B1C85" w:rsidP="008B1C85">
            <w:pPr>
              <w:pStyle w:val="03Tabletextspacebefore"/>
              <w:rPr>
                <w:rFonts w:asciiTheme="minorHAnsi" w:hAnsiTheme="minorHAnsi" w:cstheme="minorHAnsi"/>
              </w:rPr>
            </w:pPr>
            <w:r w:rsidRPr="00A0517F">
              <w:rPr>
                <w:rFonts w:asciiTheme="minorHAnsi" w:hAnsiTheme="minorHAnsi" w:cstheme="minorHAnsi"/>
              </w:rPr>
              <w:t>Measurement of respiratory function after bronchodilator, 12 lead ECG &amp; Level C ECG</w:t>
            </w:r>
          </w:p>
        </w:tc>
        <w:tc>
          <w:tcPr>
            <w:tcW w:w="621" w:type="pct"/>
          </w:tcPr>
          <w:p w14:paraId="374D3B7E"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155.17</w:t>
            </w:r>
          </w:p>
        </w:tc>
      </w:tr>
      <w:tr w:rsidR="008B1C85" w:rsidRPr="00A0517F" w14:paraId="7E54E484" w14:textId="77777777" w:rsidTr="0062545C">
        <w:trPr>
          <w:trHeight w:val="227"/>
        </w:trPr>
        <w:tc>
          <w:tcPr>
            <w:tcW w:w="700" w:type="pct"/>
            <w:shd w:val="clear" w:color="auto" w:fill="auto"/>
          </w:tcPr>
          <w:p w14:paraId="21EA2BD6" w14:textId="77777777" w:rsidR="008B1C85" w:rsidRPr="00A0517F" w:rsidRDefault="008B1C85" w:rsidP="008B1C85">
            <w:pPr>
              <w:pStyle w:val="Tabletext"/>
              <w:rPr>
                <w:rFonts w:cstheme="minorHAnsi"/>
              </w:rPr>
            </w:pPr>
            <w:r w:rsidRPr="00A0517F">
              <w:rPr>
                <w:rFonts w:cstheme="minorHAnsi"/>
              </w:rPr>
              <w:t>11506, 00721</w:t>
            </w:r>
          </w:p>
        </w:tc>
        <w:tc>
          <w:tcPr>
            <w:tcW w:w="627" w:type="pct"/>
            <w:shd w:val="clear" w:color="auto" w:fill="auto"/>
          </w:tcPr>
          <w:p w14:paraId="2FA07C92" w14:textId="77777777" w:rsidR="008B1C85" w:rsidRPr="00A0517F" w:rsidRDefault="008B1C85" w:rsidP="008B1C85">
            <w:pPr>
              <w:pStyle w:val="Tabletext"/>
              <w:jc w:val="right"/>
              <w:rPr>
                <w:rFonts w:cstheme="minorHAnsi"/>
              </w:rPr>
            </w:pPr>
            <w:r w:rsidRPr="00A0517F">
              <w:rPr>
                <w:rFonts w:cstheme="minorHAnsi"/>
              </w:rPr>
              <w:t xml:space="preserve">9,226 </w:t>
            </w:r>
          </w:p>
        </w:tc>
        <w:tc>
          <w:tcPr>
            <w:tcW w:w="626" w:type="pct"/>
            <w:shd w:val="clear" w:color="auto" w:fill="auto"/>
          </w:tcPr>
          <w:p w14:paraId="3AD7BFFC" w14:textId="77777777" w:rsidR="008B1C85" w:rsidRPr="00A0517F" w:rsidRDefault="008B1C85" w:rsidP="008B1C85">
            <w:pPr>
              <w:pStyle w:val="Tabletext"/>
              <w:jc w:val="right"/>
              <w:rPr>
                <w:rFonts w:cstheme="minorHAnsi"/>
              </w:rPr>
            </w:pPr>
            <w:r w:rsidRPr="00A0517F">
              <w:rPr>
                <w:rFonts w:cstheme="minorHAnsi"/>
              </w:rPr>
              <w:t xml:space="preserve">18,476 </w:t>
            </w:r>
          </w:p>
        </w:tc>
        <w:tc>
          <w:tcPr>
            <w:tcW w:w="626" w:type="pct"/>
            <w:shd w:val="clear" w:color="auto" w:fill="auto"/>
          </w:tcPr>
          <w:p w14:paraId="01ED0350" w14:textId="77777777" w:rsidR="008B1C85" w:rsidRPr="00A0517F" w:rsidRDefault="008B1C85" w:rsidP="008B1C85">
            <w:pPr>
              <w:pStyle w:val="03Tabletextspacebefore"/>
              <w:jc w:val="center"/>
              <w:rPr>
                <w:rFonts w:asciiTheme="minorHAnsi" w:hAnsiTheme="minorHAnsi" w:cstheme="minorHAnsi"/>
              </w:rPr>
            </w:pPr>
            <w:r w:rsidRPr="00A0517F">
              <w:rPr>
                <w:rFonts w:asciiTheme="minorHAnsi" w:hAnsiTheme="minorHAnsi" w:cstheme="minorHAnsi"/>
              </w:rPr>
              <w:t>2%</w:t>
            </w:r>
          </w:p>
        </w:tc>
        <w:tc>
          <w:tcPr>
            <w:tcW w:w="1800" w:type="pct"/>
            <w:shd w:val="clear" w:color="auto" w:fill="auto"/>
          </w:tcPr>
          <w:p w14:paraId="7CA4C297" w14:textId="77777777" w:rsidR="008B1C85" w:rsidRPr="00A0517F" w:rsidRDefault="008B1C85" w:rsidP="008B1C85">
            <w:pPr>
              <w:pStyle w:val="03Tabletextspacebefore"/>
              <w:rPr>
                <w:rFonts w:asciiTheme="minorHAnsi" w:hAnsiTheme="minorHAnsi" w:cstheme="minorHAnsi"/>
              </w:rPr>
            </w:pPr>
            <w:r w:rsidRPr="00A0517F">
              <w:rPr>
                <w:rFonts w:asciiTheme="minorHAnsi" w:hAnsiTheme="minorHAnsi" w:cstheme="minorHAnsi"/>
              </w:rPr>
              <w:t xml:space="preserve">Measurement of respiratory function after bronchodilator &amp; Chronic Disease Management plan </w:t>
            </w:r>
          </w:p>
        </w:tc>
        <w:tc>
          <w:tcPr>
            <w:tcW w:w="621" w:type="pct"/>
            <w:shd w:val="clear" w:color="auto" w:fill="auto"/>
          </w:tcPr>
          <w:p w14:paraId="57CA1357"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79.18</w:t>
            </w:r>
          </w:p>
        </w:tc>
      </w:tr>
      <w:tr w:rsidR="008B1C85" w:rsidRPr="00A0517F" w14:paraId="76798DCF" w14:textId="77777777" w:rsidTr="008B1C85">
        <w:trPr>
          <w:trHeight w:val="227"/>
        </w:trPr>
        <w:tc>
          <w:tcPr>
            <w:tcW w:w="700" w:type="pct"/>
          </w:tcPr>
          <w:p w14:paraId="19CF9C15" w14:textId="77777777" w:rsidR="008B1C85" w:rsidRPr="00A0517F" w:rsidRDefault="008B1C85" w:rsidP="008B1C85">
            <w:pPr>
              <w:pStyle w:val="Tabletext"/>
              <w:rPr>
                <w:rFonts w:cstheme="minorHAnsi"/>
              </w:rPr>
            </w:pPr>
            <w:r w:rsidRPr="00A0517F">
              <w:rPr>
                <w:rFonts w:cstheme="minorHAnsi"/>
              </w:rPr>
              <w:t>11700, 11506, 00023</w:t>
            </w:r>
          </w:p>
        </w:tc>
        <w:tc>
          <w:tcPr>
            <w:tcW w:w="627" w:type="pct"/>
          </w:tcPr>
          <w:p w14:paraId="4CA39C7B" w14:textId="77777777" w:rsidR="008B1C85" w:rsidRPr="00A0517F" w:rsidRDefault="008B1C85" w:rsidP="008B1C85">
            <w:pPr>
              <w:pStyle w:val="Tabletext"/>
              <w:jc w:val="right"/>
              <w:rPr>
                <w:rFonts w:cstheme="minorHAnsi"/>
              </w:rPr>
            </w:pPr>
            <w:r w:rsidRPr="00A0517F">
              <w:rPr>
                <w:rFonts w:cstheme="minorHAnsi"/>
              </w:rPr>
              <w:t xml:space="preserve">8,194 </w:t>
            </w:r>
          </w:p>
        </w:tc>
        <w:tc>
          <w:tcPr>
            <w:tcW w:w="626" w:type="pct"/>
          </w:tcPr>
          <w:p w14:paraId="3BB70622" w14:textId="77777777" w:rsidR="008B1C85" w:rsidRPr="00A0517F" w:rsidRDefault="008B1C85" w:rsidP="008B1C85">
            <w:pPr>
              <w:pStyle w:val="Tabletext"/>
              <w:jc w:val="right"/>
              <w:rPr>
                <w:rFonts w:cstheme="minorHAnsi"/>
              </w:rPr>
            </w:pPr>
            <w:r w:rsidRPr="00A0517F">
              <w:rPr>
                <w:rFonts w:cstheme="minorHAnsi"/>
              </w:rPr>
              <w:t xml:space="preserve">24,655 </w:t>
            </w:r>
          </w:p>
        </w:tc>
        <w:tc>
          <w:tcPr>
            <w:tcW w:w="626" w:type="pct"/>
          </w:tcPr>
          <w:p w14:paraId="77730BF5" w14:textId="77777777" w:rsidR="008B1C85" w:rsidRPr="00A0517F" w:rsidRDefault="008B1C85" w:rsidP="008B1C85">
            <w:pPr>
              <w:pStyle w:val="03Tabletextspacebefore"/>
              <w:jc w:val="center"/>
              <w:rPr>
                <w:rFonts w:asciiTheme="minorHAnsi" w:hAnsiTheme="minorHAnsi" w:cstheme="minorHAnsi"/>
              </w:rPr>
            </w:pPr>
            <w:r w:rsidRPr="00A0517F">
              <w:rPr>
                <w:rFonts w:asciiTheme="minorHAnsi" w:hAnsiTheme="minorHAnsi" w:cstheme="minorHAnsi"/>
              </w:rPr>
              <w:t>2%</w:t>
            </w:r>
          </w:p>
        </w:tc>
        <w:tc>
          <w:tcPr>
            <w:tcW w:w="1800" w:type="pct"/>
          </w:tcPr>
          <w:p w14:paraId="139EAC65" w14:textId="77777777" w:rsidR="008B1C85" w:rsidRPr="00A0517F" w:rsidRDefault="008B1C85" w:rsidP="008B1C85">
            <w:pPr>
              <w:pStyle w:val="03Tabletextspacebefore"/>
              <w:rPr>
                <w:rFonts w:asciiTheme="minorHAnsi" w:hAnsiTheme="minorHAnsi" w:cstheme="minorHAnsi"/>
              </w:rPr>
            </w:pPr>
            <w:r w:rsidRPr="00A0517F">
              <w:rPr>
                <w:rFonts w:asciiTheme="minorHAnsi" w:hAnsiTheme="minorHAnsi" w:cstheme="minorHAnsi"/>
              </w:rPr>
              <w:t>Measurement of respiratory function after bronchodilator, 12 lead ECG &amp; Level B GP consultation</w:t>
            </w:r>
          </w:p>
        </w:tc>
        <w:tc>
          <w:tcPr>
            <w:tcW w:w="621" w:type="pct"/>
          </w:tcPr>
          <w:p w14:paraId="494851DE"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122.91</w:t>
            </w:r>
          </w:p>
        </w:tc>
      </w:tr>
      <w:tr w:rsidR="008B1C85" w:rsidRPr="00A0517F" w14:paraId="36C0652F" w14:textId="77777777" w:rsidTr="0062545C">
        <w:trPr>
          <w:trHeight w:val="227"/>
        </w:trPr>
        <w:tc>
          <w:tcPr>
            <w:tcW w:w="700" w:type="pct"/>
            <w:shd w:val="clear" w:color="auto" w:fill="auto"/>
          </w:tcPr>
          <w:p w14:paraId="30422813" w14:textId="77777777" w:rsidR="008B1C85" w:rsidRPr="00A0517F" w:rsidRDefault="008B1C85" w:rsidP="008B1C85">
            <w:pPr>
              <w:pStyle w:val="Tabletext"/>
              <w:rPr>
                <w:rFonts w:cstheme="minorHAnsi"/>
              </w:rPr>
            </w:pPr>
            <w:r w:rsidRPr="00A0517F">
              <w:rPr>
                <w:rFonts w:cstheme="minorHAnsi"/>
              </w:rPr>
              <w:t>11506, 00732</w:t>
            </w:r>
          </w:p>
        </w:tc>
        <w:tc>
          <w:tcPr>
            <w:tcW w:w="627" w:type="pct"/>
            <w:shd w:val="clear" w:color="auto" w:fill="auto"/>
          </w:tcPr>
          <w:p w14:paraId="75082DB3" w14:textId="77777777" w:rsidR="008B1C85" w:rsidRPr="00A0517F" w:rsidRDefault="008B1C85" w:rsidP="008B1C85">
            <w:pPr>
              <w:pStyle w:val="Tabletext"/>
              <w:jc w:val="right"/>
              <w:rPr>
                <w:rFonts w:cstheme="minorHAnsi"/>
              </w:rPr>
            </w:pPr>
            <w:r w:rsidRPr="00A0517F">
              <w:rPr>
                <w:rFonts w:cstheme="minorHAnsi"/>
              </w:rPr>
              <w:t xml:space="preserve">7,800 </w:t>
            </w:r>
          </w:p>
        </w:tc>
        <w:tc>
          <w:tcPr>
            <w:tcW w:w="626" w:type="pct"/>
            <w:shd w:val="clear" w:color="auto" w:fill="auto"/>
          </w:tcPr>
          <w:p w14:paraId="55CE3332" w14:textId="77777777" w:rsidR="008B1C85" w:rsidRPr="00A0517F" w:rsidRDefault="008B1C85" w:rsidP="008B1C85">
            <w:pPr>
              <w:pStyle w:val="Tabletext"/>
              <w:jc w:val="right"/>
              <w:rPr>
                <w:rFonts w:cstheme="minorHAnsi"/>
              </w:rPr>
            </w:pPr>
            <w:r w:rsidRPr="00A0517F">
              <w:rPr>
                <w:rFonts w:cstheme="minorHAnsi"/>
              </w:rPr>
              <w:t xml:space="preserve">19,573 </w:t>
            </w:r>
          </w:p>
        </w:tc>
        <w:tc>
          <w:tcPr>
            <w:tcW w:w="626" w:type="pct"/>
            <w:shd w:val="clear" w:color="auto" w:fill="auto"/>
          </w:tcPr>
          <w:p w14:paraId="628EF914" w14:textId="77777777" w:rsidR="008B1C85" w:rsidRPr="00A0517F" w:rsidRDefault="008B1C85" w:rsidP="008B1C85">
            <w:pPr>
              <w:pStyle w:val="03Tabletextspacebefore"/>
              <w:jc w:val="center"/>
              <w:rPr>
                <w:rFonts w:asciiTheme="minorHAnsi" w:hAnsiTheme="minorHAnsi" w:cstheme="minorHAnsi"/>
              </w:rPr>
            </w:pPr>
            <w:r w:rsidRPr="00A0517F">
              <w:rPr>
                <w:rFonts w:asciiTheme="minorHAnsi" w:hAnsiTheme="minorHAnsi" w:cstheme="minorHAnsi"/>
              </w:rPr>
              <w:t>1%</w:t>
            </w:r>
          </w:p>
        </w:tc>
        <w:tc>
          <w:tcPr>
            <w:tcW w:w="1800" w:type="pct"/>
            <w:shd w:val="clear" w:color="auto" w:fill="auto"/>
          </w:tcPr>
          <w:p w14:paraId="21F64E08" w14:textId="77777777" w:rsidR="008B1C85" w:rsidRPr="00A0517F" w:rsidRDefault="008B1C85" w:rsidP="008B1C85">
            <w:pPr>
              <w:pStyle w:val="03Tabletextspacebefore"/>
              <w:rPr>
                <w:rFonts w:asciiTheme="minorHAnsi" w:hAnsiTheme="minorHAnsi" w:cstheme="minorHAnsi"/>
              </w:rPr>
            </w:pPr>
            <w:r w:rsidRPr="00A0517F">
              <w:rPr>
                <w:rFonts w:asciiTheme="minorHAnsi" w:hAnsiTheme="minorHAnsi" w:cstheme="minorHAnsi"/>
              </w:rPr>
              <w:t>Measurement of respiratory function after bronchodilator &amp; review Chronic Disease Management plan</w:t>
            </w:r>
          </w:p>
        </w:tc>
        <w:tc>
          <w:tcPr>
            <w:tcW w:w="621" w:type="pct"/>
            <w:shd w:val="clear" w:color="auto" w:fill="auto"/>
          </w:tcPr>
          <w:p w14:paraId="011C539D" w14:textId="77777777" w:rsidR="008B1C85" w:rsidRPr="00A0517F" w:rsidRDefault="008B1C85" w:rsidP="008B1C85">
            <w:pPr>
              <w:pStyle w:val="03Tabletextspacebefore"/>
              <w:jc w:val="right"/>
              <w:rPr>
                <w:rFonts w:asciiTheme="minorHAnsi" w:hAnsiTheme="minorHAnsi" w:cstheme="minorHAnsi"/>
              </w:rPr>
            </w:pPr>
            <w:r w:rsidRPr="00A0517F">
              <w:rPr>
                <w:rFonts w:asciiTheme="minorHAnsi" w:hAnsiTheme="minorHAnsi" w:cstheme="minorHAnsi"/>
              </w:rPr>
              <w:t>93.94</w:t>
            </w:r>
          </w:p>
        </w:tc>
      </w:tr>
    </w:tbl>
    <w:p w14:paraId="0DF689EE" w14:textId="77777777" w:rsidR="008B1C85" w:rsidRDefault="008B1C85" w:rsidP="008B1C85">
      <w:pPr>
        <w:pStyle w:val="09Tablefootnoteslast-nostick"/>
      </w:pPr>
      <w:r w:rsidRPr="00092105">
        <w:t>Source: Department of Health, Medical Benefits Division, Medicare Financing &amp; Listings Branch, MBS Analyti</w:t>
      </w:r>
      <w:r>
        <w:t>cs Section. Data received 11 January 2016.</w:t>
      </w:r>
    </w:p>
    <w:p w14:paraId="461623D6" w14:textId="77777777" w:rsidR="008B1C85" w:rsidRPr="00E220F6" w:rsidRDefault="008B1C85" w:rsidP="008B1C85">
      <w:pPr>
        <w:pStyle w:val="BodyText"/>
        <w:sectPr w:rsidR="008B1C85" w:rsidRPr="00E220F6" w:rsidSect="008B1C85">
          <w:pgSz w:w="11906" w:h="16838" w:code="9"/>
          <w:pgMar w:top="1134" w:right="1134" w:bottom="1701" w:left="1701" w:header="567" w:footer="567" w:gutter="0"/>
          <w:cols w:space="708"/>
          <w:docGrid w:linePitch="360"/>
        </w:sectPr>
      </w:pPr>
    </w:p>
    <w:p w14:paraId="5A69A14E" w14:textId="77777777" w:rsidR="008B1C85" w:rsidRDefault="008F1656" w:rsidP="00A227D5">
      <w:pPr>
        <w:pStyle w:val="AttHeading1"/>
      </w:pPr>
      <w:bookmarkStart w:id="379" w:name="_Ref442799102"/>
      <w:bookmarkStart w:id="380" w:name="_Ref442799114"/>
      <w:r>
        <w:lastRenderedPageBreak/>
        <w:t xml:space="preserve">Appendix 4 </w:t>
      </w:r>
      <w:r w:rsidR="008B1C85">
        <w:t>Literature Search</w:t>
      </w:r>
      <w:bookmarkEnd w:id="379"/>
      <w:bookmarkEnd w:id="380"/>
    </w:p>
    <w:p w14:paraId="215E2200" w14:textId="77777777" w:rsidR="008B1C85" w:rsidRPr="00A61DE8" w:rsidRDefault="008B1C85" w:rsidP="008B1C85">
      <w:pPr>
        <w:rPr>
          <w:b/>
        </w:rPr>
      </w:pPr>
      <w:bookmarkStart w:id="381" w:name="_Toc456613623"/>
      <w:r w:rsidRPr="00A61DE8">
        <w:rPr>
          <w:b/>
        </w:rPr>
        <w:t>MEDLINE (via PubMed)</w:t>
      </w:r>
      <w:bookmarkEnd w:id="381"/>
    </w:p>
    <w:p w14:paraId="334B2CB9" w14:textId="77777777" w:rsidR="008B1C85" w:rsidRDefault="008B1C85" w:rsidP="00B50F00">
      <w:r w:rsidRPr="00A423EE">
        <w:rPr>
          <w:b/>
        </w:rPr>
        <w:t>Search date:</w:t>
      </w:r>
      <w:r>
        <w:t xml:space="preserve"> 12</w:t>
      </w:r>
      <w:r w:rsidRPr="00A423EE">
        <w:rPr>
          <w:vertAlign w:val="superscript"/>
        </w:rPr>
        <w:t>th</w:t>
      </w:r>
      <w:r>
        <w:t xml:space="preserve"> January, 2016</w:t>
      </w:r>
    </w:p>
    <w:p w14:paraId="65FF7D10" w14:textId="77777777" w:rsidR="008B1C85" w:rsidRDefault="008B1C85" w:rsidP="00B50F00">
      <w:r w:rsidRPr="00A423EE">
        <w:rPr>
          <w:b/>
        </w:rPr>
        <w:t>Limits:</w:t>
      </w:r>
      <w:r>
        <w:t xml:space="preserve"> January 2005 – current</w:t>
      </w:r>
    </w:p>
    <w:p w14:paraId="156DB013" w14:textId="77777777" w:rsidR="008B1C85" w:rsidRDefault="008B1C85" w:rsidP="00B50F00">
      <w:r w:rsidRPr="00B50F00">
        <w:rPr>
          <w:b/>
        </w:rPr>
        <w:t>Key search term</w:t>
      </w:r>
      <w:r w:rsidRPr="00A423EE">
        <w:t>:</w:t>
      </w:r>
      <w:r>
        <w:t xml:space="preserve"> spiromet*</w:t>
      </w:r>
    </w:p>
    <w:p w14:paraId="2C08738A" w14:textId="77777777" w:rsidR="008B1C85" w:rsidRDefault="008B1C85" w:rsidP="00B50F00">
      <w:r w:rsidRPr="00A423EE">
        <w:rPr>
          <w:b/>
        </w:rPr>
        <w:t>Filt</w:t>
      </w:r>
      <w:r>
        <w:rPr>
          <w:b/>
        </w:rPr>
        <w:t>er</w:t>
      </w:r>
      <w:r w:rsidRPr="00A423EE">
        <w:rPr>
          <w:b/>
        </w:rPr>
        <w:t>:</w:t>
      </w:r>
      <w:r>
        <w:t xml:space="preserve"> PubMed systematic review filter (identifies systematic reviews, clinical practice guidelines, meta-analyses)</w:t>
      </w:r>
    </w:p>
    <w:p w14:paraId="5B45362B" w14:textId="77777777" w:rsidR="008B1C85" w:rsidRDefault="008B1C85" w:rsidP="00B50F00">
      <w:r>
        <w:t>((systematic review [ti] OR meta-analysis [pt] OR meta-analysis [ti] OR systematic literature review [ti] OR this systematic review [tw] OR (systematic review [tiab] AND review [pt]) OR meta synthesis [ti] OR meta synthesis [ti] OR integrative review [tw] OR integrative research review [tw] OR rapid review [tw] OR consensus development conference [pt] OR practice guideline [pt] OR cochrane database syst rev [ta] OR acp journal club [ta] OR health technol assess [ta] OR evid rep technol assess summ [ta] OR drug class reviews [ti]) OR (clinical guideline [tw] AND management [tw]) OR ((evidence based[ti] OR evidence-based medicine [mh] OR best practice* [ti] OR evidence synthesis [tiab]) AND (review [pt] OR diseases category[mh] OR behavior and behavior mechanisms [mh] OR therapeutics [mh] OR evaluation studies[pt] OR validation studies[pt] OR guideline [pt] OR pmcbook)) OR ((systematic [tw] OR systematically [tw] OR critical [tiab] OR (study selection [tw]) OR (predetermined [tw] OR inclusion [tw] AND criteri* [tw]) OR exclusion criteri* [tw] OR main outcome measures [tw] OR standard of care [tw] OR standards of care [tw]) AND (survey [tiab] OR surveys [tiab] OR overview* [tw] OR review [tiab] OR reviews [tiab] OR search* [tw] OR handsearch [tw] OR analysis [ti] OR critique [tiab] OR appraisal [tw] OR (reduction [tw]AND (risk [mh] OR risk [tw]) AND (death OR recurrence))) AND (literature [tiab] OR articles [tiab] OR publications [tiab] OR publication [tiab] OR bibliography [tiab] OR bibliographies [tiab] OR published [tiab] OR unpublished [tw] OR citation [tw] OR citations [tw] OR database [tiab] OR internet [tiab] OR textbooks [tiab] OR references [tw] OR scales [tw] OR papers [tw] OR datasets [tw] OR trials [tiab] OR meta-analy* [tw] OR (clinical [tiab] AND studies [tiab]) OR treatment outcome [mh] OR treatment outcome [tw] OR pmcbook)) NOT (letter [pt] OR newspaper article [pt])</w:t>
      </w:r>
    </w:p>
    <w:p w14:paraId="093C02F0" w14:textId="77777777" w:rsidR="008B1C85" w:rsidRDefault="008B1C85" w:rsidP="008B1C85">
      <w:pPr>
        <w:pStyle w:val="AttHeading2"/>
      </w:pPr>
      <w:bookmarkStart w:id="382" w:name="_Toc456613624"/>
      <w:r>
        <w:t>The Cochrane Library</w:t>
      </w:r>
      <w:bookmarkEnd w:id="382"/>
    </w:p>
    <w:p w14:paraId="5E497991" w14:textId="77777777" w:rsidR="008B1C85" w:rsidRDefault="008B1C85" w:rsidP="00B50F00">
      <w:r w:rsidRPr="00A423EE">
        <w:rPr>
          <w:b/>
        </w:rPr>
        <w:t>Search date:</w:t>
      </w:r>
      <w:r>
        <w:t xml:space="preserve"> 12</w:t>
      </w:r>
      <w:r w:rsidRPr="00A423EE">
        <w:rPr>
          <w:vertAlign w:val="superscript"/>
        </w:rPr>
        <w:t>th</w:t>
      </w:r>
      <w:r>
        <w:t xml:space="preserve"> January, 2016</w:t>
      </w:r>
    </w:p>
    <w:p w14:paraId="43C99B59" w14:textId="77777777" w:rsidR="008B1C85" w:rsidRDefault="008B1C85" w:rsidP="00B50F00">
      <w:r w:rsidRPr="00A423EE">
        <w:rPr>
          <w:b/>
        </w:rPr>
        <w:t>Limits:</w:t>
      </w:r>
      <w:r>
        <w:t xml:space="preserve"> January 2005 – current</w:t>
      </w:r>
    </w:p>
    <w:p w14:paraId="28597FD9" w14:textId="77777777" w:rsidR="008B1C85" w:rsidRDefault="008B1C85" w:rsidP="00B50F00">
      <w:r w:rsidRPr="00B50F00">
        <w:rPr>
          <w:b/>
        </w:rPr>
        <w:t>Key search term</w:t>
      </w:r>
      <w:r w:rsidRPr="00A423EE">
        <w:t>:</w:t>
      </w:r>
      <w:r>
        <w:t xml:space="preserve"> spiromet*</w:t>
      </w:r>
    </w:p>
    <w:p w14:paraId="0C8A6B7F" w14:textId="77777777" w:rsidR="008B1C85" w:rsidRPr="000F041E" w:rsidRDefault="008B1C85" w:rsidP="00B50F00">
      <w:pPr>
        <w:rPr>
          <w:b/>
        </w:rPr>
      </w:pPr>
      <w:r w:rsidRPr="000F041E">
        <w:rPr>
          <w:b/>
        </w:rPr>
        <w:t>Databases:</w:t>
      </w:r>
      <w:r w:rsidRPr="000F041E">
        <w:t xml:space="preserve"> Cochrane Database of Systematic Reviews</w:t>
      </w:r>
      <w:r>
        <w:t xml:space="preserve">, </w:t>
      </w:r>
      <w:r w:rsidRPr="000F041E">
        <w:t>Database of Abstracts of Reviews of Effect</w:t>
      </w:r>
      <w:r>
        <w:t xml:space="preserve">, </w:t>
      </w:r>
      <w:r w:rsidRPr="000F041E">
        <w:t>Health Technology Assessment Database</w:t>
      </w:r>
      <w:r>
        <w:t xml:space="preserve">, </w:t>
      </w:r>
      <w:r w:rsidRPr="000F041E">
        <w:t>NHS Economic Evaluation Database</w:t>
      </w:r>
    </w:p>
    <w:p w14:paraId="354A9B70" w14:textId="77777777" w:rsidR="008B1C85" w:rsidRDefault="008B1C85" w:rsidP="008B1C85">
      <w:pPr>
        <w:pStyle w:val="AttHeading2"/>
      </w:pPr>
      <w:bookmarkStart w:id="383" w:name="_Toc456613625"/>
      <w:r>
        <w:lastRenderedPageBreak/>
        <w:t>Clinical Practice Guideline databases</w:t>
      </w:r>
      <w:bookmarkEnd w:id="383"/>
    </w:p>
    <w:p w14:paraId="0A39E94A" w14:textId="77777777" w:rsidR="008B1C85" w:rsidRDefault="008B1C85" w:rsidP="00B50F00">
      <w:r w:rsidRPr="00A423EE">
        <w:rPr>
          <w:b/>
        </w:rPr>
        <w:t>Search date:</w:t>
      </w:r>
      <w:r>
        <w:t xml:space="preserve"> 12</w:t>
      </w:r>
      <w:r w:rsidRPr="00A423EE">
        <w:rPr>
          <w:vertAlign w:val="superscript"/>
        </w:rPr>
        <w:t>th</w:t>
      </w:r>
      <w:r>
        <w:t xml:space="preserve"> January, 2016</w:t>
      </w:r>
    </w:p>
    <w:p w14:paraId="6AB767F0" w14:textId="77777777" w:rsidR="008B1C85" w:rsidRDefault="008B1C85" w:rsidP="00B50F00">
      <w:r w:rsidRPr="00A423EE">
        <w:rPr>
          <w:b/>
        </w:rPr>
        <w:t>Limits:</w:t>
      </w:r>
      <w:r>
        <w:t xml:space="preserve"> January 2010 – current</w:t>
      </w:r>
    </w:p>
    <w:p w14:paraId="191B5AE6" w14:textId="77777777" w:rsidR="008B1C85" w:rsidRDefault="008B1C85" w:rsidP="00B50F00">
      <w:r>
        <w:rPr>
          <w:b/>
        </w:rPr>
        <w:t>Key s</w:t>
      </w:r>
      <w:r w:rsidRPr="00A423EE">
        <w:rPr>
          <w:b/>
        </w:rPr>
        <w:t>earch term</w:t>
      </w:r>
      <w:r>
        <w:rPr>
          <w:b/>
        </w:rPr>
        <w:t>s</w:t>
      </w:r>
      <w:r w:rsidRPr="00A423EE">
        <w:rPr>
          <w:b/>
        </w:rPr>
        <w:t>:</w:t>
      </w:r>
      <w:r>
        <w:t xml:space="preserve"> spirometry, asthma, chronic obstructive pulmonary disease, COPD</w:t>
      </w:r>
    </w:p>
    <w:p w14:paraId="497AF4EF" w14:textId="77777777" w:rsidR="008B1C85" w:rsidRDefault="008B1C85" w:rsidP="00B50F00">
      <w:r w:rsidRPr="005C7DAC">
        <w:rPr>
          <w:b/>
        </w:rPr>
        <w:t>Databases:</w:t>
      </w:r>
      <w:r w:rsidRPr="005C7DAC">
        <w:t xml:space="preserve"> </w:t>
      </w:r>
      <w:r>
        <w:t xml:space="preserve">Guidelines International Network (G-I-N), AHRQ National Guidelines Clearinghouse, Australian Clinical Practice Guidelines Portal, </w:t>
      </w:r>
      <w:r w:rsidRPr="000F041E">
        <w:t>Scottish Intercolle</w:t>
      </w:r>
      <w:r>
        <w:t>giate Guidelines Network (SIGN)</w:t>
      </w:r>
    </w:p>
    <w:p w14:paraId="0D134454" w14:textId="77777777" w:rsidR="008B1C85" w:rsidRDefault="008B1C85" w:rsidP="008B1C85">
      <w:pPr>
        <w:pStyle w:val="AttHeading2"/>
      </w:pPr>
      <w:bookmarkStart w:id="384" w:name="_Toc456613626"/>
      <w:r>
        <w:t>Health technology assessment agencies</w:t>
      </w:r>
      <w:bookmarkEnd w:id="384"/>
    </w:p>
    <w:p w14:paraId="3730F347" w14:textId="77777777" w:rsidR="008B1C85" w:rsidRDefault="008B1C85" w:rsidP="00B50F00">
      <w:r w:rsidRPr="00A423EE">
        <w:rPr>
          <w:b/>
        </w:rPr>
        <w:t>Search date:</w:t>
      </w:r>
      <w:r>
        <w:t xml:space="preserve"> 12</w:t>
      </w:r>
      <w:r w:rsidRPr="00A423EE">
        <w:rPr>
          <w:vertAlign w:val="superscript"/>
        </w:rPr>
        <w:t>th</w:t>
      </w:r>
      <w:r>
        <w:t xml:space="preserve"> January, 2016</w:t>
      </w:r>
    </w:p>
    <w:p w14:paraId="6BF1BD70" w14:textId="77777777" w:rsidR="008B1C85" w:rsidRDefault="008B1C85" w:rsidP="00B50F00">
      <w:r w:rsidRPr="00A423EE">
        <w:rPr>
          <w:b/>
        </w:rPr>
        <w:t>Limits:</w:t>
      </w:r>
      <w:r>
        <w:t xml:space="preserve"> January 2005 – current</w:t>
      </w:r>
    </w:p>
    <w:p w14:paraId="33FD58F1" w14:textId="77777777" w:rsidR="008B1C85" w:rsidRDefault="008B1C85" w:rsidP="00B50F00">
      <w:r>
        <w:rPr>
          <w:b/>
        </w:rPr>
        <w:t>Key s</w:t>
      </w:r>
      <w:r w:rsidRPr="00A423EE">
        <w:rPr>
          <w:b/>
        </w:rPr>
        <w:t>earch term</w:t>
      </w:r>
      <w:r>
        <w:rPr>
          <w:b/>
        </w:rPr>
        <w:t>s</w:t>
      </w:r>
      <w:r w:rsidRPr="00A423EE">
        <w:rPr>
          <w:b/>
        </w:rPr>
        <w:t>:</w:t>
      </w:r>
      <w:r>
        <w:t xml:space="preserve"> spirometry, asthma, chronic obstructive pulmonary disease, COPD</w:t>
      </w:r>
    </w:p>
    <w:p w14:paraId="1949D4B8" w14:textId="77777777" w:rsidR="008B1C85" w:rsidRDefault="008B1C85" w:rsidP="00B50F00">
      <w:r>
        <w:rPr>
          <w:b/>
        </w:rPr>
        <w:t>Agencies</w:t>
      </w:r>
      <w:r w:rsidRPr="000F041E">
        <w:rPr>
          <w:b/>
        </w:rPr>
        <w:t>:</w:t>
      </w:r>
      <w:r w:rsidRPr="000F041E">
        <w:t xml:space="preserve"> Agency for Healthcare Research and Quality (AHRQ), National Institute for Health and Care Excellence (NICE), Canadian Agency for Drugs and Technologies in Health (CADTH)</w:t>
      </w:r>
      <w:r>
        <w:t>, Medical Services Advisory Committee (MSAC)</w:t>
      </w:r>
    </w:p>
    <w:p w14:paraId="40724F0A" w14:textId="77777777" w:rsidR="008B1C85" w:rsidRDefault="008B1C85" w:rsidP="008B1C85">
      <w:pPr>
        <w:pStyle w:val="AttHeading2"/>
      </w:pPr>
      <w:bookmarkStart w:id="385" w:name="_Toc456613627"/>
      <w:r>
        <w:t>Other websites</w:t>
      </w:r>
      <w:bookmarkEnd w:id="385"/>
    </w:p>
    <w:p w14:paraId="7C4F154F" w14:textId="77777777" w:rsidR="008B1C85" w:rsidRDefault="008B1C85" w:rsidP="00B50F00">
      <w:r w:rsidRPr="00A423EE">
        <w:rPr>
          <w:b/>
        </w:rPr>
        <w:t>Search date:</w:t>
      </w:r>
      <w:r>
        <w:t xml:space="preserve"> 12</w:t>
      </w:r>
      <w:r w:rsidRPr="00A423EE">
        <w:rPr>
          <w:vertAlign w:val="superscript"/>
        </w:rPr>
        <w:t>th</w:t>
      </w:r>
      <w:r>
        <w:t xml:space="preserve"> January, 2016</w:t>
      </w:r>
    </w:p>
    <w:p w14:paraId="00F1805F" w14:textId="77777777" w:rsidR="008B1C85" w:rsidRDefault="008B1C85" w:rsidP="00B50F00">
      <w:r w:rsidRPr="00A423EE">
        <w:rPr>
          <w:b/>
        </w:rPr>
        <w:t>Limits:</w:t>
      </w:r>
      <w:r>
        <w:t xml:space="preserve"> January 2005 – current</w:t>
      </w:r>
    </w:p>
    <w:p w14:paraId="4BD67BFA" w14:textId="77777777" w:rsidR="008B1C85" w:rsidRDefault="008B1C85" w:rsidP="00B50F00">
      <w:r>
        <w:rPr>
          <w:b/>
        </w:rPr>
        <w:t>Key s</w:t>
      </w:r>
      <w:r w:rsidRPr="00A423EE">
        <w:rPr>
          <w:b/>
        </w:rPr>
        <w:t>earch term</w:t>
      </w:r>
      <w:r>
        <w:rPr>
          <w:b/>
        </w:rPr>
        <w:t>s</w:t>
      </w:r>
      <w:r w:rsidRPr="00A423EE">
        <w:rPr>
          <w:b/>
        </w:rPr>
        <w:t>:</w:t>
      </w:r>
      <w:r>
        <w:t xml:space="preserve"> spirometry, guideline, asthma, chronic obstructive pulmonary disease, COPD</w:t>
      </w:r>
    </w:p>
    <w:p w14:paraId="7E5EF9E3" w14:textId="77777777" w:rsidR="008B1C85" w:rsidRPr="005C7DAC" w:rsidRDefault="008B1C85" w:rsidP="00B50F00">
      <w:pPr>
        <w:rPr>
          <w:b/>
        </w:rPr>
      </w:pPr>
      <w:r>
        <w:rPr>
          <w:b/>
        </w:rPr>
        <w:t>W</w:t>
      </w:r>
      <w:r w:rsidRPr="005C7DAC">
        <w:rPr>
          <w:b/>
        </w:rPr>
        <w:t>ebsites</w:t>
      </w:r>
      <w:r w:rsidRPr="00CC0824">
        <w:t>: Lung Foundation Australia (LFA), The Thoracic Society of Australia and New Zealand (TSANZ), National Asthma Council Australia (NAC), Australian Primary Health Care Research Institute (APHCRI), British Thoracic Society (BTS), American College of Chest Physicians (ACCP), Canadian Thoracic Society (CTS), The College of Physicians and Surgeons of Ontario (CPSO)</w:t>
      </w:r>
    </w:p>
    <w:p w14:paraId="1CA57D7E" w14:textId="77777777" w:rsidR="00E42D4A" w:rsidRDefault="00E42D4A">
      <w:pPr>
        <w:spacing w:before="0" w:after="0" w:line="240" w:lineRule="auto"/>
        <w:rPr>
          <w:rFonts w:ascii="Cambria" w:eastAsiaTheme="minorHAnsi" w:hAnsi="Cambria" w:cs="Arial"/>
          <w:b/>
          <w:bCs/>
          <w:color w:val="365F91" w:themeColor="accent1" w:themeShade="BF"/>
          <w:kern w:val="32"/>
          <w:szCs w:val="28"/>
          <w:lang w:val="en-US" w:eastAsia="en-US"/>
        </w:rPr>
      </w:pPr>
      <w:bookmarkStart w:id="386" w:name="_Ref442799149"/>
      <w:bookmarkStart w:id="387" w:name="_Ref442799178"/>
      <w:r>
        <w:br w:type="page"/>
      </w:r>
    </w:p>
    <w:p w14:paraId="13CC005A" w14:textId="77777777" w:rsidR="008B1C85" w:rsidRDefault="00E42D4A" w:rsidP="00A227D5">
      <w:pPr>
        <w:pStyle w:val="AttHeading1"/>
      </w:pPr>
      <w:r>
        <w:lastRenderedPageBreak/>
        <w:t xml:space="preserve">Appendix 5 </w:t>
      </w:r>
      <w:r w:rsidR="008B1C85">
        <w:t>Evidence Quality Assessment</w:t>
      </w:r>
      <w:bookmarkEnd w:id="386"/>
      <w:bookmarkEnd w:id="387"/>
    </w:p>
    <w:p w14:paraId="14362B4E" w14:textId="77777777" w:rsidR="008B1C85" w:rsidRPr="00FE05D1" w:rsidRDefault="008B1C85" w:rsidP="00B50F00">
      <w:r w:rsidRPr="00FE05D1">
        <w:t>The methodological quality of included systematic reviews was assessed using the AMSTAR measurement tool (Shea et al, 2007). AMSTAR scores for the included systematic reviews are shown in Table A-5.1.</w:t>
      </w:r>
    </w:p>
    <w:p w14:paraId="7D28020F" w14:textId="77777777" w:rsidR="008B1C85" w:rsidRDefault="008B1C85" w:rsidP="00B50F00">
      <w:r w:rsidRPr="00FE05D1">
        <w:t>The MBS rapid review methodology specifies that, where appropriate, the quality of the body of evidence for each outcome will be examined according to the GRADE criteria (Guyatt et al, 2011). GRADE</w:t>
      </w:r>
      <w:r>
        <w:t xml:space="preserve"> uses a step-wise, structural methodology to determine the overall quality of the body of evidence using the following definitions: </w:t>
      </w:r>
    </w:p>
    <w:p w14:paraId="02E3F888" w14:textId="77777777" w:rsidR="008B1C85" w:rsidRDefault="008B1C85" w:rsidP="000A5A36">
      <w:r w:rsidRPr="003F3F7B">
        <w:rPr>
          <w:b/>
        </w:rPr>
        <w:t>High</w:t>
      </w:r>
      <w:r w:rsidRPr="003F3F7B">
        <w:rPr>
          <w:b/>
        </w:rPr>
        <w:tab/>
      </w:r>
      <w:r>
        <w:t>High confidence in the effect estimate – the true effect lies close to the estimate of the effect</w:t>
      </w:r>
    </w:p>
    <w:p w14:paraId="7EC22F47" w14:textId="77777777" w:rsidR="008B1C85" w:rsidRDefault="008B1C85" w:rsidP="000A5A36">
      <w:r w:rsidRPr="003F3F7B">
        <w:rPr>
          <w:b/>
        </w:rPr>
        <w:t>Moderate</w:t>
      </w:r>
      <w:r>
        <w:tab/>
        <w:t>Moderate confidence in the effect estimate – the true effect is likely to be close to the estimate of the effect, but may be substantially different</w:t>
      </w:r>
    </w:p>
    <w:p w14:paraId="7A9CA7A2" w14:textId="77777777" w:rsidR="008B1C85" w:rsidRDefault="008B1C85" w:rsidP="000A5A36">
      <w:r w:rsidRPr="003F3F7B">
        <w:rPr>
          <w:b/>
        </w:rPr>
        <w:t>Low</w:t>
      </w:r>
      <w:r w:rsidRPr="003F3F7B">
        <w:rPr>
          <w:b/>
        </w:rPr>
        <w:tab/>
      </w:r>
      <w:r>
        <w:t>Low confidence in the effect estimate – the true effect may be substantially different from the estimate of the effect</w:t>
      </w:r>
    </w:p>
    <w:p w14:paraId="66D7F7E5" w14:textId="77777777" w:rsidR="008B1C85" w:rsidRDefault="008B1C85" w:rsidP="000A5A36">
      <w:r w:rsidRPr="003F3F7B">
        <w:rPr>
          <w:b/>
        </w:rPr>
        <w:t>Very Low</w:t>
      </w:r>
      <w:r>
        <w:tab/>
        <w:t>Very low confidence in the effect estimate – the true effect is likely to be substantially different from the estimate of the effect</w:t>
      </w:r>
    </w:p>
    <w:p w14:paraId="064E0AC0" w14:textId="77777777" w:rsidR="008B1C85" w:rsidRDefault="008B1C85" w:rsidP="008B1C85">
      <w:r>
        <w:t>Using the GRADE approach, the first consideration is study design; the starting assumption is that randomised controlled trials (RCTs) are high quality, whereas observational studies are low quality. Five additional factors are then taken into account: risk of bias, inconsistency, indirectness, imprecision, and publication bias. Limitations in these areas result in downgrading the quality of evidence. Finally, three main factors are considered that may raise the quality of evidence: the large magnitude of effect, the dose response gradient, and any residual confounding factors.</w:t>
      </w:r>
    </w:p>
    <w:p w14:paraId="7AFF1335" w14:textId="77777777" w:rsidR="008B1C85" w:rsidRDefault="008B1C85" w:rsidP="008B1C85">
      <w:pPr>
        <w:sectPr w:rsidR="008B1C85" w:rsidSect="008B1C85">
          <w:pgSz w:w="11906" w:h="16838" w:code="9"/>
          <w:pgMar w:top="1134" w:right="1134" w:bottom="1701" w:left="1701" w:header="567" w:footer="567" w:gutter="0"/>
          <w:cols w:space="708"/>
          <w:docGrid w:linePitch="360"/>
        </w:sectPr>
      </w:pPr>
      <w:r>
        <w:t xml:space="preserve">For this review of spirometry, no GRADE quality assessments were undertaken because the body of evidence in the included systematic reviews could no longer be considered contemporary, or it did not directly address the research questions and PICO criteria in Section </w:t>
      </w:r>
      <w:r w:rsidR="00711EA3">
        <w:t>2.1</w:t>
      </w:r>
      <w:r>
        <w:t>.</w:t>
      </w:r>
    </w:p>
    <w:p w14:paraId="2690BF95" w14:textId="77777777" w:rsidR="008B1C85" w:rsidRDefault="008B1C85" w:rsidP="00DF3A06">
      <w:pPr>
        <w:pStyle w:val="Appcaption"/>
      </w:pPr>
      <w:r>
        <w:lastRenderedPageBreak/>
        <w:t>Table A-5.1</w:t>
      </w:r>
      <w:r>
        <w:tab/>
        <w:t>AMSTAR scores of included systematic reviews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Description w:val="Overall AMSTAR score and AMSTAR scores for 11 criteria for each of the 5 systematic reviews included."/>
      </w:tblPr>
      <w:tblGrid>
        <w:gridCol w:w="1129"/>
        <w:gridCol w:w="997"/>
        <w:gridCol w:w="1081"/>
        <w:gridCol w:w="1080"/>
        <w:gridCol w:w="1080"/>
        <w:gridCol w:w="1080"/>
        <w:gridCol w:w="1080"/>
        <w:gridCol w:w="1080"/>
        <w:gridCol w:w="1080"/>
        <w:gridCol w:w="1080"/>
        <w:gridCol w:w="1080"/>
        <w:gridCol w:w="1080"/>
        <w:gridCol w:w="1066"/>
      </w:tblGrid>
      <w:tr w:rsidR="008B1C85" w:rsidRPr="00770667" w14:paraId="1D7B9FF9" w14:textId="77777777" w:rsidTr="00D56F93">
        <w:trPr>
          <w:trHeight w:val="227"/>
          <w:tblHeader/>
        </w:trPr>
        <w:tc>
          <w:tcPr>
            <w:tcW w:w="403" w:type="pct"/>
            <w:shd w:val="clear" w:color="auto" w:fill="366091"/>
          </w:tcPr>
          <w:p w14:paraId="1A127D31" w14:textId="77777777" w:rsidR="008B1C85" w:rsidRPr="00770667" w:rsidRDefault="008B1C85" w:rsidP="008B1C85">
            <w:pPr>
              <w:pStyle w:val="01Tableheadingorsubheading"/>
              <w:rPr>
                <w:lang w:eastAsia="en-AU"/>
              </w:rPr>
            </w:pPr>
            <w:r>
              <w:rPr>
                <w:lang w:eastAsia="en-AU"/>
              </w:rPr>
              <w:t>Author, Year</w:t>
            </w:r>
          </w:p>
        </w:tc>
        <w:tc>
          <w:tcPr>
            <w:tcW w:w="356" w:type="pct"/>
            <w:shd w:val="clear" w:color="auto" w:fill="366091"/>
          </w:tcPr>
          <w:p w14:paraId="52596DE8" w14:textId="77777777" w:rsidR="008B1C85" w:rsidRPr="00770667" w:rsidRDefault="008B1C85" w:rsidP="008B1C85">
            <w:pPr>
              <w:pStyle w:val="01Tableheadingorsubheading"/>
              <w:jc w:val="center"/>
              <w:rPr>
                <w:lang w:eastAsia="en-AU"/>
              </w:rPr>
            </w:pPr>
            <w:r>
              <w:rPr>
                <w:lang w:eastAsia="en-AU"/>
              </w:rPr>
              <w:t xml:space="preserve">Overall AMSTAR Score </w:t>
            </w:r>
            <w:r w:rsidRPr="00195769">
              <w:rPr>
                <w:vertAlign w:val="superscript"/>
                <w:lang w:eastAsia="en-AU"/>
              </w:rPr>
              <w:t>a</w:t>
            </w:r>
          </w:p>
        </w:tc>
        <w:tc>
          <w:tcPr>
            <w:tcW w:w="386" w:type="pct"/>
            <w:shd w:val="clear" w:color="auto" w:fill="366091"/>
          </w:tcPr>
          <w:p w14:paraId="4BDA4475" w14:textId="77777777" w:rsidR="008B1C85" w:rsidRPr="002949DB" w:rsidRDefault="008B1C85" w:rsidP="008B1C85">
            <w:pPr>
              <w:pStyle w:val="01Tableheadingorsubheading"/>
              <w:jc w:val="center"/>
              <w:rPr>
                <w:lang w:eastAsia="en-AU"/>
              </w:rPr>
            </w:pPr>
            <w:r w:rsidRPr="002949DB">
              <w:rPr>
                <w:lang w:eastAsia="en-AU"/>
              </w:rPr>
              <w:t>(1)</w:t>
            </w:r>
          </w:p>
          <w:p w14:paraId="0F811AEB" w14:textId="77777777" w:rsidR="008B1C85" w:rsidRPr="00770667" w:rsidRDefault="008B1C85" w:rsidP="008B1C85">
            <w:pPr>
              <w:pStyle w:val="01Tableheadingorsubheading"/>
              <w:jc w:val="center"/>
              <w:rPr>
                <w:lang w:eastAsia="en-AU"/>
              </w:rPr>
            </w:pPr>
            <w:r>
              <w:rPr>
                <w:lang w:eastAsia="en-AU"/>
              </w:rPr>
              <w:t>Provided study design</w:t>
            </w:r>
          </w:p>
        </w:tc>
        <w:tc>
          <w:tcPr>
            <w:tcW w:w="386" w:type="pct"/>
            <w:shd w:val="clear" w:color="auto" w:fill="366091"/>
          </w:tcPr>
          <w:p w14:paraId="66F257C0" w14:textId="77777777" w:rsidR="008B1C85" w:rsidRDefault="008B1C85" w:rsidP="008B1C85">
            <w:pPr>
              <w:pStyle w:val="01Tableheadingorsubheading"/>
              <w:jc w:val="center"/>
              <w:rPr>
                <w:lang w:eastAsia="en-AU"/>
              </w:rPr>
            </w:pPr>
            <w:r>
              <w:rPr>
                <w:lang w:eastAsia="en-AU"/>
              </w:rPr>
              <w:t>(2)</w:t>
            </w:r>
          </w:p>
          <w:p w14:paraId="7A1D4B4B" w14:textId="77777777" w:rsidR="008B1C85" w:rsidRPr="00770667" w:rsidRDefault="008B1C85" w:rsidP="008B1C85">
            <w:pPr>
              <w:pStyle w:val="01Tableheadingorsubheading"/>
              <w:jc w:val="center"/>
              <w:rPr>
                <w:lang w:eastAsia="en-AU"/>
              </w:rPr>
            </w:pPr>
            <w:r>
              <w:rPr>
                <w:lang w:eastAsia="en-AU"/>
              </w:rPr>
              <w:t>Duplicate study selection</w:t>
            </w:r>
          </w:p>
        </w:tc>
        <w:tc>
          <w:tcPr>
            <w:tcW w:w="386" w:type="pct"/>
            <w:shd w:val="clear" w:color="auto" w:fill="366091"/>
          </w:tcPr>
          <w:p w14:paraId="50DE87B0" w14:textId="77777777" w:rsidR="008B1C85" w:rsidRDefault="008B1C85" w:rsidP="008B1C85">
            <w:pPr>
              <w:pStyle w:val="01Tableheadingorsubheading"/>
              <w:jc w:val="center"/>
              <w:rPr>
                <w:lang w:eastAsia="en-AU"/>
              </w:rPr>
            </w:pPr>
            <w:r>
              <w:rPr>
                <w:lang w:eastAsia="en-AU"/>
              </w:rPr>
              <w:t>(3)</w:t>
            </w:r>
          </w:p>
          <w:p w14:paraId="04084621" w14:textId="77777777" w:rsidR="008B1C85" w:rsidRPr="00770667" w:rsidRDefault="008B1C85" w:rsidP="008B1C85">
            <w:pPr>
              <w:pStyle w:val="01Tableheadingorsubheading"/>
              <w:jc w:val="center"/>
              <w:rPr>
                <w:lang w:eastAsia="en-AU"/>
              </w:rPr>
            </w:pPr>
            <w:r>
              <w:rPr>
                <w:lang w:eastAsia="en-AU"/>
              </w:rPr>
              <w:t>Broad literature search</w:t>
            </w:r>
          </w:p>
        </w:tc>
        <w:tc>
          <w:tcPr>
            <w:tcW w:w="386" w:type="pct"/>
            <w:shd w:val="clear" w:color="auto" w:fill="366091"/>
          </w:tcPr>
          <w:p w14:paraId="4C7715A3" w14:textId="77777777" w:rsidR="008B1C85" w:rsidRDefault="008B1C85" w:rsidP="008B1C85">
            <w:pPr>
              <w:pStyle w:val="01Tableheadingorsubheading"/>
              <w:jc w:val="center"/>
              <w:rPr>
                <w:lang w:eastAsia="en-AU"/>
              </w:rPr>
            </w:pPr>
            <w:r>
              <w:rPr>
                <w:lang w:eastAsia="en-AU"/>
              </w:rPr>
              <w:t>(4)</w:t>
            </w:r>
          </w:p>
          <w:p w14:paraId="0F85EA28" w14:textId="77777777" w:rsidR="008B1C85" w:rsidRPr="00770667" w:rsidRDefault="008B1C85" w:rsidP="008B1C85">
            <w:pPr>
              <w:pStyle w:val="01Tableheadingorsubheading"/>
              <w:jc w:val="center"/>
              <w:rPr>
                <w:lang w:eastAsia="en-AU"/>
              </w:rPr>
            </w:pPr>
            <w:r>
              <w:rPr>
                <w:lang w:eastAsia="en-AU"/>
              </w:rPr>
              <w:t>Considered status of publication</w:t>
            </w:r>
          </w:p>
        </w:tc>
        <w:tc>
          <w:tcPr>
            <w:tcW w:w="386" w:type="pct"/>
            <w:shd w:val="clear" w:color="auto" w:fill="366091"/>
          </w:tcPr>
          <w:p w14:paraId="1F74AF24" w14:textId="77777777" w:rsidR="008B1C85" w:rsidRDefault="008B1C85" w:rsidP="008B1C85">
            <w:pPr>
              <w:pStyle w:val="01Tableheadingorsubheading"/>
              <w:jc w:val="center"/>
              <w:rPr>
                <w:lang w:eastAsia="en-AU"/>
              </w:rPr>
            </w:pPr>
            <w:r>
              <w:rPr>
                <w:lang w:eastAsia="en-AU"/>
              </w:rPr>
              <w:t>(5)</w:t>
            </w:r>
          </w:p>
          <w:p w14:paraId="5A6FAACE" w14:textId="77777777" w:rsidR="008B1C85" w:rsidRPr="00770667" w:rsidRDefault="008B1C85" w:rsidP="008B1C85">
            <w:pPr>
              <w:pStyle w:val="01Tableheadingorsubheading"/>
              <w:jc w:val="center"/>
              <w:rPr>
                <w:lang w:eastAsia="en-AU"/>
              </w:rPr>
            </w:pPr>
            <w:r>
              <w:rPr>
                <w:lang w:eastAsia="en-AU"/>
              </w:rPr>
              <w:t>List of studies</w:t>
            </w:r>
          </w:p>
        </w:tc>
        <w:tc>
          <w:tcPr>
            <w:tcW w:w="386" w:type="pct"/>
            <w:shd w:val="clear" w:color="auto" w:fill="366091"/>
          </w:tcPr>
          <w:p w14:paraId="08F8798E" w14:textId="77777777" w:rsidR="008B1C85" w:rsidRDefault="008B1C85" w:rsidP="008B1C85">
            <w:pPr>
              <w:pStyle w:val="01Tableheadingorsubheading"/>
              <w:jc w:val="center"/>
              <w:rPr>
                <w:lang w:eastAsia="en-AU"/>
              </w:rPr>
            </w:pPr>
            <w:r>
              <w:rPr>
                <w:lang w:eastAsia="en-AU"/>
              </w:rPr>
              <w:t>(6)</w:t>
            </w:r>
          </w:p>
          <w:p w14:paraId="3F5BF276" w14:textId="77777777" w:rsidR="008B1C85" w:rsidRPr="00770667" w:rsidRDefault="008B1C85" w:rsidP="008B1C85">
            <w:pPr>
              <w:pStyle w:val="01Tableheadingorsubheading"/>
              <w:jc w:val="center"/>
              <w:rPr>
                <w:lang w:eastAsia="en-AU"/>
              </w:rPr>
            </w:pPr>
            <w:r>
              <w:rPr>
                <w:lang w:eastAsia="en-AU"/>
              </w:rPr>
              <w:t>Provided study character-istics</w:t>
            </w:r>
          </w:p>
        </w:tc>
        <w:tc>
          <w:tcPr>
            <w:tcW w:w="386" w:type="pct"/>
            <w:shd w:val="clear" w:color="auto" w:fill="366091"/>
          </w:tcPr>
          <w:p w14:paraId="45716359" w14:textId="77777777" w:rsidR="008B1C85" w:rsidRDefault="008B1C85" w:rsidP="008B1C85">
            <w:pPr>
              <w:pStyle w:val="01Tableheadingorsubheading"/>
              <w:jc w:val="center"/>
              <w:rPr>
                <w:lang w:eastAsia="en-AU"/>
              </w:rPr>
            </w:pPr>
            <w:r>
              <w:rPr>
                <w:lang w:eastAsia="en-AU"/>
              </w:rPr>
              <w:t>(7)</w:t>
            </w:r>
          </w:p>
          <w:p w14:paraId="29FD15F0" w14:textId="77777777" w:rsidR="008B1C85" w:rsidRPr="00770667" w:rsidRDefault="008B1C85" w:rsidP="008B1C85">
            <w:pPr>
              <w:pStyle w:val="01Tableheadingorsubheading"/>
              <w:jc w:val="center"/>
              <w:rPr>
                <w:lang w:eastAsia="en-AU"/>
              </w:rPr>
            </w:pPr>
            <w:r>
              <w:rPr>
                <w:lang w:eastAsia="en-AU"/>
              </w:rPr>
              <w:t>Assessed scientific quality</w:t>
            </w:r>
          </w:p>
        </w:tc>
        <w:tc>
          <w:tcPr>
            <w:tcW w:w="386" w:type="pct"/>
            <w:shd w:val="clear" w:color="auto" w:fill="366091"/>
          </w:tcPr>
          <w:p w14:paraId="6D3F7266" w14:textId="77777777" w:rsidR="008B1C85" w:rsidRDefault="008B1C85" w:rsidP="008B1C85">
            <w:pPr>
              <w:pStyle w:val="01Tableheadingorsubheading"/>
              <w:jc w:val="center"/>
              <w:rPr>
                <w:lang w:eastAsia="en-AU"/>
              </w:rPr>
            </w:pPr>
            <w:r>
              <w:rPr>
                <w:lang w:eastAsia="en-AU"/>
              </w:rPr>
              <w:t>(8)</w:t>
            </w:r>
          </w:p>
          <w:p w14:paraId="3614A792" w14:textId="77777777" w:rsidR="008B1C85" w:rsidRPr="00770667" w:rsidRDefault="008B1C85" w:rsidP="008B1C85">
            <w:pPr>
              <w:pStyle w:val="01Tableheadingorsubheading"/>
              <w:jc w:val="center"/>
              <w:rPr>
                <w:lang w:eastAsia="en-AU"/>
              </w:rPr>
            </w:pPr>
            <w:r>
              <w:rPr>
                <w:lang w:eastAsia="en-AU"/>
              </w:rPr>
              <w:t>Considered quality in report</w:t>
            </w:r>
          </w:p>
        </w:tc>
        <w:tc>
          <w:tcPr>
            <w:tcW w:w="386" w:type="pct"/>
            <w:shd w:val="clear" w:color="auto" w:fill="366091"/>
          </w:tcPr>
          <w:p w14:paraId="516D50E6" w14:textId="77777777" w:rsidR="008B1C85" w:rsidRDefault="008B1C85" w:rsidP="008B1C85">
            <w:pPr>
              <w:pStyle w:val="01Tableheadingorsubheading"/>
              <w:jc w:val="center"/>
              <w:rPr>
                <w:lang w:eastAsia="en-AU"/>
              </w:rPr>
            </w:pPr>
            <w:r>
              <w:rPr>
                <w:lang w:eastAsia="en-AU"/>
              </w:rPr>
              <w:t>(9)</w:t>
            </w:r>
          </w:p>
          <w:p w14:paraId="69C55E9E" w14:textId="77777777" w:rsidR="008B1C85" w:rsidRPr="00770667" w:rsidRDefault="008B1C85" w:rsidP="008B1C85">
            <w:pPr>
              <w:pStyle w:val="01Tableheadingorsubheading"/>
              <w:jc w:val="center"/>
              <w:rPr>
                <w:lang w:eastAsia="en-AU"/>
              </w:rPr>
            </w:pPr>
            <w:r>
              <w:rPr>
                <w:lang w:eastAsia="en-AU"/>
              </w:rPr>
              <w:t>Methods to combine appropriate</w:t>
            </w:r>
          </w:p>
        </w:tc>
        <w:tc>
          <w:tcPr>
            <w:tcW w:w="386" w:type="pct"/>
            <w:shd w:val="clear" w:color="auto" w:fill="366091"/>
          </w:tcPr>
          <w:p w14:paraId="53CBD626" w14:textId="77777777" w:rsidR="008B1C85" w:rsidRDefault="008B1C85" w:rsidP="008B1C85">
            <w:pPr>
              <w:pStyle w:val="01Tableheadingorsubheading"/>
              <w:jc w:val="center"/>
              <w:rPr>
                <w:lang w:eastAsia="en-AU"/>
              </w:rPr>
            </w:pPr>
            <w:r>
              <w:rPr>
                <w:lang w:eastAsia="en-AU"/>
              </w:rPr>
              <w:t>(10)</w:t>
            </w:r>
          </w:p>
          <w:p w14:paraId="4DE34838" w14:textId="77777777" w:rsidR="008B1C85" w:rsidRPr="00770667" w:rsidRDefault="008B1C85" w:rsidP="008B1C85">
            <w:pPr>
              <w:pStyle w:val="01Tableheadingorsubheading"/>
              <w:jc w:val="center"/>
              <w:rPr>
                <w:lang w:eastAsia="en-AU"/>
              </w:rPr>
            </w:pPr>
            <w:r>
              <w:rPr>
                <w:lang w:eastAsia="en-AU"/>
              </w:rPr>
              <w:t>Assessed publication bias</w:t>
            </w:r>
          </w:p>
        </w:tc>
        <w:tc>
          <w:tcPr>
            <w:tcW w:w="381" w:type="pct"/>
            <w:shd w:val="clear" w:color="auto" w:fill="366091"/>
          </w:tcPr>
          <w:p w14:paraId="23567313" w14:textId="77777777" w:rsidR="008B1C85" w:rsidRDefault="008B1C85" w:rsidP="008B1C85">
            <w:pPr>
              <w:pStyle w:val="01Tableheadingorsubheading"/>
              <w:jc w:val="center"/>
              <w:rPr>
                <w:lang w:eastAsia="en-AU"/>
              </w:rPr>
            </w:pPr>
            <w:r>
              <w:rPr>
                <w:lang w:eastAsia="en-AU"/>
              </w:rPr>
              <w:t>(11)</w:t>
            </w:r>
          </w:p>
          <w:p w14:paraId="46895480" w14:textId="77777777" w:rsidR="008B1C85" w:rsidRDefault="008B1C85" w:rsidP="008B1C85">
            <w:pPr>
              <w:pStyle w:val="01Tableheadingorsubheading"/>
              <w:jc w:val="center"/>
              <w:rPr>
                <w:lang w:eastAsia="en-AU"/>
              </w:rPr>
            </w:pPr>
            <w:r>
              <w:rPr>
                <w:lang w:eastAsia="en-AU"/>
              </w:rPr>
              <w:t>Stated conflict of interest</w:t>
            </w:r>
          </w:p>
        </w:tc>
      </w:tr>
      <w:tr w:rsidR="008B1C85" w:rsidRPr="006F2A41" w14:paraId="3046A58D" w14:textId="77777777" w:rsidTr="008B1C85">
        <w:trPr>
          <w:trHeight w:val="227"/>
        </w:trPr>
        <w:tc>
          <w:tcPr>
            <w:tcW w:w="403" w:type="pct"/>
          </w:tcPr>
          <w:p w14:paraId="2AB4D565" w14:textId="77777777" w:rsidR="008B1C85" w:rsidRDefault="008B1C85" w:rsidP="008B1C85">
            <w:pPr>
              <w:pStyle w:val="Tabletext"/>
            </w:pPr>
            <w:r>
              <w:t>Cranston et al (2006)</w:t>
            </w:r>
          </w:p>
        </w:tc>
        <w:tc>
          <w:tcPr>
            <w:tcW w:w="356" w:type="pct"/>
          </w:tcPr>
          <w:p w14:paraId="766B5788" w14:textId="77777777" w:rsidR="008B1C85" w:rsidRPr="006F2A41" w:rsidRDefault="008B1C85" w:rsidP="008B1C85">
            <w:pPr>
              <w:pStyle w:val="Tabletext"/>
              <w:jc w:val="center"/>
            </w:pPr>
            <w:r>
              <w:t>6</w:t>
            </w:r>
          </w:p>
        </w:tc>
        <w:tc>
          <w:tcPr>
            <w:tcW w:w="386" w:type="pct"/>
          </w:tcPr>
          <w:p w14:paraId="0F0A066D" w14:textId="77777777" w:rsidR="008B1C85" w:rsidRPr="006F2A41" w:rsidRDefault="008B1C85" w:rsidP="008B1C85">
            <w:pPr>
              <w:pStyle w:val="Tabletext"/>
              <w:jc w:val="center"/>
            </w:pPr>
            <w:r>
              <w:t>1</w:t>
            </w:r>
          </w:p>
        </w:tc>
        <w:tc>
          <w:tcPr>
            <w:tcW w:w="386" w:type="pct"/>
          </w:tcPr>
          <w:p w14:paraId="0EA54D8E" w14:textId="77777777" w:rsidR="008B1C85" w:rsidRPr="006F2A41" w:rsidRDefault="008B1C85" w:rsidP="008B1C85">
            <w:pPr>
              <w:pStyle w:val="Tabletext"/>
              <w:jc w:val="center"/>
            </w:pPr>
            <w:r>
              <w:t>0</w:t>
            </w:r>
          </w:p>
        </w:tc>
        <w:tc>
          <w:tcPr>
            <w:tcW w:w="386" w:type="pct"/>
          </w:tcPr>
          <w:p w14:paraId="769CFEC6" w14:textId="77777777" w:rsidR="008B1C85" w:rsidRPr="006F2A41" w:rsidRDefault="008B1C85" w:rsidP="008B1C85">
            <w:pPr>
              <w:pStyle w:val="Tabletext"/>
              <w:jc w:val="center"/>
            </w:pPr>
            <w:r>
              <w:t>1</w:t>
            </w:r>
          </w:p>
        </w:tc>
        <w:tc>
          <w:tcPr>
            <w:tcW w:w="386" w:type="pct"/>
          </w:tcPr>
          <w:p w14:paraId="7FE6E8FD" w14:textId="77777777" w:rsidR="008B1C85" w:rsidRPr="006F2A41" w:rsidRDefault="008B1C85" w:rsidP="008B1C85">
            <w:pPr>
              <w:pStyle w:val="Tabletext"/>
              <w:jc w:val="center"/>
            </w:pPr>
            <w:r>
              <w:t>1</w:t>
            </w:r>
          </w:p>
        </w:tc>
        <w:tc>
          <w:tcPr>
            <w:tcW w:w="386" w:type="pct"/>
          </w:tcPr>
          <w:p w14:paraId="588523E0" w14:textId="77777777" w:rsidR="008B1C85" w:rsidRPr="006F2A41" w:rsidRDefault="008B1C85" w:rsidP="008B1C85">
            <w:pPr>
              <w:pStyle w:val="Tabletext"/>
              <w:jc w:val="center"/>
            </w:pPr>
            <w:r>
              <w:t>1</w:t>
            </w:r>
          </w:p>
        </w:tc>
        <w:tc>
          <w:tcPr>
            <w:tcW w:w="386" w:type="pct"/>
          </w:tcPr>
          <w:p w14:paraId="06BE2CDC" w14:textId="77777777" w:rsidR="008B1C85" w:rsidRPr="006F2A41" w:rsidRDefault="008B1C85" w:rsidP="008B1C85">
            <w:pPr>
              <w:pStyle w:val="Tabletext"/>
              <w:jc w:val="center"/>
            </w:pPr>
            <w:r>
              <w:t>1</w:t>
            </w:r>
          </w:p>
        </w:tc>
        <w:tc>
          <w:tcPr>
            <w:tcW w:w="386" w:type="pct"/>
          </w:tcPr>
          <w:p w14:paraId="48CB974A" w14:textId="77777777" w:rsidR="008B1C85" w:rsidRPr="006F2A41" w:rsidRDefault="008B1C85" w:rsidP="008B1C85">
            <w:pPr>
              <w:pStyle w:val="Tabletext"/>
              <w:jc w:val="center"/>
            </w:pPr>
            <w:r>
              <w:t>0</w:t>
            </w:r>
          </w:p>
        </w:tc>
        <w:tc>
          <w:tcPr>
            <w:tcW w:w="386" w:type="pct"/>
          </w:tcPr>
          <w:p w14:paraId="4577C188" w14:textId="77777777" w:rsidR="008B1C85" w:rsidRPr="006F2A41" w:rsidRDefault="008B1C85" w:rsidP="008B1C85">
            <w:pPr>
              <w:pStyle w:val="Tabletext"/>
              <w:jc w:val="center"/>
            </w:pPr>
            <w:r>
              <w:t>1</w:t>
            </w:r>
          </w:p>
        </w:tc>
        <w:tc>
          <w:tcPr>
            <w:tcW w:w="386" w:type="pct"/>
          </w:tcPr>
          <w:p w14:paraId="1E485B78" w14:textId="77777777" w:rsidR="008B1C85" w:rsidRPr="006F2A41" w:rsidRDefault="008B1C85" w:rsidP="008B1C85">
            <w:pPr>
              <w:pStyle w:val="Tabletext"/>
              <w:jc w:val="center"/>
            </w:pPr>
            <w:r>
              <w:t>NA</w:t>
            </w:r>
          </w:p>
        </w:tc>
        <w:tc>
          <w:tcPr>
            <w:tcW w:w="386" w:type="pct"/>
          </w:tcPr>
          <w:p w14:paraId="58E9D4FF" w14:textId="77777777" w:rsidR="008B1C85" w:rsidRPr="006F2A41" w:rsidRDefault="008B1C85" w:rsidP="008B1C85">
            <w:pPr>
              <w:pStyle w:val="Tabletext"/>
              <w:jc w:val="center"/>
            </w:pPr>
            <w:r>
              <w:t>0</w:t>
            </w:r>
          </w:p>
        </w:tc>
        <w:tc>
          <w:tcPr>
            <w:tcW w:w="381" w:type="pct"/>
          </w:tcPr>
          <w:p w14:paraId="1D9D22A4" w14:textId="77777777" w:rsidR="008B1C85" w:rsidRDefault="008B1C85" w:rsidP="008B1C85">
            <w:pPr>
              <w:pStyle w:val="Tabletext"/>
              <w:jc w:val="center"/>
            </w:pPr>
            <w:r>
              <w:t>0</w:t>
            </w:r>
          </w:p>
        </w:tc>
      </w:tr>
      <w:tr w:rsidR="008B1C85" w:rsidRPr="006F2A41" w14:paraId="5B6BE2F7" w14:textId="77777777" w:rsidTr="008B1C85">
        <w:trPr>
          <w:trHeight w:val="227"/>
        </w:trPr>
        <w:tc>
          <w:tcPr>
            <w:tcW w:w="403" w:type="pct"/>
            <w:shd w:val="clear" w:color="auto" w:fill="DBE5F1" w:themeFill="accent1" w:themeFillTint="33"/>
          </w:tcPr>
          <w:p w14:paraId="2149E000" w14:textId="77777777" w:rsidR="008B1C85" w:rsidRDefault="008B1C85" w:rsidP="008B1C85">
            <w:pPr>
              <w:pStyle w:val="Tabletext"/>
            </w:pPr>
            <w:r>
              <w:t>Jos</w:t>
            </w:r>
            <w:r w:rsidRPr="006950EE">
              <w:t>é</w:t>
            </w:r>
            <w:r>
              <w:t xml:space="preserve"> et al (2014)</w:t>
            </w:r>
          </w:p>
        </w:tc>
        <w:tc>
          <w:tcPr>
            <w:tcW w:w="356" w:type="pct"/>
            <w:shd w:val="clear" w:color="auto" w:fill="DBE5F1" w:themeFill="accent1" w:themeFillTint="33"/>
          </w:tcPr>
          <w:p w14:paraId="2A23284F" w14:textId="77777777" w:rsidR="008B1C85" w:rsidRPr="006F2A41" w:rsidRDefault="008B1C85" w:rsidP="008B1C85">
            <w:pPr>
              <w:pStyle w:val="Tabletext"/>
              <w:jc w:val="center"/>
            </w:pPr>
            <w:r>
              <w:t>3</w:t>
            </w:r>
          </w:p>
        </w:tc>
        <w:tc>
          <w:tcPr>
            <w:tcW w:w="386" w:type="pct"/>
            <w:shd w:val="clear" w:color="auto" w:fill="DBE5F1" w:themeFill="accent1" w:themeFillTint="33"/>
          </w:tcPr>
          <w:p w14:paraId="21CE1D0B" w14:textId="77777777" w:rsidR="008B1C85" w:rsidRPr="006F2A41" w:rsidRDefault="008B1C85" w:rsidP="008B1C85">
            <w:pPr>
              <w:pStyle w:val="Tabletext"/>
              <w:jc w:val="center"/>
            </w:pPr>
            <w:r>
              <w:t>1</w:t>
            </w:r>
          </w:p>
        </w:tc>
        <w:tc>
          <w:tcPr>
            <w:tcW w:w="386" w:type="pct"/>
            <w:shd w:val="clear" w:color="auto" w:fill="DBE5F1" w:themeFill="accent1" w:themeFillTint="33"/>
          </w:tcPr>
          <w:p w14:paraId="7B3CE744" w14:textId="77777777" w:rsidR="008B1C85" w:rsidRPr="006F2A41" w:rsidRDefault="008B1C85" w:rsidP="008B1C85">
            <w:pPr>
              <w:pStyle w:val="Tabletext"/>
              <w:jc w:val="center"/>
            </w:pPr>
            <w:r>
              <w:t>0</w:t>
            </w:r>
          </w:p>
        </w:tc>
        <w:tc>
          <w:tcPr>
            <w:tcW w:w="386" w:type="pct"/>
            <w:shd w:val="clear" w:color="auto" w:fill="DBE5F1" w:themeFill="accent1" w:themeFillTint="33"/>
          </w:tcPr>
          <w:p w14:paraId="6A81055A" w14:textId="77777777" w:rsidR="008B1C85" w:rsidRPr="006F2A41" w:rsidRDefault="008B1C85" w:rsidP="008B1C85">
            <w:pPr>
              <w:pStyle w:val="Tabletext"/>
              <w:jc w:val="center"/>
            </w:pPr>
            <w:r>
              <w:t>0</w:t>
            </w:r>
          </w:p>
        </w:tc>
        <w:tc>
          <w:tcPr>
            <w:tcW w:w="386" w:type="pct"/>
            <w:shd w:val="clear" w:color="auto" w:fill="DBE5F1" w:themeFill="accent1" w:themeFillTint="33"/>
          </w:tcPr>
          <w:p w14:paraId="72B72C07" w14:textId="77777777" w:rsidR="008B1C85" w:rsidRPr="006F2A41" w:rsidRDefault="008B1C85" w:rsidP="008B1C85">
            <w:pPr>
              <w:pStyle w:val="Tabletext"/>
              <w:jc w:val="center"/>
            </w:pPr>
            <w:r>
              <w:t>0</w:t>
            </w:r>
          </w:p>
        </w:tc>
        <w:tc>
          <w:tcPr>
            <w:tcW w:w="386" w:type="pct"/>
            <w:shd w:val="clear" w:color="auto" w:fill="DBE5F1" w:themeFill="accent1" w:themeFillTint="33"/>
          </w:tcPr>
          <w:p w14:paraId="7820FCAE" w14:textId="77777777" w:rsidR="008B1C85" w:rsidRPr="006F2A41" w:rsidRDefault="008B1C85" w:rsidP="008B1C85">
            <w:pPr>
              <w:pStyle w:val="Tabletext"/>
              <w:jc w:val="center"/>
            </w:pPr>
            <w:r>
              <w:t>1</w:t>
            </w:r>
          </w:p>
        </w:tc>
        <w:tc>
          <w:tcPr>
            <w:tcW w:w="386" w:type="pct"/>
            <w:shd w:val="clear" w:color="auto" w:fill="DBE5F1" w:themeFill="accent1" w:themeFillTint="33"/>
          </w:tcPr>
          <w:p w14:paraId="248A8E08" w14:textId="77777777" w:rsidR="008B1C85" w:rsidRPr="006F2A41" w:rsidRDefault="008B1C85" w:rsidP="008B1C85">
            <w:pPr>
              <w:pStyle w:val="Tabletext"/>
              <w:jc w:val="center"/>
            </w:pPr>
            <w:r>
              <w:t>1</w:t>
            </w:r>
          </w:p>
        </w:tc>
        <w:tc>
          <w:tcPr>
            <w:tcW w:w="386" w:type="pct"/>
            <w:shd w:val="clear" w:color="auto" w:fill="DBE5F1" w:themeFill="accent1" w:themeFillTint="33"/>
          </w:tcPr>
          <w:p w14:paraId="72779541" w14:textId="77777777" w:rsidR="008B1C85" w:rsidRPr="006F2A41" w:rsidRDefault="008B1C85" w:rsidP="008B1C85">
            <w:pPr>
              <w:pStyle w:val="Tabletext"/>
              <w:jc w:val="center"/>
            </w:pPr>
            <w:r>
              <w:t>0</w:t>
            </w:r>
          </w:p>
        </w:tc>
        <w:tc>
          <w:tcPr>
            <w:tcW w:w="386" w:type="pct"/>
            <w:shd w:val="clear" w:color="auto" w:fill="DBE5F1" w:themeFill="accent1" w:themeFillTint="33"/>
          </w:tcPr>
          <w:p w14:paraId="70A5E256" w14:textId="77777777" w:rsidR="008B1C85" w:rsidRPr="006F2A41" w:rsidRDefault="008B1C85" w:rsidP="008B1C85">
            <w:pPr>
              <w:pStyle w:val="Tabletext"/>
              <w:jc w:val="center"/>
            </w:pPr>
            <w:r>
              <w:t>0</w:t>
            </w:r>
          </w:p>
        </w:tc>
        <w:tc>
          <w:tcPr>
            <w:tcW w:w="386" w:type="pct"/>
            <w:shd w:val="clear" w:color="auto" w:fill="DBE5F1" w:themeFill="accent1" w:themeFillTint="33"/>
          </w:tcPr>
          <w:p w14:paraId="26E8E3AC" w14:textId="77777777" w:rsidR="008B1C85" w:rsidRPr="006F2A41" w:rsidRDefault="008B1C85" w:rsidP="008B1C85">
            <w:pPr>
              <w:pStyle w:val="Tabletext"/>
              <w:jc w:val="center"/>
            </w:pPr>
            <w:r>
              <w:t>NA</w:t>
            </w:r>
          </w:p>
        </w:tc>
        <w:tc>
          <w:tcPr>
            <w:tcW w:w="386" w:type="pct"/>
            <w:shd w:val="clear" w:color="auto" w:fill="DBE5F1" w:themeFill="accent1" w:themeFillTint="33"/>
          </w:tcPr>
          <w:p w14:paraId="4F72FCA6" w14:textId="77777777" w:rsidR="008B1C85" w:rsidRPr="006F2A41" w:rsidRDefault="008B1C85" w:rsidP="008B1C85">
            <w:pPr>
              <w:pStyle w:val="Tabletext"/>
              <w:jc w:val="center"/>
            </w:pPr>
            <w:r>
              <w:t>0</w:t>
            </w:r>
          </w:p>
        </w:tc>
        <w:tc>
          <w:tcPr>
            <w:tcW w:w="381" w:type="pct"/>
            <w:shd w:val="clear" w:color="auto" w:fill="DBE5F1" w:themeFill="accent1" w:themeFillTint="33"/>
          </w:tcPr>
          <w:p w14:paraId="09534ADE" w14:textId="77777777" w:rsidR="008B1C85" w:rsidRDefault="008B1C85" w:rsidP="008B1C85">
            <w:pPr>
              <w:pStyle w:val="Tabletext"/>
              <w:jc w:val="center"/>
            </w:pPr>
            <w:r>
              <w:t>0</w:t>
            </w:r>
          </w:p>
        </w:tc>
      </w:tr>
      <w:tr w:rsidR="008B1C85" w:rsidRPr="006F2A41" w14:paraId="7278CA5E" w14:textId="77777777" w:rsidTr="008B1C85">
        <w:trPr>
          <w:trHeight w:val="227"/>
        </w:trPr>
        <w:tc>
          <w:tcPr>
            <w:tcW w:w="403" w:type="pct"/>
          </w:tcPr>
          <w:p w14:paraId="54EF0009" w14:textId="77777777" w:rsidR="008B1C85" w:rsidRDefault="008B1C85" w:rsidP="008B1C85">
            <w:pPr>
              <w:pStyle w:val="Tabletext"/>
            </w:pPr>
            <w:r>
              <w:t>Langdown and Peckham (2014)</w:t>
            </w:r>
          </w:p>
        </w:tc>
        <w:tc>
          <w:tcPr>
            <w:tcW w:w="356" w:type="pct"/>
          </w:tcPr>
          <w:p w14:paraId="6FE13F18" w14:textId="77777777" w:rsidR="008B1C85" w:rsidRDefault="008B1C85" w:rsidP="008B1C85">
            <w:pPr>
              <w:pStyle w:val="Tabletext"/>
              <w:jc w:val="center"/>
            </w:pPr>
            <w:r>
              <w:t>7</w:t>
            </w:r>
          </w:p>
        </w:tc>
        <w:tc>
          <w:tcPr>
            <w:tcW w:w="386" w:type="pct"/>
          </w:tcPr>
          <w:p w14:paraId="2F3E7627" w14:textId="77777777" w:rsidR="008B1C85" w:rsidRDefault="008B1C85" w:rsidP="008B1C85">
            <w:pPr>
              <w:pStyle w:val="Tabletext"/>
              <w:jc w:val="center"/>
            </w:pPr>
            <w:r>
              <w:t>1</w:t>
            </w:r>
          </w:p>
        </w:tc>
        <w:tc>
          <w:tcPr>
            <w:tcW w:w="386" w:type="pct"/>
          </w:tcPr>
          <w:p w14:paraId="0A478885" w14:textId="77777777" w:rsidR="008B1C85" w:rsidRDefault="008B1C85" w:rsidP="008B1C85">
            <w:pPr>
              <w:pStyle w:val="Tabletext"/>
              <w:jc w:val="center"/>
            </w:pPr>
            <w:r>
              <w:t>0</w:t>
            </w:r>
          </w:p>
        </w:tc>
        <w:tc>
          <w:tcPr>
            <w:tcW w:w="386" w:type="pct"/>
          </w:tcPr>
          <w:p w14:paraId="754CFB54" w14:textId="77777777" w:rsidR="008B1C85" w:rsidRDefault="008B1C85" w:rsidP="008B1C85">
            <w:pPr>
              <w:pStyle w:val="Tabletext"/>
              <w:jc w:val="center"/>
            </w:pPr>
            <w:r>
              <w:t>1</w:t>
            </w:r>
          </w:p>
        </w:tc>
        <w:tc>
          <w:tcPr>
            <w:tcW w:w="386" w:type="pct"/>
          </w:tcPr>
          <w:p w14:paraId="2552BB61" w14:textId="77777777" w:rsidR="008B1C85" w:rsidRDefault="008B1C85" w:rsidP="008B1C85">
            <w:pPr>
              <w:pStyle w:val="Tabletext"/>
              <w:jc w:val="center"/>
            </w:pPr>
            <w:r>
              <w:t>1</w:t>
            </w:r>
          </w:p>
        </w:tc>
        <w:tc>
          <w:tcPr>
            <w:tcW w:w="386" w:type="pct"/>
          </w:tcPr>
          <w:p w14:paraId="71EB476F" w14:textId="77777777" w:rsidR="008B1C85" w:rsidRDefault="008B1C85" w:rsidP="008B1C85">
            <w:pPr>
              <w:pStyle w:val="Tabletext"/>
              <w:jc w:val="center"/>
            </w:pPr>
            <w:r>
              <w:t>1</w:t>
            </w:r>
          </w:p>
        </w:tc>
        <w:tc>
          <w:tcPr>
            <w:tcW w:w="386" w:type="pct"/>
          </w:tcPr>
          <w:p w14:paraId="6A206D4D" w14:textId="77777777" w:rsidR="008B1C85" w:rsidRDefault="008B1C85" w:rsidP="008B1C85">
            <w:pPr>
              <w:pStyle w:val="Tabletext"/>
              <w:jc w:val="center"/>
            </w:pPr>
            <w:r>
              <w:t>1</w:t>
            </w:r>
          </w:p>
        </w:tc>
        <w:tc>
          <w:tcPr>
            <w:tcW w:w="386" w:type="pct"/>
          </w:tcPr>
          <w:p w14:paraId="790E061A" w14:textId="77777777" w:rsidR="008B1C85" w:rsidRDefault="008B1C85" w:rsidP="008B1C85">
            <w:pPr>
              <w:pStyle w:val="Tabletext"/>
              <w:jc w:val="center"/>
            </w:pPr>
            <w:r>
              <w:t>1</w:t>
            </w:r>
          </w:p>
        </w:tc>
        <w:tc>
          <w:tcPr>
            <w:tcW w:w="386" w:type="pct"/>
          </w:tcPr>
          <w:p w14:paraId="2A0CF933" w14:textId="77777777" w:rsidR="008B1C85" w:rsidRDefault="008B1C85" w:rsidP="008B1C85">
            <w:pPr>
              <w:pStyle w:val="Tabletext"/>
              <w:jc w:val="center"/>
            </w:pPr>
            <w:r>
              <w:t>1</w:t>
            </w:r>
          </w:p>
        </w:tc>
        <w:tc>
          <w:tcPr>
            <w:tcW w:w="386" w:type="pct"/>
          </w:tcPr>
          <w:p w14:paraId="4EC0E6C7" w14:textId="77777777" w:rsidR="008B1C85" w:rsidRDefault="008B1C85" w:rsidP="008B1C85">
            <w:pPr>
              <w:pStyle w:val="Tabletext"/>
              <w:jc w:val="center"/>
            </w:pPr>
            <w:r>
              <w:t>NA</w:t>
            </w:r>
          </w:p>
        </w:tc>
        <w:tc>
          <w:tcPr>
            <w:tcW w:w="386" w:type="pct"/>
          </w:tcPr>
          <w:p w14:paraId="5962448C" w14:textId="77777777" w:rsidR="008B1C85" w:rsidRDefault="008B1C85" w:rsidP="008B1C85">
            <w:pPr>
              <w:pStyle w:val="Tabletext"/>
              <w:jc w:val="center"/>
            </w:pPr>
            <w:r>
              <w:t>0</w:t>
            </w:r>
          </w:p>
        </w:tc>
        <w:tc>
          <w:tcPr>
            <w:tcW w:w="381" w:type="pct"/>
          </w:tcPr>
          <w:p w14:paraId="29EC8A0C" w14:textId="77777777" w:rsidR="008B1C85" w:rsidRDefault="008B1C85" w:rsidP="008B1C85">
            <w:pPr>
              <w:pStyle w:val="Tabletext"/>
              <w:jc w:val="center"/>
            </w:pPr>
            <w:r>
              <w:t>0</w:t>
            </w:r>
          </w:p>
        </w:tc>
      </w:tr>
      <w:tr w:rsidR="008B1C85" w:rsidRPr="006F2A41" w14:paraId="716E7473" w14:textId="77777777" w:rsidTr="008B1C85">
        <w:trPr>
          <w:trHeight w:val="227"/>
        </w:trPr>
        <w:tc>
          <w:tcPr>
            <w:tcW w:w="403" w:type="pct"/>
            <w:shd w:val="clear" w:color="auto" w:fill="DBE5F1" w:themeFill="accent1" w:themeFillTint="33"/>
          </w:tcPr>
          <w:p w14:paraId="1EF87A73" w14:textId="77777777" w:rsidR="008B1C85" w:rsidRDefault="008B1C85" w:rsidP="008B1C85">
            <w:pPr>
              <w:pStyle w:val="Tabletext"/>
            </w:pPr>
            <w:r>
              <w:t>Wilt et al (2005) [HTA for AHRQ]</w:t>
            </w:r>
          </w:p>
        </w:tc>
        <w:tc>
          <w:tcPr>
            <w:tcW w:w="356" w:type="pct"/>
            <w:shd w:val="clear" w:color="auto" w:fill="DBE5F1" w:themeFill="accent1" w:themeFillTint="33"/>
          </w:tcPr>
          <w:p w14:paraId="3D7E62D2" w14:textId="77777777" w:rsidR="008B1C85" w:rsidRPr="006F2A41" w:rsidRDefault="008B1C85" w:rsidP="008B1C85">
            <w:pPr>
              <w:pStyle w:val="Tabletext"/>
              <w:jc w:val="center"/>
            </w:pPr>
            <w:r>
              <w:t>8</w:t>
            </w:r>
          </w:p>
        </w:tc>
        <w:tc>
          <w:tcPr>
            <w:tcW w:w="386" w:type="pct"/>
            <w:shd w:val="clear" w:color="auto" w:fill="DBE5F1" w:themeFill="accent1" w:themeFillTint="33"/>
          </w:tcPr>
          <w:p w14:paraId="34A1F259" w14:textId="77777777" w:rsidR="008B1C85" w:rsidRPr="006F2A41" w:rsidRDefault="008B1C85" w:rsidP="008B1C85">
            <w:pPr>
              <w:pStyle w:val="Tabletext"/>
              <w:jc w:val="center"/>
            </w:pPr>
            <w:r>
              <w:t>1</w:t>
            </w:r>
          </w:p>
        </w:tc>
        <w:tc>
          <w:tcPr>
            <w:tcW w:w="386" w:type="pct"/>
            <w:shd w:val="clear" w:color="auto" w:fill="DBE5F1" w:themeFill="accent1" w:themeFillTint="33"/>
          </w:tcPr>
          <w:p w14:paraId="43DB14ED" w14:textId="77777777" w:rsidR="008B1C85" w:rsidRPr="006F2A41" w:rsidRDefault="008B1C85" w:rsidP="008B1C85">
            <w:pPr>
              <w:pStyle w:val="Tabletext"/>
              <w:jc w:val="center"/>
            </w:pPr>
            <w:r>
              <w:t>CA</w:t>
            </w:r>
          </w:p>
        </w:tc>
        <w:tc>
          <w:tcPr>
            <w:tcW w:w="386" w:type="pct"/>
            <w:shd w:val="clear" w:color="auto" w:fill="DBE5F1" w:themeFill="accent1" w:themeFillTint="33"/>
          </w:tcPr>
          <w:p w14:paraId="46BEA4B5" w14:textId="77777777" w:rsidR="008B1C85" w:rsidRPr="006F2A41" w:rsidRDefault="008B1C85" w:rsidP="008B1C85">
            <w:pPr>
              <w:pStyle w:val="Tabletext"/>
              <w:jc w:val="center"/>
            </w:pPr>
            <w:r>
              <w:t>1</w:t>
            </w:r>
          </w:p>
        </w:tc>
        <w:tc>
          <w:tcPr>
            <w:tcW w:w="386" w:type="pct"/>
            <w:shd w:val="clear" w:color="auto" w:fill="DBE5F1" w:themeFill="accent1" w:themeFillTint="33"/>
          </w:tcPr>
          <w:p w14:paraId="1AC1A114" w14:textId="77777777" w:rsidR="008B1C85" w:rsidRPr="006F2A41" w:rsidRDefault="008B1C85" w:rsidP="008B1C85">
            <w:pPr>
              <w:pStyle w:val="Tabletext"/>
              <w:jc w:val="center"/>
            </w:pPr>
            <w:r>
              <w:t>1</w:t>
            </w:r>
          </w:p>
        </w:tc>
        <w:tc>
          <w:tcPr>
            <w:tcW w:w="386" w:type="pct"/>
            <w:shd w:val="clear" w:color="auto" w:fill="DBE5F1" w:themeFill="accent1" w:themeFillTint="33"/>
          </w:tcPr>
          <w:p w14:paraId="114D3045" w14:textId="77777777" w:rsidR="008B1C85" w:rsidRPr="006F2A41" w:rsidRDefault="008B1C85" w:rsidP="008B1C85">
            <w:pPr>
              <w:pStyle w:val="Tabletext"/>
              <w:jc w:val="center"/>
            </w:pPr>
            <w:r>
              <w:t>1</w:t>
            </w:r>
          </w:p>
        </w:tc>
        <w:tc>
          <w:tcPr>
            <w:tcW w:w="386" w:type="pct"/>
            <w:shd w:val="clear" w:color="auto" w:fill="DBE5F1" w:themeFill="accent1" w:themeFillTint="33"/>
          </w:tcPr>
          <w:p w14:paraId="59417CCA" w14:textId="77777777" w:rsidR="008B1C85" w:rsidRPr="006F2A41" w:rsidRDefault="008B1C85" w:rsidP="008B1C85">
            <w:pPr>
              <w:pStyle w:val="Tabletext"/>
              <w:jc w:val="center"/>
            </w:pPr>
            <w:r>
              <w:t>1</w:t>
            </w:r>
          </w:p>
        </w:tc>
        <w:tc>
          <w:tcPr>
            <w:tcW w:w="386" w:type="pct"/>
            <w:shd w:val="clear" w:color="auto" w:fill="DBE5F1" w:themeFill="accent1" w:themeFillTint="33"/>
          </w:tcPr>
          <w:p w14:paraId="405D344A" w14:textId="77777777" w:rsidR="008B1C85" w:rsidRPr="006F2A41" w:rsidRDefault="008B1C85" w:rsidP="008B1C85">
            <w:pPr>
              <w:pStyle w:val="Tabletext"/>
              <w:jc w:val="center"/>
            </w:pPr>
            <w:r>
              <w:t>1</w:t>
            </w:r>
          </w:p>
        </w:tc>
        <w:tc>
          <w:tcPr>
            <w:tcW w:w="386" w:type="pct"/>
            <w:shd w:val="clear" w:color="auto" w:fill="DBE5F1" w:themeFill="accent1" w:themeFillTint="33"/>
          </w:tcPr>
          <w:p w14:paraId="52ABCBBB" w14:textId="77777777" w:rsidR="008B1C85" w:rsidRPr="006F2A41" w:rsidRDefault="008B1C85" w:rsidP="008B1C85">
            <w:pPr>
              <w:pStyle w:val="Tabletext"/>
              <w:jc w:val="center"/>
            </w:pPr>
            <w:r>
              <w:t>1</w:t>
            </w:r>
          </w:p>
        </w:tc>
        <w:tc>
          <w:tcPr>
            <w:tcW w:w="386" w:type="pct"/>
            <w:shd w:val="clear" w:color="auto" w:fill="DBE5F1" w:themeFill="accent1" w:themeFillTint="33"/>
          </w:tcPr>
          <w:p w14:paraId="23B39E66" w14:textId="77777777" w:rsidR="008B1C85" w:rsidRPr="006F2A41" w:rsidRDefault="008B1C85" w:rsidP="008B1C85">
            <w:pPr>
              <w:pStyle w:val="Tabletext"/>
              <w:jc w:val="center"/>
            </w:pPr>
            <w:r>
              <w:t>1</w:t>
            </w:r>
          </w:p>
        </w:tc>
        <w:tc>
          <w:tcPr>
            <w:tcW w:w="386" w:type="pct"/>
            <w:shd w:val="clear" w:color="auto" w:fill="DBE5F1" w:themeFill="accent1" w:themeFillTint="33"/>
          </w:tcPr>
          <w:p w14:paraId="3CD08440" w14:textId="77777777" w:rsidR="008B1C85" w:rsidRPr="006F2A41" w:rsidRDefault="008B1C85" w:rsidP="008B1C85">
            <w:pPr>
              <w:pStyle w:val="Tabletext"/>
              <w:jc w:val="center"/>
            </w:pPr>
            <w:r>
              <w:t>0</w:t>
            </w:r>
          </w:p>
        </w:tc>
        <w:tc>
          <w:tcPr>
            <w:tcW w:w="381" w:type="pct"/>
            <w:shd w:val="clear" w:color="auto" w:fill="DBE5F1" w:themeFill="accent1" w:themeFillTint="33"/>
          </w:tcPr>
          <w:p w14:paraId="266E52E2" w14:textId="77777777" w:rsidR="008B1C85" w:rsidRDefault="008B1C85" w:rsidP="008B1C85">
            <w:pPr>
              <w:pStyle w:val="Tabletext"/>
              <w:jc w:val="center"/>
            </w:pPr>
            <w:r>
              <w:t>0</w:t>
            </w:r>
          </w:p>
        </w:tc>
      </w:tr>
      <w:tr w:rsidR="008B1C85" w:rsidRPr="006F2A41" w14:paraId="5903DAB1" w14:textId="77777777" w:rsidTr="008B1C85">
        <w:trPr>
          <w:trHeight w:val="227"/>
        </w:trPr>
        <w:tc>
          <w:tcPr>
            <w:tcW w:w="403" w:type="pct"/>
            <w:shd w:val="clear" w:color="auto" w:fill="auto"/>
          </w:tcPr>
          <w:p w14:paraId="35766381" w14:textId="77777777" w:rsidR="008B1C85" w:rsidRDefault="008B1C85" w:rsidP="008B1C85">
            <w:pPr>
              <w:pStyle w:val="Tabletext"/>
            </w:pPr>
            <w:r>
              <w:t>Wilt et al (2007)</w:t>
            </w:r>
          </w:p>
        </w:tc>
        <w:tc>
          <w:tcPr>
            <w:tcW w:w="356" w:type="pct"/>
          </w:tcPr>
          <w:p w14:paraId="19D40BEE" w14:textId="77777777" w:rsidR="008B1C85" w:rsidRPr="006F2A41" w:rsidRDefault="008B1C85" w:rsidP="008B1C85">
            <w:pPr>
              <w:pStyle w:val="Tabletext"/>
              <w:jc w:val="center"/>
            </w:pPr>
            <w:r>
              <w:t>10</w:t>
            </w:r>
          </w:p>
        </w:tc>
        <w:tc>
          <w:tcPr>
            <w:tcW w:w="386" w:type="pct"/>
          </w:tcPr>
          <w:p w14:paraId="76DA688C" w14:textId="77777777" w:rsidR="008B1C85" w:rsidRPr="006F2A41" w:rsidRDefault="008B1C85" w:rsidP="008B1C85">
            <w:pPr>
              <w:pStyle w:val="Tabletext"/>
              <w:jc w:val="center"/>
            </w:pPr>
            <w:r>
              <w:t>1</w:t>
            </w:r>
          </w:p>
        </w:tc>
        <w:tc>
          <w:tcPr>
            <w:tcW w:w="386" w:type="pct"/>
          </w:tcPr>
          <w:p w14:paraId="33E9C0D1" w14:textId="77777777" w:rsidR="008B1C85" w:rsidRPr="006F2A41" w:rsidRDefault="008B1C85" w:rsidP="008B1C85">
            <w:pPr>
              <w:pStyle w:val="Tabletext"/>
              <w:jc w:val="center"/>
            </w:pPr>
            <w:r>
              <w:t>1</w:t>
            </w:r>
          </w:p>
        </w:tc>
        <w:tc>
          <w:tcPr>
            <w:tcW w:w="386" w:type="pct"/>
          </w:tcPr>
          <w:p w14:paraId="2996D271" w14:textId="77777777" w:rsidR="008B1C85" w:rsidRPr="006F2A41" w:rsidRDefault="008B1C85" w:rsidP="008B1C85">
            <w:pPr>
              <w:pStyle w:val="Tabletext"/>
              <w:jc w:val="center"/>
            </w:pPr>
            <w:r>
              <w:t>1</w:t>
            </w:r>
          </w:p>
        </w:tc>
        <w:tc>
          <w:tcPr>
            <w:tcW w:w="386" w:type="pct"/>
          </w:tcPr>
          <w:p w14:paraId="1A13FB97" w14:textId="77777777" w:rsidR="008B1C85" w:rsidRPr="006F2A41" w:rsidRDefault="008B1C85" w:rsidP="008B1C85">
            <w:pPr>
              <w:pStyle w:val="Tabletext"/>
              <w:jc w:val="center"/>
            </w:pPr>
            <w:r>
              <w:t>1</w:t>
            </w:r>
          </w:p>
        </w:tc>
        <w:tc>
          <w:tcPr>
            <w:tcW w:w="386" w:type="pct"/>
          </w:tcPr>
          <w:p w14:paraId="0BA78EB9" w14:textId="77777777" w:rsidR="008B1C85" w:rsidRPr="006F2A41" w:rsidRDefault="008B1C85" w:rsidP="008B1C85">
            <w:pPr>
              <w:pStyle w:val="Tabletext"/>
              <w:jc w:val="center"/>
            </w:pPr>
            <w:r>
              <w:t>1</w:t>
            </w:r>
          </w:p>
        </w:tc>
        <w:tc>
          <w:tcPr>
            <w:tcW w:w="386" w:type="pct"/>
          </w:tcPr>
          <w:p w14:paraId="361B11E5" w14:textId="77777777" w:rsidR="008B1C85" w:rsidRPr="006F2A41" w:rsidRDefault="008B1C85" w:rsidP="008B1C85">
            <w:pPr>
              <w:pStyle w:val="Tabletext"/>
              <w:jc w:val="center"/>
            </w:pPr>
            <w:r>
              <w:t>1</w:t>
            </w:r>
          </w:p>
        </w:tc>
        <w:tc>
          <w:tcPr>
            <w:tcW w:w="386" w:type="pct"/>
          </w:tcPr>
          <w:p w14:paraId="478A4AFE" w14:textId="77777777" w:rsidR="008B1C85" w:rsidRPr="006F2A41" w:rsidRDefault="008B1C85" w:rsidP="008B1C85">
            <w:pPr>
              <w:pStyle w:val="Tabletext"/>
              <w:jc w:val="center"/>
            </w:pPr>
            <w:r>
              <w:t>1</w:t>
            </w:r>
          </w:p>
        </w:tc>
        <w:tc>
          <w:tcPr>
            <w:tcW w:w="386" w:type="pct"/>
          </w:tcPr>
          <w:p w14:paraId="1F6BD315" w14:textId="77777777" w:rsidR="008B1C85" w:rsidRPr="006F2A41" w:rsidRDefault="008B1C85" w:rsidP="008B1C85">
            <w:pPr>
              <w:pStyle w:val="Tabletext"/>
              <w:jc w:val="center"/>
            </w:pPr>
            <w:r>
              <w:t>1</w:t>
            </w:r>
          </w:p>
        </w:tc>
        <w:tc>
          <w:tcPr>
            <w:tcW w:w="386" w:type="pct"/>
          </w:tcPr>
          <w:p w14:paraId="068D9A2F" w14:textId="77777777" w:rsidR="008B1C85" w:rsidRPr="006F2A41" w:rsidRDefault="008B1C85" w:rsidP="008B1C85">
            <w:pPr>
              <w:pStyle w:val="Tabletext"/>
              <w:jc w:val="center"/>
            </w:pPr>
            <w:r>
              <w:t>1</w:t>
            </w:r>
          </w:p>
        </w:tc>
        <w:tc>
          <w:tcPr>
            <w:tcW w:w="386" w:type="pct"/>
            <w:shd w:val="clear" w:color="auto" w:fill="auto"/>
          </w:tcPr>
          <w:p w14:paraId="0160B07B" w14:textId="77777777" w:rsidR="008B1C85" w:rsidRPr="006F2A41" w:rsidRDefault="008B1C85" w:rsidP="008B1C85">
            <w:pPr>
              <w:pStyle w:val="Tabletext"/>
              <w:jc w:val="center"/>
            </w:pPr>
            <w:r>
              <w:t>0</w:t>
            </w:r>
          </w:p>
        </w:tc>
        <w:tc>
          <w:tcPr>
            <w:tcW w:w="381" w:type="pct"/>
            <w:shd w:val="clear" w:color="auto" w:fill="auto"/>
          </w:tcPr>
          <w:p w14:paraId="755F0305" w14:textId="77777777" w:rsidR="008B1C85" w:rsidRDefault="008B1C85" w:rsidP="008B1C85">
            <w:pPr>
              <w:pStyle w:val="Tabletext"/>
              <w:jc w:val="center"/>
            </w:pPr>
            <w:r>
              <w:t>1</w:t>
            </w:r>
          </w:p>
        </w:tc>
      </w:tr>
    </w:tbl>
    <w:p w14:paraId="03E991B2" w14:textId="77777777" w:rsidR="008B1C85" w:rsidRDefault="008B1C85" w:rsidP="008B1C85">
      <w:pPr>
        <w:pStyle w:val="08Tablefootnotes"/>
      </w:pPr>
      <w:r>
        <w:t>Abbreviations: AHRQ, Agency for HealthCare Research and Quality; AMSTAR, Assessment of Multiple Systematic Reviews; CA, can’t answer; HTA, health technology assessment; NA, not applicable</w:t>
      </w:r>
    </w:p>
    <w:p w14:paraId="32870187" w14:textId="77777777" w:rsidR="008B1C85" w:rsidRDefault="008B1C85" w:rsidP="00D56F93">
      <w:pPr>
        <w:pStyle w:val="09Tablefootnoteslast-nostick"/>
      </w:pPr>
      <w:r w:rsidRPr="00DC5B0D">
        <w:rPr>
          <w:b/>
        </w:rPr>
        <w:t>a</w:t>
      </w:r>
      <w:r>
        <w:t xml:space="preserve"> 1 = Yes, 0 = No; maximum possible score is 11. Details of AMSTAR Score are described in Shea et al (2007).</w:t>
      </w:r>
    </w:p>
    <w:p w14:paraId="005263CD" w14:textId="77777777" w:rsidR="008B1C85" w:rsidRDefault="008B1C85" w:rsidP="008B1C85">
      <w:pPr>
        <w:pStyle w:val="BodyText"/>
        <w:sectPr w:rsidR="008B1C85" w:rsidSect="008B1C85">
          <w:headerReference w:type="default" r:id="rId28"/>
          <w:footerReference w:type="default" r:id="rId29"/>
          <w:pgSz w:w="16838" w:h="11906" w:orient="landscape" w:code="9"/>
          <w:pgMar w:top="1701" w:right="1134" w:bottom="1134" w:left="1701" w:header="567" w:footer="567" w:gutter="0"/>
          <w:cols w:space="708"/>
          <w:docGrid w:linePitch="360"/>
        </w:sectPr>
      </w:pPr>
    </w:p>
    <w:p w14:paraId="73CB5515" w14:textId="77777777" w:rsidR="008B1C85" w:rsidRDefault="00E42D4A" w:rsidP="00A227D5">
      <w:pPr>
        <w:pStyle w:val="AttHeading1"/>
      </w:pPr>
      <w:bookmarkStart w:id="388" w:name="_Ref442172548"/>
      <w:bookmarkStart w:id="389" w:name="_Ref442179746"/>
      <w:bookmarkStart w:id="390" w:name="_Toc442450715"/>
      <w:bookmarkStart w:id="391" w:name="_Ref441671446"/>
      <w:bookmarkStart w:id="392" w:name="_Ref442202068"/>
      <w:r>
        <w:lastRenderedPageBreak/>
        <w:t xml:space="preserve">Appendix 6 </w:t>
      </w:r>
      <w:r w:rsidR="008B1C85">
        <w:t>Guideline General information</w:t>
      </w:r>
      <w:bookmarkEnd w:id="388"/>
      <w:bookmarkEnd w:id="389"/>
      <w:bookmarkEnd w:id="390"/>
    </w:p>
    <w:p w14:paraId="5A8C0DE0" w14:textId="77777777" w:rsidR="008B1C85" w:rsidRPr="00A61DE8" w:rsidRDefault="00A227D5" w:rsidP="00A227D5">
      <w:pPr>
        <w:pStyle w:val="AttHeading2"/>
      </w:pPr>
      <w:r>
        <w:t xml:space="preserve">Appendix 6.1 </w:t>
      </w:r>
      <w:r w:rsidR="008B1C85" w:rsidRPr="00A61DE8">
        <w:t>Asthma</w:t>
      </w:r>
    </w:p>
    <w:p w14:paraId="49FD2D5B" w14:textId="77777777" w:rsidR="008B1C85" w:rsidRPr="00FE05D1" w:rsidRDefault="008B1C85" w:rsidP="00D56F93">
      <w:pPr>
        <w:pStyle w:val="AttHeading5"/>
      </w:pPr>
      <w:r w:rsidRPr="00FE05D1">
        <w:t>National Asthma Council Australia (2015)</w:t>
      </w:r>
    </w:p>
    <w:p w14:paraId="10C1D3E1" w14:textId="3C6787A2" w:rsidR="008B1C85" w:rsidRPr="00FE05D1" w:rsidRDefault="008B1C85" w:rsidP="008B1C85">
      <w:r w:rsidRPr="00FE05D1">
        <w:t xml:space="preserve">The </w:t>
      </w:r>
      <w:r w:rsidRPr="00FE05D1">
        <w:rPr>
          <w:i/>
        </w:rPr>
        <w:t>Australian Asthma Handbook</w:t>
      </w:r>
      <w:r w:rsidRPr="00FE05D1">
        <w:t xml:space="preserve"> provides best-practice recommendations based on published evidence for health professionals working in primary care. The Handbook focuses of the diagnosis of asthma in children and adults as well as acute and long-term asthma management. Evidence-based recommendations were graded using NHMRC grades A to D (see </w:t>
      </w:r>
      <w:r w:rsidRPr="00FE05D1">
        <w:fldChar w:fldCharType="begin"/>
      </w:r>
      <w:r w:rsidRPr="00FE05D1">
        <w:instrText xml:space="preserve"> REF _Ref442432114 \n \h </w:instrText>
      </w:r>
      <w:r>
        <w:instrText xml:space="preserve"> \* MERGEFORMAT </w:instrText>
      </w:r>
      <w:r w:rsidRPr="00FE05D1">
        <w:fldChar w:fldCharType="separate"/>
      </w:r>
      <w:r w:rsidR="00F2203C">
        <w:t>0</w:t>
      </w:r>
      <w:r w:rsidRPr="00FE05D1">
        <w:fldChar w:fldCharType="end"/>
      </w:r>
      <w:r w:rsidRPr="00FE05D1">
        <w:t xml:space="preserve"> for further details); however, the recommendations relevant to this review were all consensus recommendations, based on clinical experience and expert opinion, with occasional references to published sources.</w:t>
      </w:r>
    </w:p>
    <w:p w14:paraId="76EA0DB7" w14:textId="77777777" w:rsidR="008B1C85" w:rsidRPr="00FE05D1" w:rsidRDefault="008B1C85" w:rsidP="00D56F93">
      <w:pPr>
        <w:pStyle w:val="AttHeading5"/>
      </w:pPr>
      <w:r w:rsidRPr="00FE05D1">
        <w:t>National Asthma Council Australia (2013)</w:t>
      </w:r>
    </w:p>
    <w:p w14:paraId="0C1D216A" w14:textId="77777777" w:rsidR="008B1C85" w:rsidRPr="00FE05D1" w:rsidRDefault="008B1C85" w:rsidP="008B1C85">
      <w:r w:rsidRPr="00FE05D1">
        <w:t xml:space="preserve">The NAC also developed an information paper for health professionals entitled </w:t>
      </w:r>
      <w:r w:rsidRPr="00FE05D1">
        <w:rPr>
          <w:i/>
        </w:rPr>
        <w:t xml:space="preserve">Asthma &amp; the Over 65s. </w:t>
      </w:r>
      <w:r w:rsidRPr="00FE05D1">
        <w:t xml:space="preserve">This resource is not a full CPG; however, some recommendations of particular relevance to older patients were provided and are summarised in this Rapid Review. </w:t>
      </w:r>
    </w:p>
    <w:p w14:paraId="5497A3C4" w14:textId="77777777" w:rsidR="008B1C85" w:rsidRPr="00FE05D1" w:rsidRDefault="008B1C85" w:rsidP="00D56F93">
      <w:pPr>
        <w:pStyle w:val="AttHeading5"/>
      </w:pPr>
      <w:r w:rsidRPr="00FE05D1">
        <w:t>National Clinical Guideline Centre (2016)</w:t>
      </w:r>
    </w:p>
    <w:p w14:paraId="58728240" w14:textId="77777777" w:rsidR="008B1C85" w:rsidRPr="00FE05D1" w:rsidRDefault="008B1C85" w:rsidP="008B1C85">
      <w:r w:rsidRPr="00FE05D1">
        <w:t>This NCGC guideline, commissioned by NICE, offers best-practice advice on the care of people with suspected asthma presenting with respiratory symptoms, and ongoing monitoring of asthma in people with a confirmed diagnosis.</w:t>
      </w:r>
    </w:p>
    <w:p w14:paraId="3BFBA83E" w14:textId="77777777" w:rsidR="008B1C85" w:rsidRPr="00FE05D1" w:rsidRDefault="008B1C85" w:rsidP="000A5A36">
      <w:r w:rsidRPr="00FE05D1">
        <w:t>Recommendations were drafted on the basis of evidence available up to 1 October 2014.</w:t>
      </w:r>
      <w:r w:rsidRPr="00FE05D1">
        <w:rPr>
          <w:rStyle w:val="FootnoteReference"/>
        </w:rPr>
        <w:footnoteReference w:id="26"/>
      </w:r>
      <w:r w:rsidRPr="00FE05D1">
        <w:t xml:space="preserve"> The included studies were assessed using an adaptation of GRADE. For studies of diagnostic accuracy, the Quality Assessment of Diagnostic Accuracy Studies version 2 (QUADAS-2) checklist was used. When clinical and economic evidence was of poor quality, conflicting or absent, the GDG drafted recommendations based on their expert opinion.</w:t>
      </w:r>
    </w:p>
    <w:p w14:paraId="407227F1" w14:textId="77777777" w:rsidR="008B1C85" w:rsidRPr="00FE05D1" w:rsidRDefault="008B1C85" w:rsidP="000A5A36">
      <w:r w:rsidRPr="00FE05D1">
        <w:t>The version of this guideline that is currently available on the NICE website is marked as ‘Interim findings’. From April to November 2014, the Adoption and Impact programme will run an implementation feasibility project in a variety of primary care settings that use different asthma service delivery models. According to the NICE website, the project will focus on the impact and feasibility of implementing two of the objective tests recommended in different diagnostic algorithms in the guideline (quality-assured spirometry and FeNO).</w:t>
      </w:r>
    </w:p>
    <w:p w14:paraId="76732516" w14:textId="77777777" w:rsidR="008B1C85" w:rsidRPr="00FE05D1" w:rsidRDefault="008B1C85" w:rsidP="00D56F93">
      <w:pPr>
        <w:pStyle w:val="AttHeading5"/>
      </w:pPr>
      <w:r w:rsidRPr="00FE05D1">
        <w:t>Global Initiative for Asthma (2015)</w:t>
      </w:r>
    </w:p>
    <w:p w14:paraId="3A62A358" w14:textId="77777777" w:rsidR="008B1C85" w:rsidRPr="00FE05D1" w:rsidRDefault="008B1C85" w:rsidP="000A5A36">
      <w:r w:rsidRPr="00FE05D1">
        <w:t xml:space="preserve">The </w:t>
      </w:r>
      <w:r w:rsidRPr="00FE05D1">
        <w:rPr>
          <w:i/>
        </w:rPr>
        <w:t>Global Strategy for Asthma Management and Prevention</w:t>
      </w:r>
      <w:r w:rsidRPr="00FE05D1">
        <w:t xml:space="preserve"> provides up-to-date evidence-based guidance on the prevention, diagnosis and management of asthma. GINA conducts twice-yearly </w:t>
      </w:r>
      <w:r w:rsidRPr="00FE05D1">
        <w:lastRenderedPageBreak/>
        <w:t>updates of the published literature using PubMed. New evidence, and the potential impact on existing recommendations are discussed by the GINA Science Committee at regular meetings.</w:t>
      </w:r>
    </w:p>
    <w:p w14:paraId="7521459A" w14:textId="77777777" w:rsidR="008B1C85" w:rsidRPr="00FE05D1" w:rsidRDefault="008B1C85" w:rsidP="000A5A36">
      <w:r w:rsidRPr="00FE05D1">
        <w:t>Recent versions of the GINA report have emphasised the importance of confirming the diagnosis of asthma to minimise both under- and over-treatment. Specific advice was added about how to confirm the diagnosis in special populations including elderly patients and patients already on treatment.</w:t>
      </w:r>
    </w:p>
    <w:p w14:paraId="18780E99" w14:textId="77777777" w:rsidR="008B1C85" w:rsidRPr="00FE05D1" w:rsidRDefault="008B1C85" w:rsidP="000A5A36">
      <w:r w:rsidRPr="00FE05D1">
        <w:t>Levels of evidence were assigned to management recommendations; however guidance relating to the diagnosis and assessment of asthma was not rated using this criteria and the evidence underpinning this guidance was not always clear.</w:t>
      </w:r>
    </w:p>
    <w:p w14:paraId="50D4BB8E" w14:textId="77777777" w:rsidR="008B1C85" w:rsidRPr="00FE05D1" w:rsidRDefault="008B1C85" w:rsidP="00D56F93">
      <w:pPr>
        <w:pStyle w:val="AttHeading5"/>
      </w:pPr>
      <w:r w:rsidRPr="00FE05D1">
        <w:t>British Thoracic Society / Scottish Intercollegiate Guidelines Network (2014)</w:t>
      </w:r>
    </w:p>
    <w:p w14:paraId="0C2C045D" w14:textId="11494C11" w:rsidR="008B1C85" w:rsidRPr="00FE05D1" w:rsidRDefault="008B1C85" w:rsidP="000A5A36">
      <w:r w:rsidRPr="00FE05D1">
        <w:t xml:space="preserve">The </w:t>
      </w:r>
      <w:r w:rsidRPr="00FE05D1">
        <w:rPr>
          <w:i/>
        </w:rPr>
        <w:t>British Guideline on the Management of Asthma</w:t>
      </w:r>
      <w:r w:rsidRPr="00FE05D1">
        <w:t xml:space="preserve"> was originally published in 2003 and has been regularly updated (approximately annually) since that time. The most recent version (2014) provides evidence-based recommendations, the majority of which were about the management of asthma in children, adolescents and adults, including pregnant women. Evidence statements and recommendations were assigned a level of evidence or grade, respectively, according to SIGN criteria outlined in </w:t>
      </w:r>
      <w:r w:rsidRPr="00FE05D1">
        <w:rPr>
          <w:highlight w:val="yellow"/>
        </w:rPr>
        <w:fldChar w:fldCharType="begin"/>
      </w:r>
      <w:r w:rsidRPr="00FE05D1">
        <w:instrText xml:space="preserve"> REF _Ref442432224 \n \h </w:instrText>
      </w:r>
      <w:r>
        <w:rPr>
          <w:highlight w:val="yellow"/>
        </w:rPr>
        <w:instrText xml:space="preserve"> \* MERGEFORMAT </w:instrText>
      </w:r>
      <w:r w:rsidRPr="00FE05D1">
        <w:rPr>
          <w:highlight w:val="yellow"/>
        </w:rPr>
      </w:r>
      <w:r w:rsidRPr="00FE05D1">
        <w:rPr>
          <w:highlight w:val="yellow"/>
        </w:rPr>
        <w:fldChar w:fldCharType="separate"/>
      </w:r>
      <w:r w:rsidR="00F2203C">
        <w:t>0</w:t>
      </w:r>
      <w:r w:rsidRPr="00FE05D1">
        <w:rPr>
          <w:highlight w:val="yellow"/>
        </w:rPr>
        <w:fldChar w:fldCharType="end"/>
      </w:r>
      <w:r w:rsidRPr="00FE05D1">
        <w:t>. The GDG also established ‘good practice points’ that were based on their collective clinical experience.</w:t>
      </w:r>
    </w:p>
    <w:p w14:paraId="0FB02C18" w14:textId="77777777" w:rsidR="008B1C85" w:rsidRPr="00A61DE8" w:rsidRDefault="00A227D5" w:rsidP="00A227D5">
      <w:pPr>
        <w:pStyle w:val="AttHeading2"/>
      </w:pPr>
      <w:r>
        <w:t xml:space="preserve">Appendix 6.2 </w:t>
      </w:r>
      <w:r w:rsidR="008B1C85" w:rsidRPr="00A61DE8">
        <w:t>Chronic Obstructive Pulmonary Disease (COPD)</w:t>
      </w:r>
    </w:p>
    <w:p w14:paraId="7498530E" w14:textId="77777777" w:rsidR="008B1C85" w:rsidRPr="00FE05D1" w:rsidRDefault="008B1C85" w:rsidP="00D56F93">
      <w:pPr>
        <w:pStyle w:val="AttHeading5"/>
      </w:pPr>
      <w:r w:rsidRPr="00FE05D1">
        <w:t>Lung Foundation Australia / Thoracic Society of Australia and New Zealand (2015)</w:t>
      </w:r>
    </w:p>
    <w:p w14:paraId="12B74516" w14:textId="17D1DA69" w:rsidR="008B1C85" w:rsidRPr="00FE05D1" w:rsidRDefault="008B1C85" w:rsidP="000A5A36">
      <w:r w:rsidRPr="00FE05D1">
        <w:t xml:space="preserve">This joint Australian and New Zealand guideline is a regularly updated source of evidence-based guidance focusing on the optimal management of people with COPD. While the guideline deals mainly with the management of established disease, some guidance is given around case-finding and confirmation of diagnosis. Recommendations were provided with an accompanying rating of the level of evidence that underpins them. In previous versions of the LFA/TSANZ guideline, the level of evidence was assigned according to the system developed by the National Heart, Lung, and Blood Institute (NHLBI). In this version of the guideline, the evidence was reclassified according to the NHMRC levels of evidence (see </w:t>
      </w:r>
      <w:r w:rsidRPr="00FE05D1">
        <w:fldChar w:fldCharType="begin"/>
      </w:r>
      <w:r w:rsidRPr="00FE05D1">
        <w:instrText xml:space="preserve"> REF _Ref442432500 \n \h </w:instrText>
      </w:r>
      <w:r>
        <w:instrText xml:space="preserve"> \* MERGEFORMAT </w:instrText>
      </w:r>
      <w:r w:rsidRPr="00FE05D1">
        <w:fldChar w:fldCharType="separate"/>
      </w:r>
      <w:r w:rsidR="00F2203C">
        <w:t>0</w:t>
      </w:r>
      <w:r w:rsidRPr="00FE05D1">
        <w:fldChar w:fldCharType="end"/>
      </w:r>
      <w:r w:rsidRPr="00FE05D1">
        <w:t>).</w:t>
      </w:r>
    </w:p>
    <w:p w14:paraId="1BE2205B" w14:textId="77777777" w:rsidR="008B1C85" w:rsidRPr="00FE05D1" w:rsidRDefault="008B1C85" w:rsidP="00D56F93">
      <w:pPr>
        <w:pStyle w:val="AttHeading5"/>
      </w:pPr>
      <w:r w:rsidRPr="00FE05D1">
        <w:t>Abramson (2014)</w:t>
      </w:r>
    </w:p>
    <w:p w14:paraId="4D0001D9" w14:textId="76135223" w:rsidR="008B1C85" w:rsidRPr="00FE05D1" w:rsidRDefault="008B1C85" w:rsidP="008B1C85">
      <w:r w:rsidRPr="00FE05D1">
        <w:t xml:space="preserve">The </w:t>
      </w:r>
      <w:r w:rsidRPr="00FE05D1">
        <w:rPr>
          <w:i/>
        </w:rPr>
        <w:t>COPD-X Concise Guide for Primary Care</w:t>
      </w:r>
      <w:r w:rsidRPr="00FE05D1">
        <w:t xml:space="preserve"> was based on the full LFA/TSANZ guideline</w:t>
      </w:r>
      <w:r w:rsidRPr="00FE05D1">
        <w:rPr>
          <w:rStyle w:val="FootnoteReference"/>
        </w:rPr>
        <w:footnoteReference w:id="27"/>
      </w:r>
      <w:r w:rsidRPr="00FE05D1">
        <w:t xml:space="preserve"> and was developed to assist with COPD management during daily practice. Each recommendation from the full guideline was discussed by a specially convened committee and modified based on the latest evidence available with the aim to provide practical and readily accessible recommendations and practice tips for GPs, practice nurses, and allied healthcare workers. Abramson et al (2014) stated </w:t>
      </w:r>
      <w:r w:rsidRPr="00FE05D1">
        <w:lastRenderedPageBreak/>
        <w:t xml:space="preserve">that GRADE methodology was used to rate the strength of recommendations and, like the full guideline, NHMRC levels of evidence were provided to accompany evidence statements (see </w:t>
      </w:r>
      <w:r w:rsidRPr="00FE05D1">
        <w:fldChar w:fldCharType="begin"/>
      </w:r>
      <w:r w:rsidRPr="00FE05D1">
        <w:instrText xml:space="preserve"> REF _Ref442432539 \n \h </w:instrText>
      </w:r>
      <w:r>
        <w:instrText xml:space="preserve"> \* MERGEFORMAT </w:instrText>
      </w:r>
      <w:r w:rsidRPr="00FE05D1">
        <w:fldChar w:fldCharType="separate"/>
      </w:r>
      <w:r w:rsidR="00F2203C">
        <w:t>0</w:t>
      </w:r>
      <w:r w:rsidRPr="00FE05D1">
        <w:fldChar w:fldCharType="end"/>
      </w:r>
      <w:r w:rsidRPr="00FE05D1">
        <w:t>). Practice tips were included where there was insufficient evidence to make a recommendation, but where the committee were satisfied that the practice tip could benefit diagnosis and management of COPD.</w:t>
      </w:r>
    </w:p>
    <w:p w14:paraId="1453C3EB" w14:textId="77777777" w:rsidR="008B1C85" w:rsidRPr="00FE05D1" w:rsidRDefault="008B1C85" w:rsidP="00D56F93">
      <w:pPr>
        <w:pStyle w:val="AttHeading5"/>
      </w:pPr>
      <w:r w:rsidRPr="00FE05D1">
        <w:t>Global Initiative for Chronic Obstructive Lung Disease (2016)</w:t>
      </w:r>
    </w:p>
    <w:p w14:paraId="6C8FB8EE" w14:textId="77777777" w:rsidR="008B1C85" w:rsidRPr="00FE05D1" w:rsidRDefault="008B1C85" w:rsidP="008B1C85">
      <w:r w:rsidRPr="00FE05D1">
        <w:t xml:space="preserve">The </w:t>
      </w:r>
      <w:r w:rsidRPr="00FE05D1">
        <w:rPr>
          <w:i/>
        </w:rPr>
        <w:t>Global Strategy for the Diagnosis, Management, and Prevention of Chronic Obstructive Pulmonary Disease</w:t>
      </w:r>
      <w:r w:rsidRPr="00FE05D1">
        <w:t xml:space="preserve"> was originally published in 2001. The guideline was developed with the aim of providing recommendations for management of COPD based on the best scientific information available. The most recent version of this guideline, published in January 2016, incorporated new evidence identified through PubMed up to 30 June 2015.</w:t>
      </w:r>
    </w:p>
    <w:p w14:paraId="60B662E4" w14:textId="49951554" w:rsidR="008B1C85" w:rsidRDefault="008B1C85" w:rsidP="000A5A36">
      <w:r w:rsidRPr="00FE05D1">
        <w:t xml:space="preserve">Each recommendation is assigned a level of evidence according to the criteria shown in </w:t>
      </w:r>
      <w:r w:rsidRPr="00FE05D1">
        <w:rPr>
          <w:highlight w:val="yellow"/>
        </w:rPr>
        <w:fldChar w:fldCharType="begin"/>
      </w:r>
      <w:r w:rsidRPr="00FE05D1">
        <w:instrText xml:space="preserve"> REF _Ref442432636 \n \h </w:instrText>
      </w:r>
      <w:r>
        <w:rPr>
          <w:highlight w:val="yellow"/>
        </w:rPr>
        <w:instrText xml:space="preserve"> \* MERGEFORMAT </w:instrText>
      </w:r>
      <w:r w:rsidRPr="00FE05D1">
        <w:rPr>
          <w:highlight w:val="yellow"/>
        </w:rPr>
      </w:r>
      <w:r w:rsidRPr="00FE05D1">
        <w:rPr>
          <w:highlight w:val="yellow"/>
        </w:rPr>
        <w:fldChar w:fldCharType="separate"/>
      </w:r>
      <w:r w:rsidR="00F2203C">
        <w:t>0</w:t>
      </w:r>
      <w:r w:rsidRPr="00FE05D1">
        <w:rPr>
          <w:highlight w:val="yellow"/>
        </w:rPr>
        <w:fldChar w:fldCharType="end"/>
      </w:r>
      <w:r w:rsidRPr="00FE05D1">
        <w:t>; however, formal recommendations in the GOLD report were mostly about therapeutic management. None of the guidance surrounding diagnosis, assessment and long-term monitoring was accompanied by a level of evidence and was presented as general guidance rather than official, graded recommendations. Therefore, while advice was</w:t>
      </w:r>
      <w:r>
        <w:t xml:space="preserve"> provided about the use of spirometry, the evidence base that underpinned that guidance was not always clear.</w:t>
      </w:r>
    </w:p>
    <w:p w14:paraId="4FFCBC57" w14:textId="77777777" w:rsidR="008B1C85" w:rsidRDefault="008B1C85" w:rsidP="000A5A36">
      <w:r>
        <w:t>The latest version of the GOLD report incorporates a specific section about ACOS. This material was prepared jointly by the GOLD and GINA Science Committees.</w:t>
      </w:r>
    </w:p>
    <w:p w14:paraId="2DD22495" w14:textId="77777777" w:rsidR="008B1C85" w:rsidRPr="00F24588" w:rsidRDefault="008B1C85" w:rsidP="00D56F93">
      <w:pPr>
        <w:pStyle w:val="AttHeading5"/>
      </w:pPr>
      <w:r w:rsidRPr="00F24588">
        <w:t>Department of Veterans Affairs / Department of Defense (2014)</w:t>
      </w:r>
    </w:p>
    <w:p w14:paraId="71D22CD6" w14:textId="3CF3B14E" w:rsidR="008B1C85" w:rsidRPr="00FE05D1" w:rsidRDefault="008B1C85" w:rsidP="000A5A36">
      <w:r w:rsidRPr="00FE05D1">
        <w:t xml:space="preserve">This guideline was an update of the 2007 VA/DoD guideline on the management of COPD. The aim of this guideline was to provide information and assist clinical decision-making, particularly for the use of providers within the VA/DoD health care systems. GRADE methodology was used to rate the quality of the evidence and assign a grade for each recommendation. Four domains were considered during the GRADE process: balance of desirable and undesirable outcomes; confidence in the quality of the evidence; values and preferences; other implications (see </w:t>
      </w:r>
      <w:r w:rsidRPr="00FE05D1">
        <w:fldChar w:fldCharType="begin"/>
      </w:r>
      <w:r w:rsidRPr="00FE05D1">
        <w:instrText xml:space="preserve"> REF _Ref442432105 \n \h </w:instrText>
      </w:r>
      <w:r>
        <w:instrText xml:space="preserve"> \* MERGEFORMAT </w:instrText>
      </w:r>
      <w:r w:rsidRPr="00FE05D1">
        <w:fldChar w:fldCharType="separate"/>
      </w:r>
      <w:r w:rsidR="00F2203C">
        <w:t>0</w:t>
      </w:r>
      <w:r w:rsidRPr="00FE05D1">
        <w:fldChar w:fldCharType="end"/>
      </w:r>
      <w:r w:rsidRPr="00FE05D1">
        <w:t xml:space="preserve"> for more information). Ultimately each recommendation was rated as ‘strong for’, ‘strong against’, ‘weak for’ or ‘weak against’. </w:t>
      </w:r>
    </w:p>
    <w:p w14:paraId="270EFD3D" w14:textId="77777777" w:rsidR="008B1C85" w:rsidRPr="00F24588" w:rsidRDefault="008B1C85" w:rsidP="00D56F93">
      <w:pPr>
        <w:pStyle w:val="AttHeading5"/>
      </w:pPr>
      <w:r w:rsidRPr="00F24588">
        <w:t>Qaseem (2011)</w:t>
      </w:r>
    </w:p>
    <w:p w14:paraId="0515CB6E" w14:textId="77777777" w:rsidR="008B1C85" w:rsidRPr="00FE05D1" w:rsidRDefault="008B1C85" w:rsidP="000A5A36">
      <w:r w:rsidRPr="00FE05D1">
        <w:t xml:space="preserve">This guideline represents a joint statement by the American College of Physicians (ACP), American College of Chest Physicians (ACCP), American Thoracic Society (ATS), and European Respiratory Society (ERS). The guideline addresses the value of history and physical examination for predicting airflow obstruction; the value of spirometry for screening or diagnosis of COPD; and provides guidance about the management of COPD. </w:t>
      </w:r>
    </w:p>
    <w:p w14:paraId="3029EC44" w14:textId="6D7C53FF" w:rsidR="008B1C85" w:rsidRDefault="008B1C85" w:rsidP="000A5A36">
      <w:r>
        <w:t xml:space="preserve">The 2007 ACP guideline forms the basis of this CPG, which involved a targeted literature update from March 2007 to December 2009. The results of the systematic review were assessed by a Clinical </w:t>
      </w:r>
      <w:r>
        <w:lastRenderedPageBreak/>
        <w:t xml:space="preserve">Guidelines Committee that included representatives from each of the four collaborating organisations. The Committee assessed the quality of the evidence using the ACP’s Guideline Grading System, which was adopted from GRADE (see </w:t>
      </w:r>
      <w:r>
        <w:rPr>
          <w:highlight w:val="yellow"/>
        </w:rPr>
        <w:fldChar w:fldCharType="begin"/>
      </w:r>
      <w:r>
        <w:instrText xml:space="preserve"> REF _Ref442432964 \n \h </w:instrText>
      </w:r>
      <w:r>
        <w:rPr>
          <w:highlight w:val="yellow"/>
        </w:rPr>
      </w:r>
      <w:r>
        <w:rPr>
          <w:highlight w:val="yellow"/>
        </w:rPr>
        <w:fldChar w:fldCharType="separate"/>
      </w:r>
      <w:r w:rsidR="00F2203C">
        <w:t>0</w:t>
      </w:r>
      <w:r>
        <w:rPr>
          <w:highlight w:val="yellow"/>
        </w:rPr>
        <w:fldChar w:fldCharType="end"/>
      </w:r>
      <w:r>
        <w:t>).</w:t>
      </w:r>
      <w:r>
        <w:rPr>
          <w:rStyle w:val="FootnoteReference"/>
        </w:rPr>
        <w:footnoteReference w:id="28"/>
      </w:r>
    </w:p>
    <w:p w14:paraId="5359B41C" w14:textId="77777777" w:rsidR="008B1C85" w:rsidRPr="00F24588" w:rsidRDefault="008B1C85" w:rsidP="00D56F93">
      <w:pPr>
        <w:pStyle w:val="AttHeading5"/>
      </w:pPr>
      <w:r w:rsidRPr="00F24588">
        <w:t>National Clinical Guideline Centre (2010)</w:t>
      </w:r>
    </w:p>
    <w:p w14:paraId="335F73FC" w14:textId="77777777" w:rsidR="008B1C85" w:rsidRPr="00FE05D1" w:rsidRDefault="008B1C85" w:rsidP="000A5A36">
      <w:r w:rsidRPr="00FE05D1">
        <w:t>The NCGC guideline (commissioned by NICE) was a partial update of an original NICE COPD guideline published in 2004. The purpose of the guideline was to provide evidence-based guidance regarding best practice for the identification and care of patients with COPD. The update focused specifically on issues relating to diagnosis, clinical assessment, the management of stable disease with inhaled therapies, and the timing of pulmonary rehabilitation. The management of acute exacerbations, which is important in the context of this review, was specifically excluded from the 2010 update.</w:t>
      </w:r>
    </w:p>
    <w:p w14:paraId="6FF14DE8" w14:textId="42EC5BA6" w:rsidR="008B1C85" w:rsidRDefault="008B1C85" w:rsidP="000A5A36">
      <w:r>
        <w:t xml:space="preserve">All included studies were critically appraised using GRADE for non-observational studies and a narrative summary (evidence statements) for observational and qualitative studies. Evidence statements were then assigned a level of evidence (see </w:t>
      </w:r>
      <w:r>
        <w:rPr>
          <w:highlight w:val="yellow"/>
        </w:rPr>
        <w:fldChar w:fldCharType="begin"/>
      </w:r>
      <w:r>
        <w:instrText xml:space="preserve"> REF _Ref442432773 \n \h </w:instrText>
      </w:r>
      <w:r w:rsidR="000A5A36">
        <w:rPr>
          <w:highlight w:val="yellow"/>
        </w:rPr>
        <w:instrText xml:space="preserve"> \* MERGEFORMAT </w:instrText>
      </w:r>
      <w:r>
        <w:rPr>
          <w:highlight w:val="yellow"/>
        </w:rPr>
      </w:r>
      <w:r>
        <w:rPr>
          <w:highlight w:val="yellow"/>
        </w:rPr>
        <w:fldChar w:fldCharType="separate"/>
      </w:r>
      <w:r w:rsidR="00F2203C">
        <w:t>0</w:t>
      </w:r>
      <w:r>
        <w:rPr>
          <w:highlight w:val="yellow"/>
        </w:rPr>
        <w:fldChar w:fldCharType="end"/>
      </w:r>
      <w:r>
        <w:t>).</w:t>
      </w:r>
    </w:p>
    <w:p w14:paraId="1746A270" w14:textId="7E2024E6" w:rsidR="008B1C85" w:rsidRDefault="008B1C85" w:rsidP="000A5A36">
      <w:r>
        <w:t xml:space="preserve">Where enough high-quality evidence was available, recommendations were developed and graded based on the strength of evidence underpinning them. The system used to grade recommendations is also summarised in </w:t>
      </w:r>
      <w:r>
        <w:rPr>
          <w:highlight w:val="yellow"/>
        </w:rPr>
        <w:fldChar w:fldCharType="begin"/>
      </w:r>
      <w:r>
        <w:instrText xml:space="preserve"> REF _Ref442432796 \n \h </w:instrText>
      </w:r>
      <w:r w:rsidR="000A5A36">
        <w:rPr>
          <w:highlight w:val="yellow"/>
        </w:rPr>
        <w:instrText xml:space="preserve"> \* MERGEFORMAT </w:instrText>
      </w:r>
      <w:r>
        <w:rPr>
          <w:highlight w:val="yellow"/>
        </w:rPr>
      </w:r>
      <w:r>
        <w:rPr>
          <w:highlight w:val="yellow"/>
        </w:rPr>
        <w:fldChar w:fldCharType="separate"/>
      </w:r>
      <w:r w:rsidR="00F2203C">
        <w:t>0</w:t>
      </w:r>
      <w:r>
        <w:rPr>
          <w:highlight w:val="yellow"/>
        </w:rPr>
        <w:fldChar w:fldCharType="end"/>
      </w:r>
      <w:r>
        <w:t>. Finally, c</w:t>
      </w:r>
      <w:r w:rsidRPr="00486793">
        <w:t xml:space="preserve">onsensus statements were developed where there was a lack of evidence </w:t>
      </w:r>
      <w:r>
        <w:t>regarding a particular issue, but where the GDG felt t</w:t>
      </w:r>
      <w:r w:rsidRPr="00486793">
        <w:t xml:space="preserve">hat </w:t>
      </w:r>
      <w:r>
        <w:t>some guidance was warranted.</w:t>
      </w:r>
    </w:p>
    <w:p w14:paraId="0BD25E8F" w14:textId="77777777" w:rsidR="008B1C85" w:rsidRPr="00FD66DA" w:rsidRDefault="008B1C85" w:rsidP="000A5A36">
      <w:r>
        <w:t>In February 2012, an evidence update was undertaken that did not identify any new key evidence regarding the diagnosis of COPD. Similarly, no new evidence about the value of spirometry in long-term management of COPD or the management of exacerbations was identified at that time.</w:t>
      </w:r>
    </w:p>
    <w:p w14:paraId="20824C73" w14:textId="77777777" w:rsidR="003229CC" w:rsidRDefault="003229CC">
      <w:pPr>
        <w:spacing w:before="0" w:after="0" w:line="240" w:lineRule="auto"/>
        <w:rPr>
          <w:rFonts w:ascii="Cambria" w:eastAsiaTheme="minorHAnsi" w:hAnsi="Cambria" w:cs="Arial"/>
          <w:bCs/>
          <w:i/>
          <w:color w:val="365F91" w:themeColor="accent1" w:themeShade="BF"/>
          <w:kern w:val="32"/>
          <w:szCs w:val="28"/>
          <w:lang w:val="en-US" w:eastAsia="en-US"/>
        </w:rPr>
      </w:pPr>
      <w:bookmarkStart w:id="393" w:name="_Ref442432105"/>
      <w:bookmarkStart w:id="394" w:name="_Ref442432114"/>
      <w:bookmarkStart w:id="395" w:name="_Ref442432224"/>
      <w:bookmarkStart w:id="396" w:name="_Ref442432500"/>
      <w:bookmarkStart w:id="397" w:name="_Ref442432539"/>
      <w:bookmarkStart w:id="398" w:name="_Ref442432636"/>
      <w:bookmarkStart w:id="399" w:name="_Ref442432773"/>
      <w:bookmarkStart w:id="400" w:name="_Ref442432796"/>
      <w:bookmarkStart w:id="401" w:name="_Ref442432964"/>
      <w:bookmarkStart w:id="402" w:name="_Toc442450716"/>
      <w:r>
        <w:br w:type="page"/>
      </w:r>
    </w:p>
    <w:p w14:paraId="41BB899B" w14:textId="77777777" w:rsidR="008B1C85" w:rsidRDefault="00E42D4A" w:rsidP="00A227D5">
      <w:pPr>
        <w:pStyle w:val="AttHeading1"/>
      </w:pPr>
      <w:r>
        <w:lastRenderedPageBreak/>
        <w:t xml:space="preserve">Appendix 7 </w:t>
      </w:r>
      <w:r w:rsidR="008B1C85">
        <w:t>Grading of Recommendations</w:t>
      </w:r>
      <w:bookmarkEnd w:id="391"/>
      <w:bookmarkEnd w:id="393"/>
      <w:bookmarkEnd w:id="394"/>
      <w:bookmarkEnd w:id="395"/>
      <w:bookmarkEnd w:id="396"/>
      <w:bookmarkEnd w:id="397"/>
      <w:bookmarkEnd w:id="398"/>
      <w:bookmarkEnd w:id="399"/>
      <w:bookmarkEnd w:id="400"/>
      <w:bookmarkEnd w:id="401"/>
      <w:bookmarkEnd w:id="402"/>
    </w:p>
    <w:p w14:paraId="529AD121" w14:textId="77777777" w:rsidR="008B1C85" w:rsidRPr="00FC12E6" w:rsidRDefault="008B1C85" w:rsidP="000A5A36">
      <w:r>
        <w:t>This appendix summarises the various methods used by the clinical practice guidelines to grade recommendations and/or to rate the level of evidence of a particular evidence base.</w:t>
      </w:r>
    </w:p>
    <w:p w14:paraId="1855C651" w14:textId="77777777" w:rsidR="008B1C85" w:rsidRDefault="008B1C85" w:rsidP="00DF3A06">
      <w:pPr>
        <w:pStyle w:val="Appcaption"/>
      </w:pPr>
      <w:r>
        <w:t>Table A-7.1</w:t>
      </w:r>
      <w:r>
        <w:tab/>
        <w:t>NAC (2015): Types and grading of recommendations</w:t>
      </w:r>
    </w:p>
    <w:tbl>
      <w:tblPr>
        <w:tblStyle w:val="TableGrid"/>
        <w:tblW w:w="5000" w:type="pct"/>
        <w:tblLook w:val="04A0" w:firstRow="1" w:lastRow="0" w:firstColumn="1" w:lastColumn="0" w:noHBand="0" w:noVBand="1"/>
        <w:tblCaption w:val="National Asthma Council (2015)"/>
        <w:tblDescription w:val="Types and grading of recommendations, and the method used to grade the recommendations."/>
      </w:tblPr>
      <w:tblGrid>
        <w:gridCol w:w="4389"/>
        <w:gridCol w:w="4672"/>
      </w:tblGrid>
      <w:tr w:rsidR="008B1C85" w:rsidRPr="00945369" w14:paraId="60A3DC3D" w14:textId="77777777" w:rsidTr="00FF6AB5">
        <w:trPr>
          <w:tblHeader/>
        </w:trPr>
        <w:tc>
          <w:tcPr>
            <w:tcW w:w="2422" w:type="pct"/>
          </w:tcPr>
          <w:p w14:paraId="2DA5D769" w14:textId="77777777" w:rsidR="008B1C85" w:rsidRPr="00842458" w:rsidRDefault="008B1C85" w:rsidP="00A403FC">
            <w:pPr>
              <w:pStyle w:val="Tableheading"/>
            </w:pPr>
            <w:r w:rsidRPr="00842458">
              <w:t>Type</w:t>
            </w:r>
          </w:p>
        </w:tc>
        <w:tc>
          <w:tcPr>
            <w:tcW w:w="2578" w:type="pct"/>
          </w:tcPr>
          <w:p w14:paraId="4E45A3A5" w14:textId="77777777" w:rsidR="008B1C85" w:rsidRPr="00842458" w:rsidRDefault="008B1C85" w:rsidP="00A403FC">
            <w:pPr>
              <w:pStyle w:val="Tableheading"/>
            </w:pPr>
            <w:r w:rsidRPr="00842458">
              <w:t>Method</w:t>
            </w:r>
          </w:p>
        </w:tc>
      </w:tr>
      <w:tr w:rsidR="008B1C85" w14:paraId="31FCDE03" w14:textId="77777777" w:rsidTr="00FF6AB5">
        <w:tc>
          <w:tcPr>
            <w:tcW w:w="2422" w:type="pct"/>
          </w:tcPr>
          <w:p w14:paraId="0944EE33" w14:textId="77777777" w:rsidR="008B1C85" w:rsidRPr="00E2464D" w:rsidRDefault="008B1C85" w:rsidP="0099709F">
            <w:pPr>
              <w:pStyle w:val="Tabletext"/>
              <w:rPr>
                <w:bCs/>
              </w:rPr>
            </w:pPr>
            <w:r w:rsidRPr="0099709F">
              <w:rPr>
                <w:b/>
                <w:bCs/>
              </w:rPr>
              <w:t>Evidence-based recommendation</w:t>
            </w:r>
          </w:p>
          <w:p w14:paraId="3472CC6E" w14:textId="77777777" w:rsidR="008B1C85" w:rsidRPr="00811577" w:rsidRDefault="008B1C85" w:rsidP="00AB47CE">
            <w:pPr>
              <w:pStyle w:val="Tabletext"/>
            </w:pPr>
            <w:r w:rsidRPr="00137BB4">
              <w:rPr>
                <w:b/>
              </w:rPr>
              <w:t>Grade A</w:t>
            </w:r>
          </w:p>
          <w:p w14:paraId="331970C1" w14:textId="77777777" w:rsidR="008B1C85" w:rsidRPr="00137BB4" w:rsidRDefault="008B1C85" w:rsidP="00137BB4">
            <w:pPr>
              <w:pStyle w:val="Tabletext"/>
            </w:pPr>
            <w:r w:rsidRPr="00137BB4">
              <w:t>Body of evidence can be trusted to guide practice</w:t>
            </w:r>
          </w:p>
          <w:p w14:paraId="720758F4" w14:textId="77777777" w:rsidR="008B1C85" w:rsidRPr="00CC0824" w:rsidRDefault="008B1C85" w:rsidP="00AB47CE">
            <w:pPr>
              <w:pStyle w:val="Tabletext"/>
              <w:rPr>
                <w:b/>
              </w:rPr>
            </w:pPr>
            <w:r w:rsidRPr="00CC0824">
              <w:rPr>
                <w:b/>
              </w:rPr>
              <w:t>Grade B</w:t>
            </w:r>
          </w:p>
          <w:p w14:paraId="1EEC755D" w14:textId="77777777" w:rsidR="008B1C85" w:rsidRPr="00CC0824" w:rsidRDefault="008B1C85" w:rsidP="00137BB4">
            <w:pPr>
              <w:pStyle w:val="Tabletext"/>
            </w:pPr>
            <w:r w:rsidRPr="00CC0824">
              <w:t>Body of evidence can be trusted to guide practice in most situations</w:t>
            </w:r>
          </w:p>
          <w:p w14:paraId="705F39D6" w14:textId="77777777" w:rsidR="008B1C85" w:rsidRPr="00CC0824" w:rsidRDefault="008B1C85" w:rsidP="00AB47CE">
            <w:pPr>
              <w:pStyle w:val="Tabletext"/>
              <w:rPr>
                <w:b/>
              </w:rPr>
            </w:pPr>
            <w:r w:rsidRPr="00CC0824">
              <w:rPr>
                <w:b/>
              </w:rPr>
              <w:t>Grade C</w:t>
            </w:r>
          </w:p>
          <w:p w14:paraId="103ACAC5" w14:textId="77777777" w:rsidR="008B1C85" w:rsidRPr="00CC0824" w:rsidRDefault="008B1C85" w:rsidP="00137BB4">
            <w:pPr>
              <w:pStyle w:val="Tabletext"/>
            </w:pPr>
            <w:r w:rsidRPr="00CC0824">
              <w:t>Body of evidence provides some support for recommendation but care should be taken in its application</w:t>
            </w:r>
          </w:p>
          <w:p w14:paraId="3A819D24" w14:textId="77777777" w:rsidR="008B1C85" w:rsidRPr="00AB47CE" w:rsidRDefault="008B1C85" w:rsidP="00AB47CE">
            <w:pPr>
              <w:pStyle w:val="Tabletext"/>
              <w:rPr>
                <w:rFonts w:cstheme="minorHAnsi"/>
                <w:b/>
              </w:rPr>
            </w:pPr>
            <w:r w:rsidRPr="00CC0824">
              <w:rPr>
                <w:b/>
              </w:rPr>
              <w:t>Grade D</w:t>
            </w:r>
          </w:p>
          <w:p w14:paraId="1976430D" w14:textId="77777777" w:rsidR="008B1C85" w:rsidRPr="00CC0824" w:rsidRDefault="008B1C85" w:rsidP="00137BB4">
            <w:pPr>
              <w:pStyle w:val="Tabletext"/>
            </w:pPr>
            <w:r w:rsidRPr="00CC0824">
              <w:t>Body of evidence is weak an recommendation must be applied with caution</w:t>
            </w:r>
          </w:p>
        </w:tc>
        <w:tc>
          <w:tcPr>
            <w:tcW w:w="2578" w:type="pct"/>
          </w:tcPr>
          <w:p w14:paraId="68F6FC72" w14:textId="77777777" w:rsidR="008B1C85" w:rsidRPr="00137BB4" w:rsidRDefault="008B1C85" w:rsidP="0099709F">
            <w:pPr>
              <w:pStyle w:val="Tabletext"/>
              <w:rPr>
                <w:bCs/>
              </w:rPr>
            </w:pPr>
            <w:r w:rsidRPr="00137BB4">
              <w:rPr>
                <w:bCs/>
              </w:rPr>
              <w:t>Systematic literature review</w:t>
            </w:r>
          </w:p>
          <w:p w14:paraId="663FA07E" w14:textId="77777777" w:rsidR="008B1C85" w:rsidRPr="00CC0824" w:rsidRDefault="008B1C85" w:rsidP="00AB47CE">
            <w:pPr>
              <w:pStyle w:val="Tabletext"/>
            </w:pPr>
            <w:r w:rsidRPr="00CC0824">
              <w:t>Grading of recommendation according to NHMRC grades A to D</w:t>
            </w:r>
          </w:p>
        </w:tc>
      </w:tr>
      <w:tr w:rsidR="008B1C85" w14:paraId="23A13428" w14:textId="77777777" w:rsidTr="00A10349">
        <w:tc>
          <w:tcPr>
            <w:tcW w:w="2422" w:type="pct"/>
            <w:shd w:val="clear" w:color="auto" w:fill="auto"/>
          </w:tcPr>
          <w:p w14:paraId="4CDDE391" w14:textId="77777777" w:rsidR="008B1C85" w:rsidRDefault="008B1C85" w:rsidP="008B1C85">
            <w:pPr>
              <w:pStyle w:val="Tabletext"/>
            </w:pPr>
            <w:r>
              <w:t>Consensus recommendation following inconclusive literature search</w:t>
            </w:r>
          </w:p>
        </w:tc>
        <w:tc>
          <w:tcPr>
            <w:tcW w:w="2578" w:type="pct"/>
            <w:shd w:val="clear" w:color="auto" w:fill="auto"/>
          </w:tcPr>
          <w:p w14:paraId="777020A4" w14:textId="77777777" w:rsidR="008B1C85" w:rsidRPr="001811FA" w:rsidRDefault="008B1C85" w:rsidP="008B1C85">
            <w:pPr>
              <w:pStyle w:val="Tabletext"/>
            </w:pPr>
            <w:r>
              <w:t>Based on clinical experience and expert opinion after systematic literature review yielded insufficient evidence for an evidence-based recommendation</w:t>
            </w:r>
          </w:p>
        </w:tc>
      </w:tr>
      <w:tr w:rsidR="008B1C85" w14:paraId="171D0FAC" w14:textId="77777777" w:rsidTr="00FF6AB5">
        <w:tc>
          <w:tcPr>
            <w:tcW w:w="2422" w:type="pct"/>
          </w:tcPr>
          <w:p w14:paraId="7A5AB0AE" w14:textId="77777777" w:rsidR="008B1C85" w:rsidRDefault="008B1C85" w:rsidP="008B1C85">
            <w:pPr>
              <w:pStyle w:val="Tabletext"/>
            </w:pPr>
            <w:r>
              <w:t>Based on selected evidence</w:t>
            </w:r>
          </w:p>
        </w:tc>
        <w:tc>
          <w:tcPr>
            <w:tcW w:w="2578" w:type="pct"/>
          </w:tcPr>
          <w:p w14:paraId="0438EE5D" w14:textId="77777777" w:rsidR="008B1C85" w:rsidRPr="001811FA" w:rsidRDefault="008B1C85" w:rsidP="008B1C85">
            <w:pPr>
              <w:pStyle w:val="Tabletext"/>
            </w:pPr>
            <w:r>
              <w:t>Based on a limited structured literature review or published systematic review</w:t>
            </w:r>
          </w:p>
        </w:tc>
      </w:tr>
      <w:tr w:rsidR="008B1C85" w14:paraId="558BF7F4" w14:textId="77777777" w:rsidTr="00A10349">
        <w:tc>
          <w:tcPr>
            <w:tcW w:w="2422" w:type="pct"/>
            <w:shd w:val="clear" w:color="auto" w:fill="auto"/>
          </w:tcPr>
          <w:p w14:paraId="50EF0191" w14:textId="77777777" w:rsidR="008B1C85" w:rsidRDefault="008B1C85" w:rsidP="008B1C85">
            <w:pPr>
              <w:pStyle w:val="Tabletext"/>
            </w:pPr>
            <w:r>
              <w:t>Adapted from existing guidance</w:t>
            </w:r>
          </w:p>
        </w:tc>
        <w:tc>
          <w:tcPr>
            <w:tcW w:w="2578" w:type="pct"/>
            <w:shd w:val="clear" w:color="auto" w:fill="auto"/>
          </w:tcPr>
          <w:p w14:paraId="7C1BE779" w14:textId="77777777" w:rsidR="008B1C85" w:rsidRPr="001811FA" w:rsidRDefault="008B1C85" w:rsidP="008B1C85">
            <w:pPr>
              <w:pStyle w:val="Tabletext"/>
            </w:pPr>
            <w:r>
              <w:t>Based on reliable clinical practice guideline(s) or position statement(s)</w:t>
            </w:r>
          </w:p>
        </w:tc>
      </w:tr>
      <w:tr w:rsidR="008B1C85" w14:paraId="0B9FDC2C" w14:textId="77777777" w:rsidTr="00FF6AB5">
        <w:tc>
          <w:tcPr>
            <w:tcW w:w="2422" w:type="pct"/>
          </w:tcPr>
          <w:p w14:paraId="75B4342A" w14:textId="77777777" w:rsidR="008B1C85" w:rsidRDefault="008B1C85" w:rsidP="008B1C85">
            <w:pPr>
              <w:pStyle w:val="Tabletext"/>
            </w:pPr>
            <w:r>
              <w:t>Consensus recommendation (with reference to named sources)</w:t>
            </w:r>
          </w:p>
        </w:tc>
        <w:tc>
          <w:tcPr>
            <w:tcW w:w="2578" w:type="pct"/>
          </w:tcPr>
          <w:p w14:paraId="1D421803" w14:textId="77777777" w:rsidR="008B1C85" w:rsidRPr="001811FA" w:rsidRDefault="008B1C85" w:rsidP="008B1C85">
            <w:pPr>
              <w:pStyle w:val="Tabletext"/>
            </w:pPr>
            <w:r>
              <w:t>Based on clinical experience and expert opinion (informed by evidence, where available), with particular reference to named source(s)</w:t>
            </w:r>
          </w:p>
        </w:tc>
      </w:tr>
      <w:tr w:rsidR="008B1C85" w14:paraId="4A26D5F1" w14:textId="77777777" w:rsidTr="00A10349">
        <w:tc>
          <w:tcPr>
            <w:tcW w:w="2422" w:type="pct"/>
            <w:shd w:val="clear" w:color="auto" w:fill="auto"/>
          </w:tcPr>
          <w:p w14:paraId="0ECE367D" w14:textId="77777777" w:rsidR="008B1C85" w:rsidRDefault="008B1C85" w:rsidP="008B1C85">
            <w:pPr>
              <w:pStyle w:val="Tabletext"/>
            </w:pPr>
            <w:r>
              <w:t>Consensus recommendation</w:t>
            </w:r>
          </w:p>
        </w:tc>
        <w:tc>
          <w:tcPr>
            <w:tcW w:w="2578" w:type="pct"/>
            <w:shd w:val="clear" w:color="auto" w:fill="auto"/>
          </w:tcPr>
          <w:p w14:paraId="180D1D39" w14:textId="77777777" w:rsidR="008B1C85" w:rsidRPr="001811FA" w:rsidRDefault="008B1C85" w:rsidP="008B1C85">
            <w:pPr>
              <w:pStyle w:val="Tabletext"/>
            </w:pPr>
            <w:r>
              <w:t>Based on clinical experience and expert opinion (informed by evidence, where available)</w:t>
            </w:r>
          </w:p>
        </w:tc>
      </w:tr>
    </w:tbl>
    <w:p w14:paraId="4EEA6E45" w14:textId="77777777" w:rsidR="008B1C85" w:rsidRDefault="008B1C85" w:rsidP="008B1C85">
      <w:pPr>
        <w:pStyle w:val="09Tablefootnoteslast-nostick"/>
      </w:pPr>
      <w:r>
        <w:t>Abbreviations: NAC, National Asthma Council Australia; NHMRC, National Health and Medical Research Council.</w:t>
      </w:r>
    </w:p>
    <w:p w14:paraId="1295203D" w14:textId="77777777" w:rsidR="008B1C85" w:rsidRDefault="008B1C85" w:rsidP="00DF3A06">
      <w:pPr>
        <w:pStyle w:val="Appcaption"/>
      </w:pPr>
      <w:r>
        <w:t>Table A-7.2</w:t>
      </w:r>
      <w:r>
        <w:tab/>
        <w:t>GINA (2015): Levels and sources of evidence</w:t>
      </w:r>
    </w:p>
    <w:tbl>
      <w:tblPr>
        <w:tblStyle w:val="TableGrid"/>
        <w:tblW w:w="5000" w:type="pct"/>
        <w:tblLook w:val="04A0" w:firstRow="1" w:lastRow="0" w:firstColumn="1" w:lastColumn="0" w:noHBand="0" w:noVBand="1"/>
        <w:tblCaption w:val="Global Initiative for Asthma (2015)"/>
        <w:tblDescription w:val="Levels and sources of evidence"/>
      </w:tblPr>
      <w:tblGrid>
        <w:gridCol w:w="987"/>
        <w:gridCol w:w="2552"/>
        <w:gridCol w:w="5522"/>
      </w:tblGrid>
      <w:tr w:rsidR="008B1C85" w:rsidRPr="00945369" w14:paraId="11D58A44" w14:textId="77777777" w:rsidTr="00CD2B97">
        <w:trPr>
          <w:tblHeader/>
        </w:trPr>
        <w:tc>
          <w:tcPr>
            <w:tcW w:w="545" w:type="pct"/>
          </w:tcPr>
          <w:p w14:paraId="7E028F76" w14:textId="77777777" w:rsidR="008B1C85" w:rsidRPr="00842458" w:rsidRDefault="008B1C85" w:rsidP="00A403FC">
            <w:pPr>
              <w:pStyle w:val="Tableheading"/>
            </w:pPr>
            <w:r w:rsidRPr="00842458">
              <w:t>Evidence category</w:t>
            </w:r>
          </w:p>
        </w:tc>
        <w:tc>
          <w:tcPr>
            <w:tcW w:w="1408" w:type="pct"/>
          </w:tcPr>
          <w:p w14:paraId="434690C3" w14:textId="77777777" w:rsidR="008B1C85" w:rsidRPr="00842458" w:rsidRDefault="008B1C85" w:rsidP="00A403FC">
            <w:pPr>
              <w:pStyle w:val="Tableheading"/>
            </w:pPr>
            <w:r w:rsidRPr="00842458">
              <w:t>Sources of evidence</w:t>
            </w:r>
          </w:p>
        </w:tc>
        <w:tc>
          <w:tcPr>
            <w:tcW w:w="3047" w:type="pct"/>
          </w:tcPr>
          <w:p w14:paraId="052C5C17" w14:textId="77777777" w:rsidR="008B1C85" w:rsidRPr="00842458" w:rsidRDefault="008B1C85" w:rsidP="00A403FC">
            <w:pPr>
              <w:pStyle w:val="Tableheading"/>
            </w:pPr>
            <w:r w:rsidRPr="00842458">
              <w:t>Definition</w:t>
            </w:r>
          </w:p>
        </w:tc>
      </w:tr>
      <w:tr w:rsidR="008B1C85" w14:paraId="1D081867" w14:textId="77777777" w:rsidTr="00FF6AB5">
        <w:tc>
          <w:tcPr>
            <w:tcW w:w="545" w:type="pct"/>
          </w:tcPr>
          <w:p w14:paraId="4826171D" w14:textId="77777777" w:rsidR="008B1C85" w:rsidRDefault="008B1C85" w:rsidP="008B1C85">
            <w:pPr>
              <w:pStyle w:val="Tabletext"/>
            </w:pPr>
            <w:r>
              <w:t>A</w:t>
            </w:r>
          </w:p>
        </w:tc>
        <w:tc>
          <w:tcPr>
            <w:tcW w:w="1408" w:type="pct"/>
          </w:tcPr>
          <w:p w14:paraId="78518727" w14:textId="77777777" w:rsidR="008B1C85" w:rsidRDefault="008B1C85" w:rsidP="008B1C85">
            <w:pPr>
              <w:pStyle w:val="Tabletext"/>
            </w:pPr>
            <w:r>
              <w:t>RCTs or meta-analyses. Rich body of data.</w:t>
            </w:r>
          </w:p>
        </w:tc>
        <w:tc>
          <w:tcPr>
            <w:tcW w:w="3047" w:type="pct"/>
          </w:tcPr>
          <w:p w14:paraId="6ABAD847" w14:textId="77777777" w:rsidR="008B1C85" w:rsidRDefault="008B1C85" w:rsidP="008B1C85">
            <w:pPr>
              <w:pStyle w:val="Tabletext"/>
            </w:pPr>
            <w:r>
              <w:t>Evidence is from endpoints of well-designed RCTs or meta-analyses that provide a consistent pattern of findings in the population for which the recommendation is made. Category A requires substantial numbers of studies involving substantial numbers of participants.</w:t>
            </w:r>
          </w:p>
        </w:tc>
      </w:tr>
      <w:tr w:rsidR="008B1C85" w14:paraId="406E612B" w14:textId="77777777" w:rsidTr="00A10349">
        <w:tc>
          <w:tcPr>
            <w:tcW w:w="545" w:type="pct"/>
            <w:shd w:val="clear" w:color="auto" w:fill="auto"/>
          </w:tcPr>
          <w:p w14:paraId="5A9CDD84" w14:textId="77777777" w:rsidR="008B1C85" w:rsidRDefault="008B1C85" w:rsidP="008B1C85">
            <w:pPr>
              <w:pStyle w:val="Tabletext"/>
            </w:pPr>
            <w:r>
              <w:t>B</w:t>
            </w:r>
          </w:p>
        </w:tc>
        <w:tc>
          <w:tcPr>
            <w:tcW w:w="1408" w:type="pct"/>
            <w:shd w:val="clear" w:color="auto" w:fill="auto"/>
          </w:tcPr>
          <w:p w14:paraId="4EEAF056" w14:textId="77777777" w:rsidR="008B1C85" w:rsidRDefault="008B1C85" w:rsidP="008B1C85">
            <w:pPr>
              <w:pStyle w:val="Tabletext"/>
            </w:pPr>
            <w:r>
              <w:t>RCTs and meta-analyses. Limited body of data.</w:t>
            </w:r>
          </w:p>
        </w:tc>
        <w:tc>
          <w:tcPr>
            <w:tcW w:w="3047" w:type="pct"/>
            <w:shd w:val="clear" w:color="auto" w:fill="auto"/>
          </w:tcPr>
          <w:p w14:paraId="2612F5DA" w14:textId="77777777" w:rsidR="008B1C85" w:rsidRDefault="008B1C85" w:rsidP="008B1C85">
            <w:pPr>
              <w:pStyle w:val="Tabletext"/>
            </w:pPr>
            <w:r>
              <w:t xml:space="preserve">Evidence is from endpoints of intervention studies that include only a limited number of patients, post hoc or subgroup analysis of RCTs, or meta-analysis of RCTs. In general, Category B pertains when few randomized trials exist, they are small in size, they were undertaken in a population that differs from the target </w:t>
            </w:r>
            <w:r>
              <w:lastRenderedPageBreak/>
              <w:t>population of the recommendation, or the results are somewhat inconsistent.</w:t>
            </w:r>
          </w:p>
        </w:tc>
      </w:tr>
      <w:tr w:rsidR="008B1C85" w14:paraId="12FF7181" w14:textId="77777777" w:rsidTr="00FF6AB5">
        <w:tc>
          <w:tcPr>
            <w:tcW w:w="545" w:type="pct"/>
          </w:tcPr>
          <w:p w14:paraId="65929891" w14:textId="77777777" w:rsidR="008B1C85" w:rsidRDefault="008B1C85" w:rsidP="008B1C85">
            <w:pPr>
              <w:pStyle w:val="Tabletext"/>
            </w:pPr>
            <w:r>
              <w:lastRenderedPageBreak/>
              <w:t>C</w:t>
            </w:r>
          </w:p>
        </w:tc>
        <w:tc>
          <w:tcPr>
            <w:tcW w:w="1408" w:type="pct"/>
          </w:tcPr>
          <w:p w14:paraId="43F3ECBC" w14:textId="77777777" w:rsidR="008B1C85" w:rsidRDefault="008B1C85" w:rsidP="008B1C85">
            <w:pPr>
              <w:pStyle w:val="Tabletext"/>
            </w:pPr>
            <w:r>
              <w:t>Non-randomised trials. Observational studies.</w:t>
            </w:r>
          </w:p>
        </w:tc>
        <w:tc>
          <w:tcPr>
            <w:tcW w:w="3047" w:type="pct"/>
          </w:tcPr>
          <w:p w14:paraId="7FCDBE03" w14:textId="77777777" w:rsidR="008B1C85" w:rsidRDefault="008B1C85" w:rsidP="008B1C85">
            <w:pPr>
              <w:pStyle w:val="Tabletext"/>
            </w:pPr>
            <w:r>
              <w:t>Evidence is from outcomes of uncontrolled or non-randomized trials or from observational studies.</w:t>
            </w:r>
          </w:p>
        </w:tc>
      </w:tr>
      <w:tr w:rsidR="008B1C85" w14:paraId="158E1380" w14:textId="77777777" w:rsidTr="00A10349">
        <w:tc>
          <w:tcPr>
            <w:tcW w:w="545" w:type="pct"/>
            <w:shd w:val="clear" w:color="auto" w:fill="auto"/>
          </w:tcPr>
          <w:p w14:paraId="6CB21171" w14:textId="77777777" w:rsidR="008B1C85" w:rsidRDefault="008B1C85" w:rsidP="008B1C85">
            <w:pPr>
              <w:pStyle w:val="Tabletext"/>
            </w:pPr>
            <w:r>
              <w:t>D</w:t>
            </w:r>
          </w:p>
        </w:tc>
        <w:tc>
          <w:tcPr>
            <w:tcW w:w="1408" w:type="pct"/>
            <w:shd w:val="clear" w:color="auto" w:fill="auto"/>
          </w:tcPr>
          <w:p w14:paraId="06540302" w14:textId="77777777" w:rsidR="008B1C85" w:rsidRDefault="008B1C85" w:rsidP="008B1C85">
            <w:pPr>
              <w:pStyle w:val="Tabletext"/>
            </w:pPr>
            <w:r>
              <w:t>Panel Consensus Judgment.</w:t>
            </w:r>
          </w:p>
        </w:tc>
        <w:tc>
          <w:tcPr>
            <w:tcW w:w="3047" w:type="pct"/>
            <w:shd w:val="clear" w:color="auto" w:fill="auto"/>
          </w:tcPr>
          <w:p w14:paraId="60040704" w14:textId="77777777" w:rsidR="008B1C85" w:rsidRDefault="008B1C85" w:rsidP="008B1C85">
            <w:pPr>
              <w:pStyle w:val="Tabletext"/>
            </w:pPr>
            <w:r>
              <w:t>This category is used only in cases where the provision of some guidance was deemed valuable but the clinical literature addressing the subject was deemed insufficient to justify placement in one of the other categories. The Panel Consensus is based on clinical experience or knowledge that does not meet the above-listed criteria.</w:t>
            </w:r>
          </w:p>
        </w:tc>
      </w:tr>
    </w:tbl>
    <w:p w14:paraId="068ED053" w14:textId="77777777" w:rsidR="008B69C7" w:rsidRDefault="008B1C85" w:rsidP="008B69C7">
      <w:pPr>
        <w:pStyle w:val="09Tablefootnoteslast-nostick"/>
      </w:pPr>
      <w:r>
        <w:t>Abbreviations: GINA, Global Initiative for Asthma; RCT, randomised controlled trial.</w:t>
      </w:r>
    </w:p>
    <w:p w14:paraId="2FDAA3D2" w14:textId="77777777" w:rsidR="008B1C85" w:rsidRDefault="008B1C85" w:rsidP="00DF3A06">
      <w:pPr>
        <w:pStyle w:val="Appcaption"/>
      </w:pPr>
      <w:r>
        <w:t>Table A-7.3</w:t>
      </w:r>
      <w:r>
        <w:tab/>
        <w:t>BTS/SIGN (2014): Key to evidence statements and grades of recommendations</w:t>
      </w:r>
    </w:p>
    <w:tbl>
      <w:tblPr>
        <w:tblStyle w:val="TableGrid"/>
        <w:tblW w:w="5000" w:type="pct"/>
        <w:tblLook w:val="04A0" w:firstRow="1" w:lastRow="0" w:firstColumn="1" w:lastColumn="0" w:noHBand="0" w:noVBand="1"/>
        <w:tblCaption w:val="British Thoracic Society / Scottish Intercollegiate Guidelines Network (2014)"/>
        <w:tblDescription w:val="Key to evidence statements and grades of recommendations."/>
      </w:tblPr>
      <w:tblGrid>
        <w:gridCol w:w="1555"/>
        <w:gridCol w:w="7506"/>
      </w:tblGrid>
      <w:tr w:rsidR="008B1C85" w:rsidRPr="00945369" w14:paraId="03956B1D" w14:textId="77777777" w:rsidTr="00D56F93">
        <w:trPr>
          <w:tblHeader/>
        </w:trPr>
        <w:tc>
          <w:tcPr>
            <w:tcW w:w="858" w:type="pct"/>
          </w:tcPr>
          <w:p w14:paraId="71CB7472" w14:textId="77777777" w:rsidR="008B1C85" w:rsidRPr="00E72694" w:rsidRDefault="008B1C85" w:rsidP="00D12052">
            <w:pPr>
              <w:pStyle w:val="Tableheading"/>
            </w:pPr>
            <w:r w:rsidRPr="00E72694">
              <w:t>Level of evidence</w:t>
            </w:r>
          </w:p>
        </w:tc>
        <w:tc>
          <w:tcPr>
            <w:tcW w:w="4142" w:type="pct"/>
          </w:tcPr>
          <w:p w14:paraId="253F2C5B" w14:textId="77777777" w:rsidR="008B1C85" w:rsidRPr="00E72694" w:rsidRDefault="00137BB4" w:rsidP="0099709F">
            <w:pPr>
              <w:pStyle w:val="Tableheading"/>
              <w:rPr>
                <w:rFonts w:cstheme="minorHAnsi"/>
              </w:rPr>
            </w:pPr>
            <w:r>
              <w:rPr>
                <w:rFonts w:cstheme="minorHAnsi"/>
              </w:rPr>
              <w:t>Definition</w:t>
            </w:r>
          </w:p>
        </w:tc>
      </w:tr>
      <w:tr w:rsidR="008B1C85" w14:paraId="3D44A2C9" w14:textId="77777777" w:rsidTr="008B1C85">
        <w:tc>
          <w:tcPr>
            <w:tcW w:w="858" w:type="pct"/>
          </w:tcPr>
          <w:p w14:paraId="163AF906" w14:textId="77777777" w:rsidR="008B1C85" w:rsidRPr="00CC0824" w:rsidRDefault="008B1C85" w:rsidP="008B1C85">
            <w:pPr>
              <w:pStyle w:val="Tabletext"/>
              <w:rPr>
                <w:rFonts w:cstheme="minorHAnsi"/>
              </w:rPr>
            </w:pPr>
            <w:r w:rsidRPr="00CC0824">
              <w:rPr>
                <w:rFonts w:cstheme="minorHAnsi"/>
              </w:rPr>
              <w:t>1++</w:t>
            </w:r>
          </w:p>
        </w:tc>
        <w:tc>
          <w:tcPr>
            <w:tcW w:w="4142" w:type="pct"/>
          </w:tcPr>
          <w:p w14:paraId="6F702B93" w14:textId="77777777" w:rsidR="008B1C85" w:rsidRPr="00CC0824" w:rsidRDefault="008B1C85" w:rsidP="008B1C85">
            <w:pPr>
              <w:pStyle w:val="03Tabletextspacebefore"/>
              <w:keepNext/>
              <w:rPr>
                <w:rFonts w:asciiTheme="minorHAnsi" w:hAnsiTheme="minorHAnsi" w:cstheme="minorHAnsi"/>
              </w:rPr>
            </w:pPr>
            <w:r w:rsidRPr="00CC0824">
              <w:rPr>
                <w:rFonts w:asciiTheme="minorHAnsi" w:eastAsia="Times New Roman" w:hAnsiTheme="minorHAnsi" w:cstheme="minorHAnsi"/>
                <w:sz w:val="22"/>
                <w:szCs w:val="24"/>
                <w:lang w:eastAsia="en-AU"/>
              </w:rPr>
              <w:t>High quality meta-analyses, systematic reviews of RCTs, or RCTs with a very low risk of bias</w:t>
            </w:r>
          </w:p>
        </w:tc>
      </w:tr>
      <w:tr w:rsidR="008B1C85" w14:paraId="183A9A4A" w14:textId="77777777" w:rsidTr="00376FE9">
        <w:tc>
          <w:tcPr>
            <w:tcW w:w="858" w:type="pct"/>
            <w:shd w:val="clear" w:color="auto" w:fill="auto"/>
          </w:tcPr>
          <w:p w14:paraId="0D25C094" w14:textId="77777777" w:rsidR="008B1C85" w:rsidRPr="00CC0824" w:rsidRDefault="008B1C85" w:rsidP="008B1C85">
            <w:pPr>
              <w:pStyle w:val="Tabletext"/>
              <w:rPr>
                <w:rFonts w:cstheme="minorHAnsi"/>
              </w:rPr>
            </w:pPr>
            <w:r w:rsidRPr="00CC0824">
              <w:rPr>
                <w:rFonts w:cstheme="minorHAnsi"/>
              </w:rPr>
              <w:t>1+</w:t>
            </w:r>
          </w:p>
        </w:tc>
        <w:tc>
          <w:tcPr>
            <w:tcW w:w="4142" w:type="pct"/>
            <w:shd w:val="clear" w:color="auto" w:fill="auto"/>
          </w:tcPr>
          <w:p w14:paraId="7C59B325" w14:textId="77777777" w:rsidR="008B1C85" w:rsidRPr="00CC0824" w:rsidRDefault="008B1C85" w:rsidP="008B1C85">
            <w:pPr>
              <w:pStyle w:val="Tabletext"/>
              <w:rPr>
                <w:rFonts w:cstheme="minorHAnsi"/>
              </w:rPr>
            </w:pPr>
            <w:r w:rsidRPr="00CC0824">
              <w:rPr>
                <w:rFonts w:cstheme="minorHAnsi"/>
              </w:rPr>
              <w:t>Well conducted meta-analyses, systematic reviews, or RCTs with a low risk of bias</w:t>
            </w:r>
          </w:p>
        </w:tc>
      </w:tr>
      <w:tr w:rsidR="008B1C85" w14:paraId="6A905F65" w14:textId="77777777" w:rsidTr="008B1C85">
        <w:tc>
          <w:tcPr>
            <w:tcW w:w="858" w:type="pct"/>
          </w:tcPr>
          <w:p w14:paraId="1B3DC880" w14:textId="77777777" w:rsidR="008B1C85" w:rsidRPr="00CC0824" w:rsidRDefault="008B1C85" w:rsidP="008B1C85">
            <w:pPr>
              <w:pStyle w:val="Tabletext"/>
              <w:rPr>
                <w:rFonts w:cstheme="minorHAnsi"/>
              </w:rPr>
            </w:pPr>
            <w:r w:rsidRPr="00CC0824">
              <w:rPr>
                <w:rFonts w:cstheme="minorHAnsi"/>
              </w:rPr>
              <w:t>1-</w:t>
            </w:r>
          </w:p>
        </w:tc>
        <w:tc>
          <w:tcPr>
            <w:tcW w:w="4142" w:type="pct"/>
          </w:tcPr>
          <w:p w14:paraId="2C419225" w14:textId="77777777" w:rsidR="008B1C85" w:rsidRPr="00CC0824" w:rsidRDefault="008B1C85" w:rsidP="008B1C85">
            <w:pPr>
              <w:pStyle w:val="Tabletext"/>
              <w:rPr>
                <w:rFonts w:cstheme="minorHAnsi"/>
              </w:rPr>
            </w:pPr>
            <w:r w:rsidRPr="00CC0824">
              <w:rPr>
                <w:rFonts w:cstheme="minorHAnsi"/>
              </w:rPr>
              <w:t>Meta-analyses, systematic reviews, or RCTs with a high risk of bias</w:t>
            </w:r>
          </w:p>
        </w:tc>
      </w:tr>
      <w:tr w:rsidR="008B1C85" w14:paraId="0D0C7280" w14:textId="77777777" w:rsidTr="00376FE9">
        <w:tc>
          <w:tcPr>
            <w:tcW w:w="858" w:type="pct"/>
            <w:shd w:val="clear" w:color="auto" w:fill="auto"/>
          </w:tcPr>
          <w:p w14:paraId="3FA88A3F" w14:textId="77777777" w:rsidR="008B1C85" w:rsidRPr="00CC0824" w:rsidRDefault="008B1C85" w:rsidP="008B1C85">
            <w:pPr>
              <w:pStyle w:val="Tabletext"/>
              <w:rPr>
                <w:rFonts w:cstheme="minorHAnsi"/>
              </w:rPr>
            </w:pPr>
            <w:r w:rsidRPr="00CC0824">
              <w:rPr>
                <w:rFonts w:cstheme="minorHAnsi"/>
              </w:rPr>
              <w:t>2++</w:t>
            </w:r>
          </w:p>
        </w:tc>
        <w:tc>
          <w:tcPr>
            <w:tcW w:w="4142" w:type="pct"/>
            <w:shd w:val="clear" w:color="auto" w:fill="auto"/>
          </w:tcPr>
          <w:p w14:paraId="3FCC6396" w14:textId="77777777" w:rsidR="008B1C85" w:rsidRPr="00CC0824" w:rsidRDefault="008B1C85" w:rsidP="008B1C85">
            <w:pPr>
              <w:pStyle w:val="Tabletext"/>
              <w:rPr>
                <w:rFonts w:cstheme="minorHAnsi"/>
              </w:rPr>
            </w:pPr>
            <w:r w:rsidRPr="00CC0824">
              <w:rPr>
                <w:rFonts w:cstheme="minorHAnsi"/>
              </w:rPr>
              <w:t>High quality systematic reviews of case control or cohort studies</w:t>
            </w:r>
          </w:p>
          <w:p w14:paraId="1F153D06" w14:textId="77777777" w:rsidR="008B1C85" w:rsidRPr="00CC0824" w:rsidRDefault="008B1C85" w:rsidP="008B1C85">
            <w:pPr>
              <w:pStyle w:val="03Tabletextspacebefore"/>
              <w:keepNext/>
              <w:rPr>
                <w:rFonts w:asciiTheme="minorHAnsi" w:hAnsiTheme="minorHAnsi" w:cstheme="minorHAnsi"/>
              </w:rPr>
            </w:pPr>
            <w:r w:rsidRPr="00CC0824">
              <w:rPr>
                <w:rFonts w:asciiTheme="minorHAnsi" w:hAnsiTheme="minorHAnsi" w:cstheme="minorHAnsi"/>
              </w:rPr>
              <w:t>High quality case control or cohort studies with a very low risk of confounding or bias and a high probability that the</w:t>
            </w:r>
          </w:p>
          <w:p w14:paraId="0CD2C641" w14:textId="77777777" w:rsidR="008B1C85" w:rsidRPr="00CC0824" w:rsidRDefault="008B1C85" w:rsidP="008B1C85">
            <w:pPr>
              <w:pStyle w:val="Tabletext"/>
              <w:rPr>
                <w:rFonts w:cstheme="minorHAnsi"/>
              </w:rPr>
            </w:pPr>
            <w:r w:rsidRPr="00CC0824">
              <w:rPr>
                <w:rFonts w:cstheme="minorHAnsi"/>
              </w:rPr>
              <w:t>relationship is causal</w:t>
            </w:r>
          </w:p>
        </w:tc>
      </w:tr>
      <w:tr w:rsidR="008B1C85" w14:paraId="0BDF3392" w14:textId="77777777" w:rsidTr="008B1C85">
        <w:tc>
          <w:tcPr>
            <w:tcW w:w="858" w:type="pct"/>
          </w:tcPr>
          <w:p w14:paraId="31914588" w14:textId="77777777" w:rsidR="008B1C85" w:rsidRPr="00CC0824" w:rsidRDefault="008B1C85" w:rsidP="008B1C85">
            <w:pPr>
              <w:pStyle w:val="Tabletext"/>
              <w:rPr>
                <w:rFonts w:cstheme="minorHAnsi"/>
              </w:rPr>
            </w:pPr>
            <w:r w:rsidRPr="00CC0824">
              <w:rPr>
                <w:rFonts w:cstheme="minorHAnsi"/>
              </w:rPr>
              <w:t>2+</w:t>
            </w:r>
          </w:p>
        </w:tc>
        <w:tc>
          <w:tcPr>
            <w:tcW w:w="4142" w:type="pct"/>
          </w:tcPr>
          <w:p w14:paraId="2D25529E" w14:textId="77777777" w:rsidR="008B1C85" w:rsidRPr="00CC0824" w:rsidRDefault="008B1C85" w:rsidP="008B1C85">
            <w:pPr>
              <w:pStyle w:val="Tabletext"/>
              <w:rPr>
                <w:rFonts w:cstheme="minorHAnsi"/>
              </w:rPr>
            </w:pPr>
            <w:r w:rsidRPr="00CC0824">
              <w:rPr>
                <w:rFonts w:cstheme="minorHAnsi"/>
              </w:rPr>
              <w:t>Well conducted case control or cohort studies with a low risk of confounding or bias and a moderate probability that the relationship is causal</w:t>
            </w:r>
          </w:p>
        </w:tc>
      </w:tr>
      <w:tr w:rsidR="008B1C85" w14:paraId="403C697F" w14:textId="77777777" w:rsidTr="00376FE9">
        <w:tc>
          <w:tcPr>
            <w:tcW w:w="858" w:type="pct"/>
            <w:shd w:val="clear" w:color="auto" w:fill="auto"/>
          </w:tcPr>
          <w:p w14:paraId="0CCA160C" w14:textId="77777777" w:rsidR="008B1C85" w:rsidRPr="00CC0824" w:rsidRDefault="008B1C85" w:rsidP="008B1C85">
            <w:pPr>
              <w:pStyle w:val="Tabletext"/>
              <w:rPr>
                <w:rFonts w:cstheme="minorHAnsi"/>
              </w:rPr>
            </w:pPr>
            <w:r w:rsidRPr="00CC0824">
              <w:rPr>
                <w:rFonts w:cstheme="minorHAnsi"/>
              </w:rPr>
              <w:t>2-</w:t>
            </w:r>
          </w:p>
        </w:tc>
        <w:tc>
          <w:tcPr>
            <w:tcW w:w="4142" w:type="pct"/>
            <w:shd w:val="clear" w:color="auto" w:fill="auto"/>
          </w:tcPr>
          <w:p w14:paraId="3FBC9211" w14:textId="77777777" w:rsidR="008B1C85" w:rsidRPr="00CC0824" w:rsidRDefault="008B1C85" w:rsidP="008B1C85">
            <w:pPr>
              <w:pStyle w:val="Tabletext"/>
              <w:rPr>
                <w:rFonts w:cstheme="minorHAnsi"/>
              </w:rPr>
            </w:pPr>
            <w:r w:rsidRPr="00CC0824">
              <w:rPr>
                <w:rFonts w:cstheme="minorHAnsi"/>
              </w:rPr>
              <w:t>Case control or cohort studies with a high risk of confounding or bias and a significant risk that the relationship is not causal</w:t>
            </w:r>
          </w:p>
        </w:tc>
      </w:tr>
      <w:tr w:rsidR="008B1C85" w14:paraId="333B4A0A" w14:textId="77777777" w:rsidTr="008B1C85">
        <w:tc>
          <w:tcPr>
            <w:tcW w:w="858" w:type="pct"/>
          </w:tcPr>
          <w:p w14:paraId="68A80660" w14:textId="77777777" w:rsidR="008B1C85" w:rsidRPr="00CC0824" w:rsidRDefault="008B1C85" w:rsidP="008B1C85">
            <w:pPr>
              <w:pStyle w:val="Tabletext"/>
              <w:rPr>
                <w:rFonts w:cstheme="minorHAnsi"/>
              </w:rPr>
            </w:pPr>
            <w:r w:rsidRPr="00CC0824">
              <w:rPr>
                <w:rFonts w:cstheme="minorHAnsi"/>
              </w:rPr>
              <w:t>3</w:t>
            </w:r>
          </w:p>
        </w:tc>
        <w:tc>
          <w:tcPr>
            <w:tcW w:w="4142" w:type="pct"/>
          </w:tcPr>
          <w:p w14:paraId="11097788" w14:textId="77777777" w:rsidR="008B1C85" w:rsidRPr="00CC0824" w:rsidRDefault="008B1C85" w:rsidP="008B1C85">
            <w:pPr>
              <w:pStyle w:val="Tabletext"/>
              <w:rPr>
                <w:rFonts w:cstheme="minorHAnsi"/>
              </w:rPr>
            </w:pPr>
            <w:r w:rsidRPr="00CC0824">
              <w:rPr>
                <w:rFonts w:cstheme="minorHAnsi"/>
              </w:rPr>
              <w:t>Non-analytic studies, eg case reports, case series</w:t>
            </w:r>
          </w:p>
        </w:tc>
      </w:tr>
      <w:tr w:rsidR="008B1C85" w14:paraId="1AC3EB33" w14:textId="77777777" w:rsidTr="00376FE9">
        <w:tc>
          <w:tcPr>
            <w:tcW w:w="858" w:type="pct"/>
            <w:shd w:val="clear" w:color="auto" w:fill="auto"/>
          </w:tcPr>
          <w:p w14:paraId="04942CDD" w14:textId="77777777" w:rsidR="008B1C85" w:rsidRPr="00CC0824" w:rsidRDefault="008B1C85" w:rsidP="008B1C85">
            <w:pPr>
              <w:pStyle w:val="Tabletext"/>
              <w:rPr>
                <w:rFonts w:cstheme="minorHAnsi"/>
              </w:rPr>
            </w:pPr>
            <w:r w:rsidRPr="00CC0824">
              <w:rPr>
                <w:rFonts w:cstheme="minorHAnsi"/>
              </w:rPr>
              <w:t>4</w:t>
            </w:r>
          </w:p>
        </w:tc>
        <w:tc>
          <w:tcPr>
            <w:tcW w:w="4142" w:type="pct"/>
            <w:shd w:val="clear" w:color="auto" w:fill="auto"/>
          </w:tcPr>
          <w:p w14:paraId="4389DBD9" w14:textId="77777777" w:rsidR="008B1C85" w:rsidRPr="00CC0824" w:rsidRDefault="008B1C85" w:rsidP="008B1C85">
            <w:pPr>
              <w:pStyle w:val="Tabletext"/>
              <w:rPr>
                <w:rFonts w:cstheme="minorHAnsi"/>
              </w:rPr>
            </w:pPr>
            <w:r w:rsidRPr="00CC0824">
              <w:rPr>
                <w:rFonts w:cstheme="minorHAnsi"/>
              </w:rPr>
              <w:t>Expert opinion</w:t>
            </w:r>
          </w:p>
        </w:tc>
      </w:tr>
    </w:tbl>
    <w:p w14:paraId="6922D56C" w14:textId="77777777" w:rsidR="00D12052" w:rsidRDefault="00D12052" w:rsidP="00D12052">
      <w:pPr>
        <w:pStyle w:val="Appcaption"/>
      </w:pPr>
      <w:r>
        <w:t>Table A-7.</w:t>
      </w:r>
      <w:r w:rsidR="00C66AF5">
        <w:t>3 continued</w:t>
      </w:r>
      <w:r>
        <w:tab/>
        <w:t xml:space="preserve">BTS/SIGN (2014): Key to </w:t>
      </w:r>
      <w:r w:rsidR="00FF7D9B">
        <w:t xml:space="preserve">evidence statements and </w:t>
      </w:r>
      <w:r>
        <w:t>grades of recommendations</w:t>
      </w:r>
    </w:p>
    <w:tbl>
      <w:tblPr>
        <w:tblStyle w:val="TableGrid"/>
        <w:tblW w:w="5000" w:type="pct"/>
        <w:tblLook w:val="04A0" w:firstRow="1" w:lastRow="0" w:firstColumn="1" w:lastColumn="0" w:noHBand="0" w:noVBand="1"/>
        <w:tblCaption w:val="British Thoracic Society / Scottish Intercollegiate Guidelines Network (2014)"/>
        <w:tblDescription w:val="Key to evidence statements and grades of recommendations."/>
      </w:tblPr>
      <w:tblGrid>
        <w:gridCol w:w="1652"/>
        <w:gridCol w:w="7409"/>
      </w:tblGrid>
      <w:tr w:rsidR="008B1C85" w:rsidRPr="00DC29AA" w14:paraId="1FADC905" w14:textId="77777777" w:rsidTr="00FF7D9B">
        <w:trPr>
          <w:tblHeader/>
        </w:trPr>
        <w:tc>
          <w:tcPr>
            <w:tcW w:w="858" w:type="pct"/>
            <w:shd w:val="clear" w:color="auto" w:fill="auto"/>
          </w:tcPr>
          <w:p w14:paraId="78627E87" w14:textId="77777777" w:rsidR="008B1C85" w:rsidRPr="00DC29AA" w:rsidRDefault="008B1C85" w:rsidP="0099709F">
            <w:pPr>
              <w:pStyle w:val="Tableheading"/>
            </w:pPr>
            <w:r w:rsidRPr="00DC29AA">
              <w:t>Grades of recommendation</w:t>
            </w:r>
          </w:p>
        </w:tc>
        <w:tc>
          <w:tcPr>
            <w:tcW w:w="4142" w:type="pct"/>
            <w:shd w:val="clear" w:color="auto" w:fill="auto"/>
          </w:tcPr>
          <w:p w14:paraId="759CE944" w14:textId="77777777" w:rsidR="008B1C85" w:rsidRPr="00DC29AA" w:rsidRDefault="00D12052" w:rsidP="00C66AF5">
            <w:pPr>
              <w:pStyle w:val="Tableheading"/>
            </w:pPr>
            <w:r w:rsidRPr="00DC29AA">
              <w:t>Definition</w:t>
            </w:r>
          </w:p>
        </w:tc>
      </w:tr>
      <w:tr w:rsidR="008B1C85" w14:paraId="19969452" w14:textId="77777777" w:rsidTr="00376FE9">
        <w:tc>
          <w:tcPr>
            <w:tcW w:w="858" w:type="pct"/>
            <w:shd w:val="clear" w:color="auto" w:fill="auto"/>
          </w:tcPr>
          <w:p w14:paraId="69058D45" w14:textId="77777777" w:rsidR="008B1C85" w:rsidRPr="00CC0824" w:rsidRDefault="008B1C85" w:rsidP="008B1C85">
            <w:pPr>
              <w:pStyle w:val="Tabletext"/>
              <w:rPr>
                <w:rFonts w:cstheme="minorHAnsi"/>
              </w:rPr>
            </w:pPr>
            <w:r w:rsidRPr="00CC0824">
              <w:rPr>
                <w:rFonts w:cstheme="minorHAnsi"/>
              </w:rPr>
              <w:t>A</w:t>
            </w:r>
          </w:p>
        </w:tc>
        <w:tc>
          <w:tcPr>
            <w:tcW w:w="4142" w:type="pct"/>
            <w:shd w:val="clear" w:color="auto" w:fill="auto"/>
          </w:tcPr>
          <w:p w14:paraId="150982B6" w14:textId="77777777" w:rsidR="008B1C85" w:rsidRPr="00CC0824" w:rsidRDefault="008B1C85" w:rsidP="008B1C85">
            <w:pPr>
              <w:pStyle w:val="Tabletext"/>
              <w:rPr>
                <w:rFonts w:cstheme="minorHAnsi"/>
              </w:rPr>
            </w:pPr>
            <w:r w:rsidRPr="00CC0824">
              <w:rPr>
                <w:rFonts w:cstheme="minorHAnsi"/>
              </w:rPr>
              <w:t>At least one meta-analysis, systematic review, or RCT rated as 1++,</w:t>
            </w:r>
          </w:p>
          <w:p w14:paraId="28E83026" w14:textId="77777777" w:rsidR="008B1C85" w:rsidRPr="00CC0824" w:rsidRDefault="008B1C85" w:rsidP="008B1C85">
            <w:pPr>
              <w:pStyle w:val="Tabletext"/>
              <w:rPr>
                <w:rFonts w:cstheme="minorHAnsi"/>
              </w:rPr>
            </w:pPr>
            <w:r w:rsidRPr="00CC0824">
              <w:rPr>
                <w:rFonts w:cstheme="minorHAnsi"/>
              </w:rPr>
              <w:t>and directly applicable to the target population; or</w:t>
            </w:r>
          </w:p>
          <w:p w14:paraId="6E8BE5D6" w14:textId="77777777" w:rsidR="008B1C85" w:rsidRPr="00CC0824" w:rsidRDefault="008B1C85" w:rsidP="008B1C85">
            <w:pPr>
              <w:pStyle w:val="03Tabletextspacebefore"/>
              <w:keepNext/>
              <w:rPr>
                <w:rFonts w:asciiTheme="minorHAnsi" w:hAnsiTheme="minorHAnsi" w:cstheme="minorHAnsi"/>
              </w:rPr>
            </w:pPr>
            <w:r w:rsidRPr="00CC0824">
              <w:rPr>
                <w:rFonts w:asciiTheme="minorHAnsi" w:hAnsiTheme="minorHAnsi" w:cstheme="minorHAnsi"/>
              </w:rPr>
              <w:t>A body of evidence consisting principally of studies rated as 1+,</w:t>
            </w:r>
          </w:p>
          <w:p w14:paraId="07FD4040" w14:textId="77777777" w:rsidR="008B1C85" w:rsidRPr="00CC0824" w:rsidRDefault="008B1C85" w:rsidP="008B1C85">
            <w:pPr>
              <w:pStyle w:val="Tabletext"/>
              <w:rPr>
                <w:rFonts w:cstheme="minorHAnsi"/>
              </w:rPr>
            </w:pPr>
            <w:r w:rsidRPr="00CC0824">
              <w:rPr>
                <w:rFonts w:cstheme="minorHAnsi"/>
              </w:rPr>
              <w:t>directly applicable to the target population, and demonstrating overall consistency of results</w:t>
            </w:r>
          </w:p>
        </w:tc>
      </w:tr>
      <w:tr w:rsidR="008B1C85" w14:paraId="53286F39" w14:textId="77777777" w:rsidTr="008B1C85">
        <w:tc>
          <w:tcPr>
            <w:tcW w:w="858" w:type="pct"/>
          </w:tcPr>
          <w:p w14:paraId="40C4C2B0" w14:textId="77777777" w:rsidR="008B1C85" w:rsidRPr="00CC0824" w:rsidRDefault="008B1C85" w:rsidP="008B1C85">
            <w:pPr>
              <w:pStyle w:val="Tabletext"/>
              <w:rPr>
                <w:rFonts w:cstheme="minorHAnsi"/>
              </w:rPr>
            </w:pPr>
            <w:r w:rsidRPr="00CC0824">
              <w:rPr>
                <w:rFonts w:cstheme="minorHAnsi"/>
              </w:rPr>
              <w:t>B</w:t>
            </w:r>
          </w:p>
        </w:tc>
        <w:tc>
          <w:tcPr>
            <w:tcW w:w="4142" w:type="pct"/>
          </w:tcPr>
          <w:p w14:paraId="576DBCEB" w14:textId="77777777" w:rsidR="008B1C85" w:rsidRPr="00CC0824" w:rsidRDefault="008B1C85" w:rsidP="008B1C85">
            <w:pPr>
              <w:pStyle w:val="Tabletext"/>
              <w:rPr>
                <w:rFonts w:cstheme="minorHAnsi"/>
              </w:rPr>
            </w:pPr>
            <w:r w:rsidRPr="00CC0824">
              <w:rPr>
                <w:rFonts w:cstheme="minorHAnsi"/>
              </w:rPr>
              <w:t>A body of evidence including studies rated as 2++,</w:t>
            </w:r>
          </w:p>
          <w:p w14:paraId="27F55B30" w14:textId="77777777" w:rsidR="008B1C85" w:rsidRPr="00CC0824" w:rsidRDefault="008B1C85" w:rsidP="008B1C85">
            <w:pPr>
              <w:pStyle w:val="Tabletext"/>
              <w:rPr>
                <w:rFonts w:cstheme="minorHAnsi"/>
              </w:rPr>
            </w:pPr>
            <w:r w:rsidRPr="00CC0824">
              <w:rPr>
                <w:rFonts w:cstheme="minorHAnsi"/>
              </w:rPr>
              <w:t>directly applicable to the target population, and demonstrating overall consistency of results; or</w:t>
            </w:r>
          </w:p>
          <w:p w14:paraId="0AB815C9" w14:textId="77777777" w:rsidR="008B1C85" w:rsidRPr="00CC0824" w:rsidRDefault="008B1C85" w:rsidP="008B1C85">
            <w:pPr>
              <w:pStyle w:val="03Tabletextspacebefore"/>
              <w:keepNext/>
              <w:rPr>
                <w:rFonts w:asciiTheme="minorHAnsi" w:hAnsiTheme="minorHAnsi" w:cstheme="minorHAnsi"/>
              </w:rPr>
            </w:pPr>
            <w:r w:rsidRPr="00CC0824">
              <w:rPr>
                <w:rFonts w:asciiTheme="minorHAnsi" w:hAnsiTheme="minorHAnsi" w:cstheme="minorHAnsi"/>
              </w:rPr>
              <w:t>Extrapolated evidence from studies rated as 1++ or 1+</w:t>
            </w:r>
          </w:p>
        </w:tc>
      </w:tr>
      <w:tr w:rsidR="008B1C85" w14:paraId="2F2D4010" w14:textId="77777777" w:rsidTr="00376FE9">
        <w:tc>
          <w:tcPr>
            <w:tcW w:w="858" w:type="pct"/>
            <w:shd w:val="clear" w:color="auto" w:fill="auto"/>
          </w:tcPr>
          <w:p w14:paraId="513FC82E" w14:textId="77777777" w:rsidR="008B1C85" w:rsidRPr="00CC0824" w:rsidRDefault="008B1C85" w:rsidP="008B1C85">
            <w:pPr>
              <w:pStyle w:val="Tabletext"/>
              <w:rPr>
                <w:rFonts w:cstheme="minorHAnsi"/>
              </w:rPr>
            </w:pPr>
            <w:r w:rsidRPr="00CC0824">
              <w:rPr>
                <w:rFonts w:cstheme="minorHAnsi"/>
              </w:rPr>
              <w:t>C</w:t>
            </w:r>
          </w:p>
        </w:tc>
        <w:tc>
          <w:tcPr>
            <w:tcW w:w="4142" w:type="pct"/>
            <w:shd w:val="clear" w:color="auto" w:fill="auto"/>
          </w:tcPr>
          <w:p w14:paraId="16EF6AD3" w14:textId="77777777" w:rsidR="008B1C85" w:rsidRPr="00CC0824" w:rsidRDefault="008B1C85" w:rsidP="008B1C85">
            <w:pPr>
              <w:pStyle w:val="Tabletext"/>
              <w:rPr>
                <w:rFonts w:cstheme="minorHAnsi"/>
              </w:rPr>
            </w:pPr>
            <w:r w:rsidRPr="00CC0824">
              <w:rPr>
                <w:rFonts w:cstheme="minorHAnsi"/>
              </w:rPr>
              <w:t>A body of evidence including studies rated as 2+,</w:t>
            </w:r>
          </w:p>
          <w:p w14:paraId="79E1D985" w14:textId="77777777" w:rsidR="008B1C85" w:rsidRPr="00CC0824" w:rsidRDefault="008B1C85" w:rsidP="008B1C85">
            <w:pPr>
              <w:pStyle w:val="Tabletext"/>
              <w:rPr>
                <w:rFonts w:cstheme="minorHAnsi"/>
              </w:rPr>
            </w:pPr>
            <w:r w:rsidRPr="00CC0824">
              <w:rPr>
                <w:rFonts w:cstheme="minorHAnsi"/>
              </w:rPr>
              <w:t>directly applicable to the target population and demonstrating overall consistency of results; or</w:t>
            </w:r>
          </w:p>
          <w:p w14:paraId="6862BE59" w14:textId="77777777" w:rsidR="008B1C85" w:rsidRPr="00CC0824" w:rsidRDefault="008B1C85" w:rsidP="008B1C85">
            <w:pPr>
              <w:pStyle w:val="03Tabletextspacebefore"/>
              <w:keepNext/>
              <w:rPr>
                <w:rFonts w:asciiTheme="minorHAnsi" w:hAnsiTheme="minorHAnsi" w:cstheme="minorHAnsi"/>
              </w:rPr>
            </w:pPr>
            <w:r w:rsidRPr="00CC0824">
              <w:rPr>
                <w:rFonts w:asciiTheme="minorHAnsi" w:hAnsiTheme="minorHAnsi" w:cstheme="minorHAnsi"/>
              </w:rPr>
              <w:lastRenderedPageBreak/>
              <w:t>Extrapolated evidence from studies rated as 2++</w:t>
            </w:r>
          </w:p>
        </w:tc>
      </w:tr>
      <w:tr w:rsidR="008B1C85" w14:paraId="3B7B2933" w14:textId="77777777" w:rsidTr="008B1C85">
        <w:tc>
          <w:tcPr>
            <w:tcW w:w="858" w:type="pct"/>
          </w:tcPr>
          <w:p w14:paraId="75FF7695" w14:textId="77777777" w:rsidR="008B1C85" w:rsidRPr="00CC0824" w:rsidRDefault="008B1C85" w:rsidP="008B1C85">
            <w:pPr>
              <w:pStyle w:val="Tabletext"/>
              <w:rPr>
                <w:rFonts w:cstheme="minorHAnsi"/>
              </w:rPr>
            </w:pPr>
            <w:r w:rsidRPr="00CC0824">
              <w:rPr>
                <w:rFonts w:cstheme="minorHAnsi"/>
              </w:rPr>
              <w:lastRenderedPageBreak/>
              <w:t>D</w:t>
            </w:r>
          </w:p>
        </w:tc>
        <w:tc>
          <w:tcPr>
            <w:tcW w:w="4142" w:type="pct"/>
          </w:tcPr>
          <w:p w14:paraId="64752AFD" w14:textId="77777777" w:rsidR="008B1C85" w:rsidRPr="00CC0824" w:rsidRDefault="008B1C85" w:rsidP="008B1C85">
            <w:pPr>
              <w:pStyle w:val="Tabletext"/>
              <w:rPr>
                <w:rFonts w:cstheme="minorHAnsi"/>
              </w:rPr>
            </w:pPr>
            <w:r w:rsidRPr="00CC0824">
              <w:rPr>
                <w:rFonts w:cstheme="minorHAnsi"/>
              </w:rPr>
              <w:t>Evidence level 3 or 4; or</w:t>
            </w:r>
          </w:p>
          <w:p w14:paraId="7DFF054C" w14:textId="77777777" w:rsidR="008B1C85" w:rsidRPr="00CC0824" w:rsidRDefault="008B1C85" w:rsidP="008B1C85">
            <w:pPr>
              <w:pStyle w:val="03Tabletextspacebefore"/>
              <w:keepNext/>
              <w:rPr>
                <w:rFonts w:asciiTheme="minorHAnsi" w:hAnsiTheme="minorHAnsi" w:cstheme="minorHAnsi"/>
              </w:rPr>
            </w:pPr>
            <w:r w:rsidRPr="00CC0824">
              <w:rPr>
                <w:rFonts w:asciiTheme="minorHAnsi" w:hAnsiTheme="minorHAnsi" w:cstheme="minorHAnsi"/>
              </w:rPr>
              <w:t>Extrapolated evidence from studies rated as 2+</w:t>
            </w:r>
          </w:p>
        </w:tc>
      </w:tr>
      <w:tr w:rsidR="008B1C85" w14:paraId="09133463" w14:textId="77777777" w:rsidTr="00376FE9">
        <w:tc>
          <w:tcPr>
            <w:tcW w:w="858" w:type="pct"/>
            <w:shd w:val="clear" w:color="auto" w:fill="auto"/>
          </w:tcPr>
          <w:p w14:paraId="7EE85547" w14:textId="77777777" w:rsidR="008B1C85" w:rsidRPr="00CC0824" w:rsidRDefault="008B1C85" w:rsidP="008B1C85">
            <w:pPr>
              <w:pStyle w:val="Tabletext"/>
              <w:rPr>
                <w:rFonts w:cstheme="minorHAnsi"/>
              </w:rPr>
            </w:pPr>
            <w:r w:rsidRPr="00CC0824">
              <w:rPr>
                <w:rFonts w:cstheme="minorHAnsi"/>
              </w:rPr>
              <w:t>Good practice points</w:t>
            </w:r>
          </w:p>
        </w:tc>
        <w:tc>
          <w:tcPr>
            <w:tcW w:w="4142" w:type="pct"/>
            <w:shd w:val="clear" w:color="auto" w:fill="auto"/>
          </w:tcPr>
          <w:p w14:paraId="321C7722" w14:textId="77777777" w:rsidR="008B1C85" w:rsidRPr="00CC0824" w:rsidRDefault="008B1C85" w:rsidP="008B1C85">
            <w:pPr>
              <w:pStyle w:val="Tabletext"/>
              <w:rPr>
                <w:rFonts w:cstheme="minorHAnsi"/>
              </w:rPr>
            </w:pPr>
            <w:r w:rsidRPr="00CC0824">
              <w:rPr>
                <w:rFonts w:cstheme="minorHAnsi"/>
              </w:rPr>
              <w:t>Recommended best practice based on the clinical experience of the Guideline Development Group</w:t>
            </w:r>
          </w:p>
        </w:tc>
      </w:tr>
    </w:tbl>
    <w:p w14:paraId="40CD760F" w14:textId="77777777" w:rsidR="008B1C85" w:rsidRDefault="008B1C85" w:rsidP="008B1C85">
      <w:pPr>
        <w:pStyle w:val="08Tablefootnotes"/>
      </w:pPr>
      <w:r>
        <w:t>Note: The grade of recommendation relates to the strength of the evidence on which the recommendation is based. It does not reflect the clinical importance of the recommendation.</w:t>
      </w:r>
    </w:p>
    <w:p w14:paraId="2536EADA" w14:textId="77777777" w:rsidR="008B69C7" w:rsidRDefault="008B1C85" w:rsidP="008B1C85">
      <w:pPr>
        <w:pStyle w:val="09Tablefootnoteslast-nostick"/>
      </w:pPr>
      <w:r>
        <w:t>Abbreviations: BTS, British Thoracic Society; RCT, randomised controlled trial; SIGN, Scottish Intercollegiate Guidelines Network.</w:t>
      </w:r>
    </w:p>
    <w:p w14:paraId="46DC7906" w14:textId="77777777" w:rsidR="008B1C85" w:rsidRDefault="008B1C85" w:rsidP="00DF3A06">
      <w:pPr>
        <w:pStyle w:val="Appcaption"/>
      </w:pPr>
      <w:r>
        <w:t>Table A-7.4</w:t>
      </w:r>
      <w:r>
        <w:tab/>
        <w:t>LFA/TSANZ (2015) and Abramson (2014): NHMRC levels of evidence</w:t>
      </w:r>
    </w:p>
    <w:tbl>
      <w:tblPr>
        <w:tblStyle w:val="TableGrid"/>
        <w:tblW w:w="5000" w:type="pct"/>
        <w:tblLook w:val="04A0" w:firstRow="1" w:lastRow="0" w:firstColumn="1" w:lastColumn="0" w:noHBand="0" w:noVBand="1"/>
        <w:tblCaption w:val="NHMRC levels of evidence"/>
        <w:tblDescription w:val="Level of evidence criteria used in the guidelines of the Lung Foundation Australia / Thoracic Society of Australia and New Zealand (2015) and in Abramson (2014)."/>
      </w:tblPr>
      <w:tblGrid>
        <w:gridCol w:w="846"/>
        <w:gridCol w:w="8215"/>
      </w:tblGrid>
      <w:tr w:rsidR="008B1C85" w:rsidRPr="00D12052" w14:paraId="51A750DC" w14:textId="77777777" w:rsidTr="00FF6AB5">
        <w:trPr>
          <w:tblHeader/>
        </w:trPr>
        <w:tc>
          <w:tcPr>
            <w:tcW w:w="467" w:type="pct"/>
          </w:tcPr>
          <w:p w14:paraId="131BAE21" w14:textId="77777777" w:rsidR="008B1C85" w:rsidRPr="00D12052" w:rsidRDefault="008B1C85" w:rsidP="00D12052">
            <w:pPr>
              <w:pStyle w:val="Tableheading"/>
            </w:pPr>
            <w:r w:rsidRPr="00D12052">
              <w:t>Level</w:t>
            </w:r>
          </w:p>
        </w:tc>
        <w:tc>
          <w:tcPr>
            <w:tcW w:w="4533" w:type="pct"/>
          </w:tcPr>
          <w:p w14:paraId="27F3DE63" w14:textId="77777777" w:rsidR="008B1C85" w:rsidRPr="00D12052" w:rsidRDefault="008B1C85" w:rsidP="00D12052">
            <w:pPr>
              <w:pStyle w:val="Tableheading"/>
            </w:pPr>
            <w:r w:rsidRPr="00D12052">
              <w:t>Basis of evidence</w:t>
            </w:r>
          </w:p>
        </w:tc>
      </w:tr>
      <w:tr w:rsidR="008B1C85" w14:paraId="30982B3E" w14:textId="77777777" w:rsidTr="008B1C85">
        <w:tc>
          <w:tcPr>
            <w:tcW w:w="467" w:type="pct"/>
          </w:tcPr>
          <w:p w14:paraId="1AD5DA0C" w14:textId="77777777" w:rsidR="008B1C85" w:rsidRDefault="008B1C85" w:rsidP="008B1C85">
            <w:pPr>
              <w:pStyle w:val="Tabletext"/>
            </w:pPr>
            <w:r>
              <w:t>I</w:t>
            </w:r>
          </w:p>
        </w:tc>
        <w:tc>
          <w:tcPr>
            <w:tcW w:w="4533" w:type="pct"/>
          </w:tcPr>
          <w:p w14:paraId="191AB4D6" w14:textId="77777777" w:rsidR="008B1C85" w:rsidRDefault="008B1C85" w:rsidP="008B1C85">
            <w:pPr>
              <w:pStyle w:val="Tabletext"/>
            </w:pPr>
            <w:r w:rsidRPr="00DF1262">
              <w:t>Evidence obtained from a systematic review of all relevant randomised controlled trials.</w:t>
            </w:r>
          </w:p>
        </w:tc>
      </w:tr>
      <w:tr w:rsidR="008B1C85" w14:paraId="1B8E3F2C" w14:textId="77777777" w:rsidTr="00376FE9">
        <w:tc>
          <w:tcPr>
            <w:tcW w:w="467" w:type="pct"/>
            <w:shd w:val="clear" w:color="auto" w:fill="auto"/>
          </w:tcPr>
          <w:p w14:paraId="58BFB786" w14:textId="77777777" w:rsidR="008B1C85" w:rsidRDefault="008B1C85" w:rsidP="008B1C85">
            <w:pPr>
              <w:pStyle w:val="Tabletext"/>
            </w:pPr>
            <w:r>
              <w:t>II</w:t>
            </w:r>
          </w:p>
        </w:tc>
        <w:tc>
          <w:tcPr>
            <w:tcW w:w="4533" w:type="pct"/>
            <w:shd w:val="clear" w:color="auto" w:fill="auto"/>
          </w:tcPr>
          <w:p w14:paraId="4DF06CE4" w14:textId="77777777" w:rsidR="008B1C85" w:rsidRDefault="008B1C85" w:rsidP="008B1C85">
            <w:pPr>
              <w:pStyle w:val="Tabletext"/>
            </w:pPr>
            <w:r w:rsidRPr="00DF1262">
              <w:t>Evidence obtained from at least one properly designed randomised controlled trial.</w:t>
            </w:r>
          </w:p>
        </w:tc>
      </w:tr>
      <w:tr w:rsidR="008B1C85" w14:paraId="1174D2E3" w14:textId="77777777" w:rsidTr="008B1C85">
        <w:tc>
          <w:tcPr>
            <w:tcW w:w="467" w:type="pct"/>
          </w:tcPr>
          <w:p w14:paraId="3B1A3461" w14:textId="77777777" w:rsidR="008B1C85" w:rsidRDefault="008B1C85" w:rsidP="008B1C85">
            <w:pPr>
              <w:pStyle w:val="Tabletext"/>
            </w:pPr>
            <w:r>
              <w:t>III-1</w:t>
            </w:r>
          </w:p>
        </w:tc>
        <w:tc>
          <w:tcPr>
            <w:tcW w:w="4533" w:type="pct"/>
          </w:tcPr>
          <w:p w14:paraId="77584C52" w14:textId="77777777" w:rsidR="008B1C85" w:rsidRDefault="008B1C85" w:rsidP="008B1C85">
            <w:pPr>
              <w:pStyle w:val="Tabletext"/>
            </w:pPr>
            <w:r w:rsidRPr="00DF1262">
              <w:t>Evidence obtained from well-designed pseudorandomised controlled trials (alternate allocation or some other method).</w:t>
            </w:r>
          </w:p>
        </w:tc>
      </w:tr>
      <w:tr w:rsidR="008B1C85" w14:paraId="307A45DB" w14:textId="77777777" w:rsidTr="00376FE9">
        <w:tc>
          <w:tcPr>
            <w:tcW w:w="467" w:type="pct"/>
            <w:shd w:val="clear" w:color="auto" w:fill="auto"/>
          </w:tcPr>
          <w:p w14:paraId="49CB13EC" w14:textId="77777777" w:rsidR="008B1C85" w:rsidRDefault="008B1C85" w:rsidP="008B1C85">
            <w:pPr>
              <w:pStyle w:val="Tabletext"/>
            </w:pPr>
            <w:r>
              <w:t>III-2</w:t>
            </w:r>
          </w:p>
        </w:tc>
        <w:tc>
          <w:tcPr>
            <w:tcW w:w="4533" w:type="pct"/>
            <w:shd w:val="clear" w:color="auto" w:fill="auto"/>
          </w:tcPr>
          <w:p w14:paraId="0EC82D30" w14:textId="77777777" w:rsidR="008B1C85" w:rsidRDefault="008B1C85" w:rsidP="008B1C85">
            <w:pPr>
              <w:pStyle w:val="Tabletext"/>
            </w:pPr>
            <w:r w:rsidRPr="00A0671C">
              <w:t>Evidence obtained from comparative studies (including systematic reviews of such studies) with concurrent controls and allocation not randomised, cohort studies, case</w:t>
            </w:r>
            <w:r>
              <w:t xml:space="preserve"> </w:t>
            </w:r>
            <w:r w:rsidRPr="00A0671C">
              <w:t>control studies, or interrupted time series with a control group.</w:t>
            </w:r>
          </w:p>
        </w:tc>
      </w:tr>
      <w:tr w:rsidR="008B1C85" w14:paraId="266676AA" w14:textId="77777777" w:rsidTr="008B1C85">
        <w:tc>
          <w:tcPr>
            <w:tcW w:w="467" w:type="pct"/>
          </w:tcPr>
          <w:p w14:paraId="5DD6BDF8" w14:textId="77777777" w:rsidR="008B1C85" w:rsidRDefault="008B1C85" w:rsidP="008B1C85">
            <w:pPr>
              <w:pStyle w:val="Tabletext"/>
            </w:pPr>
            <w:r>
              <w:t>III-3</w:t>
            </w:r>
          </w:p>
        </w:tc>
        <w:tc>
          <w:tcPr>
            <w:tcW w:w="4533" w:type="pct"/>
          </w:tcPr>
          <w:p w14:paraId="1242C404" w14:textId="77777777" w:rsidR="008B1C85" w:rsidRDefault="008B1C85" w:rsidP="008B1C85">
            <w:pPr>
              <w:pStyle w:val="Tabletext"/>
            </w:pPr>
            <w:r w:rsidRPr="00A0671C">
              <w:t>Evidence obtained from comparative studies with historical control, two or more single-arm studies, or interrupted time series without a parallel group.</w:t>
            </w:r>
          </w:p>
        </w:tc>
      </w:tr>
      <w:tr w:rsidR="008B1C85" w14:paraId="533AC478" w14:textId="77777777" w:rsidTr="00376FE9">
        <w:tc>
          <w:tcPr>
            <w:tcW w:w="467" w:type="pct"/>
            <w:shd w:val="clear" w:color="auto" w:fill="auto"/>
          </w:tcPr>
          <w:p w14:paraId="43E32DDA" w14:textId="77777777" w:rsidR="008B1C85" w:rsidRDefault="008B1C85" w:rsidP="008B1C85">
            <w:pPr>
              <w:pStyle w:val="Tabletext"/>
            </w:pPr>
            <w:r>
              <w:t>IV</w:t>
            </w:r>
          </w:p>
        </w:tc>
        <w:tc>
          <w:tcPr>
            <w:tcW w:w="4533" w:type="pct"/>
            <w:shd w:val="clear" w:color="auto" w:fill="auto"/>
          </w:tcPr>
          <w:p w14:paraId="7D62D2B7" w14:textId="77777777" w:rsidR="008B1C85" w:rsidRDefault="008B1C85" w:rsidP="008B1C85">
            <w:pPr>
              <w:pStyle w:val="Tabletext"/>
            </w:pPr>
            <w:r w:rsidRPr="00A0671C">
              <w:t>Evidence obtained from case series, either post-test or pre-test/post-test.</w:t>
            </w:r>
          </w:p>
        </w:tc>
      </w:tr>
    </w:tbl>
    <w:p w14:paraId="10901187" w14:textId="77777777" w:rsidR="008B1C85" w:rsidRDefault="008B1C85" w:rsidP="008B1C85">
      <w:pPr>
        <w:pStyle w:val="09Tablefootnoteslast-nostick"/>
      </w:pPr>
      <w:r>
        <w:t>Abbreviations: LFA, Lung Foundation Australia; NHMRC, National Health and Medical Research Council; TSANZ, Thoracic Society of Australia and New Zealand.</w:t>
      </w:r>
    </w:p>
    <w:p w14:paraId="01FD2B08" w14:textId="77777777" w:rsidR="008B1C85" w:rsidRDefault="008B1C85" w:rsidP="00DF3A06">
      <w:pPr>
        <w:pStyle w:val="Appcaption"/>
      </w:pPr>
      <w:r>
        <w:t>Table A-7.5</w:t>
      </w:r>
      <w:r>
        <w:tab/>
        <w:t>GOLD (2016): Description of levels of evidence</w:t>
      </w:r>
    </w:p>
    <w:tbl>
      <w:tblPr>
        <w:tblStyle w:val="TableGrid"/>
        <w:tblW w:w="5000" w:type="pct"/>
        <w:tblLook w:val="04A0" w:firstRow="1" w:lastRow="0" w:firstColumn="1" w:lastColumn="0" w:noHBand="0" w:noVBand="1"/>
        <w:tblCaption w:val="Global Initiative for Chronic Obstructive Lung Disease (2016)"/>
        <w:tblDescription w:val="Description of levels of evidence."/>
      </w:tblPr>
      <w:tblGrid>
        <w:gridCol w:w="987"/>
        <w:gridCol w:w="2552"/>
        <w:gridCol w:w="5522"/>
      </w:tblGrid>
      <w:tr w:rsidR="008B1C85" w:rsidRPr="00945369" w14:paraId="20AAE6F6" w14:textId="77777777" w:rsidTr="00FF6AB5">
        <w:trPr>
          <w:tblHeader/>
        </w:trPr>
        <w:tc>
          <w:tcPr>
            <w:tcW w:w="545" w:type="pct"/>
          </w:tcPr>
          <w:p w14:paraId="68689437" w14:textId="77777777" w:rsidR="008B1C85" w:rsidRPr="00E72694" w:rsidRDefault="008B1C85" w:rsidP="00A403FC">
            <w:pPr>
              <w:pStyle w:val="Tableheading"/>
            </w:pPr>
            <w:r w:rsidRPr="00E72694">
              <w:t>Evidence category</w:t>
            </w:r>
          </w:p>
        </w:tc>
        <w:tc>
          <w:tcPr>
            <w:tcW w:w="1408" w:type="pct"/>
          </w:tcPr>
          <w:p w14:paraId="0F0AF8AC" w14:textId="77777777" w:rsidR="008B1C85" w:rsidRPr="00E72694" w:rsidRDefault="008B1C85" w:rsidP="00A403FC">
            <w:pPr>
              <w:pStyle w:val="Tableheading"/>
            </w:pPr>
            <w:r w:rsidRPr="00E72694">
              <w:t>Sources of evidence</w:t>
            </w:r>
          </w:p>
        </w:tc>
        <w:tc>
          <w:tcPr>
            <w:tcW w:w="3047" w:type="pct"/>
          </w:tcPr>
          <w:p w14:paraId="32F29E2D" w14:textId="77777777" w:rsidR="008B1C85" w:rsidRPr="00E72694" w:rsidRDefault="008B1C85" w:rsidP="00A403FC">
            <w:pPr>
              <w:pStyle w:val="Tableheading"/>
            </w:pPr>
            <w:r w:rsidRPr="00E72694">
              <w:t>Definition</w:t>
            </w:r>
          </w:p>
        </w:tc>
      </w:tr>
      <w:tr w:rsidR="008B1C85" w14:paraId="6F6E577E" w14:textId="77777777" w:rsidTr="008B1C85">
        <w:tc>
          <w:tcPr>
            <w:tcW w:w="545" w:type="pct"/>
          </w:tcPr>
          <w:p w14:paraId="576B3133" w14:textId="77777777" w:rsidR="008B1C85" w:rsidRDefault="008B1C85" w:rsidP="008B1C85">
            <w:pPr>
              <w:pStyle w:val="Tabletext"/>
            </w:pPr>
            <w:r>
              <w:t>A</w:t>
            </w:r>
          </w:p>
        </w:tc>
        <w:tc>
          <w:tcPr>
            <w:tcW w:w="1408" w:type="pct"/>
          </w:tcPr>
          <w:p w14:paraId="464B5675" w14:textId="77777777" w:rsidR="008B1C85" w:rsidRDefault="008B1C85" w:rsidP="008B1C85">
            <w:pPr>
              <w:pStyle w:val="Tabletext"/>
            </w:pPr>
            <w:r>
              <w:t>RCTs. Rich body of data.</w:t>
            </w:r>
          </w:p>
        </w:tc>
        <w:tc>
          <w:tcPr>
            <w:tcW w:w="3047" w:type="pct"/>
          </w:tcPr>
          <w:p w14:paraId="534093AE" w14:textId="77777777" w:rsidR="008B1C85" w:rsidRDefault="008B1C85" w:rsidP="008B1C85">
            <w:pPr>
              <w:pStyle w:val="Tabletext"/>
            </w:pPr>
            <w:r>
              <w:t>Evidence is from endpoints of well-designed RCTs that provide a consistent pattern of findings in the population for which the recommendation is made. Category A requires substantial numbers of studies involving substantial numbers of participants.</w:t>
            </w:r>
          </w:p>
        </w:tc>
      </w:tr>
      <w:tr w:rsidR="008B1C85" w14:paraId="6E41BB27" w14:textId="77777777" w:rsidTr="00376FE9">
        <w:tc>
          <w:tcPr>
            <w:tcW w:w="545" w:type="pct"/>
            <w:shd w:val="clear" w:color="auto" w:fill="auto"/>
          </w:tcPr>
          <w:p w14:paraId="771F8271" w14:textId="77777777" w:rsidR="008B1C85" w:rsidRDefault="008B1C85" w:rsidP="008B1C85">
            <w:pPr>
              <w:pStyle w:val="Tabletext"/>
            </w:pPr>
            <w:r>
              <w:t>B</w:t>
            </w:r>
          </w:p>
        </w:tc>
        <w:tc>
          <w:tcPr>
            <w:tcW w:w="1408" w:type="pct"/>
            <w:shd w:val="clear" w:color="auto" w:fill="auto"/>
          </w:tcPr>
          <w:p w14:paraId="0EDC2B0E" w14:textId="77777777" w:rsidR="008B1C85" w:rsidRDefault="008B1C85" w:rsidP="008B1C85">
            <w:pPr>
              <w:pStyle w:val="Tabletext"/>
            </w:pPr>
            <w:r>
              <w:t>RCTs. Limited body of data.</w:t>
            </w:r>
          </w:p>
        </w:tc>
        <w:tc>
          <w:tcPr>
            <w:tcW w:w="3047" w:type="pct"/>
            <w:shd w:val="clear" w:color="auto" w:fill="auto"/>
          </w:tcPr>
          <w:p w14:paraId="2F6C7142" w14:textId="77777777" w:rsidR="008B1C85" w:rsidRDefault="008B1C85" w:rsidP="008B1C85">
            <w:pPr>
              <w:pStyle w:val="Tabletext"/>
            </w:pPr>
            <w:r>
              <w:t>Evidence is from endpoints of intervention studies that include only a limited number of patients, post hoc or subgroup analysis of RCTs, or meta-analysis of RCTs. In general, Category B pertains when few randomized trials exist, they are small in size, they were undertaken in a population that differs from the target population of the recommendation, or the results are somewhat inconsistent.</w:t>
            </w:r>
          </w:p>
        </w:tc>
      </w:tr>
      <w:tr w:rsidR="008B1C85" w14:paraId="7C3B9018" w14:textId="77777777" w:rsidTr="008B1C85">
        <w:tc>
          <w:tcPr>
            <w:tcW w:w="545" w:type="pct"/>
          </w:tcPr>
          <w:p w14:paraId="6AB5C0A0" w14:textId="77777777" w:rsidR="008B1C85" w:rsidRDefault="008B1C85" w:rsidP="008B1C85">
            <w:pPr>
              <w:pStyle w:val="Tabletext"/>
            </w:pPr>
            <w:r>
              <w:t>C</w:t>
            </w:r>
          </w:p>
        </w:tc>
        <w:tc>
          <w:tcPr>
            <w:tcW w:w="1408" w:type="pct"/>
          </w:tcPr>
          <w:p w14:paraId="59ABA4E6" w14:textId="77777777" w:rsidR="008B1C85" w:rsidRDefault="008B1C85" w:rsidP="008B1C85">
            <w:pPr>
              <w:pStyle w:val="Tabletext"/>
            </w:pPr>
            <w:r>
              <w:t>Non-randomised trials. Observational studies.</w:t>
            </w:r>
          </w:p>
        </w:tc>
        <w:tc>
          <w:tcPr>
            <w:tcW w:w="3047" w:type="pct"/>
          </w:tcPr>
          <w:p w14:paraId="28E1DF2D" w14:textId="77777777" w:rsidR="008B1C85" w:rsidRDefault="008B1C85" w:rsidP="008B1C85">
            <w:pPr>
              <w:pStyle w:val="Tabletext"/>
            </w:pPr>
            <w:r>
              <w:t>Evidence is from outcomes of uncontrolled or non-randomized trials or from observational studies.</w:t>
            </w:r>
          </w:p>
        </w:tc>
      </w:tr>
      <w:tr w:rsidR="008B1C85" w14:paraId="0DFEA20F" w14:textId="77777777" w:rsidTr="00376FE9">
        <w:tc>
          <w:tcPr>
            <w:tcW w:w="545" w:type="pct"/>
            <w:shd w:val="clear" w:color="auto" w:fill="auto"/>
          </w:tcPr>
          <w:p w14:paraId="1413E541" w14:textId="77777777" w:rsidR="008B1C85" w:rsidRDefault="008B1C85" w:rsidP="008B1C85">
            <w:pPr>
              <w:pStyle w:val="Tabletext"/>
            </w:pPr>
            <w:r>
              <w:t>D</w:t>
            </w:r>
          </w:p>
        </w:tc>
        <w:tc>
          <w:tcPr>
            <w:tcW w:w="1408" w:type="pct"/>
            <w:shd w:val="clear" w:color="auto" w:fill="auto"/>
          </w:tcPr>
          <w:p w14:paraId="5A4E9DE4" w14:textId="77777777" w:rsidR="008B1C85" w:rsidRDefault="008B1C85" w:rsidP="008B1C85">
            <w:pPr>
              <w:pStyle w:val="Tabletext"/>
            </w:pPr>
            <w:r>
              <w:t>Panel Consensus Judgment.</w:t>
            </w:r>
          </w:p>
        </w:tc>
        <w:tc>
          <w:tcPr>
            <w:tcW w:w="3047" w:type="pct"/>
            <w:shd w:val="clear" w:color="auto" w:fill="auto"/>
          </w:tcPr>
          <w:p w14:paraId="150C2546" w14:textId="77777777" w:rsidR="008B1C85" w:rsidRDefault="008B1C85" w:rsidP="008B1C85">
            <w:pPr>
              <w:pStyle w:val="Tabletext"/>
            </w:pPr>
            <w:r>
              <w:t>This category is used only in cases where the provision of some guidance was deemed valuable but the clinical literature addressing the subject was deemed insufficient to justify placement in one of the other categories. The Panel Consensus is based on clinical experience or knowledge that does not meet the above-listed criteria.</w:t>
            </w:r>
          </w:p>
        </w:tc>
      </w:tr>
    </w:tbl>
    <w:p w14:paraId="7C9BD2B1" w14:textId="77777777" w:rsidR="00D12052" w:rsidRDefault="008B1C85" w:rsidP="0099709F">
      <w:pPr>
        <w:pStyle w:val="09Tablefootnoteslast-nostick"/>
      </w:pPr>
      <w:r>
        <w:lastRenderedPageBreak/>
        <w:t>Abbreviations: GOLD, Global Initiative for Chronic Obstructive Lung Disease; RCT, randomised controlled trial.</w:t>
      </w:r>
      <w:r w:rsidR="00D12052">
        <w:br w:type="page"/>
      </w:r>
    </w:p>
    <w:p w14:paraId="00EEC7D1" w14:textId="77777777" w:rsidR="008B1C85" w:rsidRDefault="008B1C85" w:rsidP="00DF3A06">
      <w:pPr>
        <w:pStyle w:val="Appcaption"/>
      </w:pPr>
      <w:r>
        <w:lastRenderedPageBreak/>
        <w:t>Table A-7.6</w:t>
      </w:r>
      <w:r>
        <w:tab/>
        <w:t>NCGC (2010): Level of evidence and grading of recommendations</w:t>
      </w:r>
    </w:p>
    <w:tbl>
      <w:tblPr>
        <w:tblStyle w:val="TableGrid"/>
        <w:tblW w:w="5000" w:type="pct"/>
        <w:tblLook w:val="04A0" w:firstRow="1" w:lastRow="0" w:firstColumn="1" w:lastColumn="0" w:noHBand="0" w:noVBand="1"/>
        <w:tblCaption w:val="National Clinical Guideline Centre (2010)"/>
        <w:tblDescription w:val="Level of evidence and grading of recommendations."/>
      </w:tblPr>
      <w:tblGrid>
        <w:gridCol w:w="1046"/>
        <w:gridCol w:w="3319"/>
        <w:gridCol w:w="1732"/>
        <w:gridCol w:w="2964"/>
      </w:tblGrid>
      <w:tr w:rsidR="008B1C85" w:rsidRPr="00945369" w14:paraId="34A547AB" w14:textId="77777777" w:rsidTr="008B69C7">
        <w:trPr>
          <w:tblHeader/>
        </w:trPr>
        <w:tc>
          <w:tcPr>
            <w:tcW w:w="623" w:type="pct"/>
            <w:tcBorders>
              <w:right w:val="single" w:sz="4" w:space="0" w:color="auto"/>
            </w:tcBorders>
          </w:tcPr>
          <w:p w14:paraId="6374459C" w14:textId="77777777" w:rsidR="008B1C85" w:rsidRPr="00E72694" w:rsidRDefault="008B1C85" w:rsidP="00A403FC">
            <w:pPr>
              <w:pStyle w:val="Tableheading"/>
            </w:pPr>
            <w:r w:rsidRPr="00E72694">
              <w:t>Hierarchy of evidence</w:t>
            </w:r>
          </w:p>
        </w:tc>
        <w:tc>
          <w:tcPr>
            <w:tcW w:w="1877" w:type="pct"/>
            <w:tcBorders>
              <w:left w:val="single" w:sz="4" w:space="0" w:color="auto"/>
            </w:tcBorders>
          </w:tcPr>
          <w:p w14:paraId="7E9F63B6" w14:textId="77777777" w:rsidR="008B1C85" w:rsidRPr="00E72694" w:rsidRDefault="00D12052" w:rsidP="008B1C85">
            <w:pPr>
              <w:pStyle w:val="01Tableheadingorsubheading"/>
              <w:rPr>
                <w:color w:val="000000" w:themeColor="text1"/>
              </w:rPr>
            </w:pPr>
            <w:r>
              <w:rPr>
                <w:color w:val="000000" w:themeColor="text1"/>
              </w:rPr>
              <w:t>Definition</w:t>
            </w:r>
            <w:r w:rsidR="008B69C7">
              <w:rPr>
                <w:color w:val="000000" w:themeColor="text1"/>
              </w:rPr>
              <w:t xml:space="preserve"> of evidence level</w:t>
            </w:r>
          </w:p>
        </w:tc>
        <w:tc>
          <w:tcPr>
            <w:tcW w:w="819" w:type="pct"/>
            <w:tcBorders>
              <w:bottom w:val="single" w:sz="4" w:space="0" w:color="auto"/>
              <w:right w:val="single" w:sz="4" w:space="0" w:color="auto"/>
            </w:tcBorders>
          </w:tcPr>
          <w:p w14:paraId="43C133F4" w14:textId="77777777" w:rsidR="008B1C85" w:rsidRPr="00E72694" w:rsidRDefault="008B1C85" w:rsidP="00A403FC">
            <w:pPr>
              <w:pStyle w:val="Tableheading"/>
            </w:pPr>
            <w:r w:rsidRPr="00E72694">
              <w:t>Grading of recommendations</w:t>
            </w:r>
          </w:p>
        </w:tc>
        <w:tc>
          <w:tcPr>
            <w:tcW w:w="1681" w:type="pct"/>
            <w:tcBorders>
              <w:left w:val="single" w:sz="4" w:space="0" w:color="auto"/>
              <w:bottom w:val="single" w:sz="4" w:space="0" w:color="auto"/>
            </w:tcBorders>
          </w:tcPr>
          <w:p w14:paraId="65F2F4C6" w14:textId="77777777" w:rsidR="008B1C85" w:rsidRPr="00E72694" w:rsidRDefault="00C66AF5" w:rsidP="008B1C85">
            <w:pPr>
              <w:pStyle w:val="01Tableheadingorsubheading"/>
              <w:rPr>
                <w:color w:val="000000" w:themeColor="text1"/>
              </w:rPr>
            </w:pPr>
            <w:r>
              <w:rPr>
                <w:color w:val="000000" w:themeColor="text1"/>
              </w:rPr>
              <w:t>Basis</w:t>
            </w:r>
            <w:r w:rsidR="008B69C7">
              <w:rPr>
                <w:color w:val="000000" w:themeColor="text1"/>
              </w:rPr>
              <w:t xml:space="preserve"> of grading</w:t>
            </w:r>
          </w:p>
        </w:tc>
      </w:tr>
      <w:tr w:rsidR="008B1C85" w14:paraId="253B73ED" w14:textId="77777777" w:rsidTr="0099709F">
        <w:tc>
          <w:tcPr>
            <w:tcW w:w="623" w:type="pct"/>
            <w:shd w:val="clear" w:color="auto" w:fill="FFFFFF" w:themeFill="background1"/>
          </w:tcPr>
          <w:p w14:paraId="43BB28A3" w14:textId="77777777" w:rsidR="008B1C85" w:rsidRDefault="008B1C85" w:rsidP="008B1C85">
            <w:pPr>
              <w:pStyle w:val="Tabletext"/>
              <w:jc w:val="center"/>
            </w:pPr>
            <w:r>
              <w:t>Ia</w:t>
            </w:r>
          </w:p>
        </w:tc>
        <w:tc>
          <w:tcPr>
            <w:tcW w:w="1877" w:type="pct"/>
            <w:shd w:val="clear" w:color="auto" w:fill="FFFFFF" w:themeFill="background1"/>
          </w:tcPr>
          <w:p w14:paraId="7E12D3EC" w14:textId="77777777" w:rsidR="008B1C85" w:rsidRDefault="008B1C85" w:rsidP="008B1C85">
            <w:pPr>
              <w:pStyle w:val="Tabletext"/>
            </w:pPr>
            <w:r w:rsidRPr="00760894">
              <w:t>Evidence from systematic reviews or meta-analysis of randomised controlled trials</w:t>
            </w:r>
          </w:p>
        </w:tc>
        <w:tc>
          <w:tcPr>
            <w:tcW w:w="819" w:type="pct"/>
            <w:tcBorders>
              <w:bottom w:val="single" w:sz="4" w:space="0" w:color="auto"/>
            </w:tcBorders>
            <w:shd w:val="clear" w:color="auto" w:fill="FFFFFF" w:themeFill="background1"/>
          </w:tcPr>
          <w:p w14:paraId="3358F55A" w14:textId="77777777" w:rsidR="008B1C85" w:rsidRDefault="008B1C85" w:rsidP="008B1C85">
            <w:pPr>
              <w:pStyle w:val="Tabletext"/>
              <w:jc w:val="center"/>
            </w:pPr>
            <w:r>
              <w:t>A</w:t>
            </w:r>
          </w:p>
        </w:tc>
        <w:tc>
          <w:tcPr>
            <w:tcW w:w="1681" w:type="pct"/>
            <w:tcBorders>
              <w:bottom w:val="single" w:sz="4" w:space="0" w:color="auto"/>
            </w:tcBorders>
            <w:shd w:val="clear" w:color="auto" w:fill="FFFFFF" w:themeFill="background1"/>
          </w:tcPr>
          <w:p w14:paraId="76C957D5" w14:textId="77777777" w:rsidR="008B1C85" w:rsidRDefault="008B1C85" w:rsidP="008B1C85">
            <w:pPr>
              <w:pStyle w:val="Tabletext"/>
            </w:pPr>
            <w:r w:rsidRPr="00760894">
              <w:t>Based on hierarchy I evidence</w:t>
            </w:r>
          </w:p>
        </w:tc>
      </w:tr>
      <w:tr w:rsidR="008B1C85" w14:paraId="58EA67C3" w14:textId="77777777" w:rsidTr="0099709F">
        <w:tc>
          <w:tcPr>
            <w:tcW w:w="623" w:type="pct"/>
            <w:shd w:val="clear" w:color="auto" w:fill="FFFFFF" w:themeFill="background1"/>
          </w:tcPr>
          <w:p w14:paraId="74DB1426" w14:textId="77777777" w:rsidR="008B1C85" w:rsidRDefault="008B1C85" w:rsidP="008B1C85">
            <w:pPr>
              <w:pStyle w:val="Tabletext"/>
              <w:jc w:val="center"/>
            </w:pPr>
            <w:r>
              <w:t>Ib</w:t>
            </w:r>
          </w:p>
        </w:tc>
        <w:tc>
          <w:tcPr>
            <w:tcW w:w="1877" w:type="pct"/>
            <w:shd w:val="clear" w:color="auto" w:fill="FFFFFF" w:themeFill="background1"/>
          </w:tcPr>
          <w:p w14:paraId="13A0F9D5" w14:textId="77777777" w:rsidR="008B1C85" w:rsidRDefault="008B1C85" w:rsidP="008B1C85">
            <w:pPr>
              <w:pStyle w:val="Tabletext"/>
            </w:pPr>
            <w:r w:rsidRPr="00760894">
              <w:t>Evidence from at least one randomised controlled trial</w:t>
            </w:r>
          </w:p>
        </w:tc>
        <w:tc>
          <w:tcPr>
            <w:tcW w:w="819" w:type="pct"/>
            <w:tcBorders>
              <w:top w:val="single" w:sz="4" w:space="0" w:color="auto"/>
              <w:bottom w:val="single" w:sz="4" w:space="0" w:color="auto"/>
            </w:tcBorders>
            <w:shd w:val="clear" w:color="auto" w:fill="FFFFFF" w:themeFill="background1"/>
          </w:tcPr>
          <w:p w14:paraId="219D15F4" w14:textId="77777777" w:rsidR="008B1C85" w:rsidRDefault="00D12052" w:rsidP="008B1C85">
            <w:pPr>
              <w:pStyle w:val="Tabletext"/>
              <w:jc w:val="center"/>
            </w:pPr>
            <w:r>
              <w:t>A</w:t>
            </w:r>
          </w:p>
        </w:tc>
        <w:tc>
          <w:tcPr>
            <w:tcW w:w="1681" w:type="pct"/>
            <w:tcBorders>
              <w:top w:val="single" w:sz="4" w:space="0" w:color="auto"/>
              <w:bottom w:val="single" w:sz="4" w:space="0" w:color="auto"/>
            </w:tcBorders>
            <w:shd w:val="clear" w:color="auto" w:fill="FFFFFF" w:themeFill="background1"/>
          </w:tcPr>
          <w:p w14:paraId="2260069D" w14:textId="77777777" w:rsidR="008B1C85" w:rsidRDefault="00D12052" w:rsidP="008B1C85">
            <w:pPr>
              <w:pStyle w:val="Tabletext"/>
            </w:pPr>
            <w:r w:rsidRPr="00760894">
              <w:t>Based on hierarchy I evidence</w:t>
            </w:r>
          </w:p>
        </w:tc>
      </w:tr>
      <w:tr w:rsidR="008B1C85" w14:paraId="4B300CF5" w14:textId="77777777" w:rsidTr="00376FE9">
        <w:tc>
          <w:tcPr>
            <w:tcW w:w="623" w:type="pct"/>
            <w:shd w:val="clear" w:color="auto" w:fill="auto"/>
          </w:tcPr>
          <w:p w14:paraId="339B7C8E" w14:textId="77777777" w:rsidR="008B1C85" w:rsidRDefault="008B1C85" w:rsidP="008B1C85">
            <w:pPr>
              <w:pStyle w:val="Tabletext"/>
              <w:jc w:val="center"/>
            </w:pPr>
            <w:r>
              <w:t>IIa</w:t>
            </w:r>
          </w:p>
        </w:tc>
        <w:tc>
          <w:tcPr>
            <w:tcW w:w="1877" w:type="pct"/>
            <w:shd w:val="clear" w:color="auto" w:fill="auto"/>
          </w:tcPr>
          <w:p w14:paraId="6F062FD2" w14:textId="77777777" w:rsidR="008B1C85" w:rsidRDefault="008B1C85" w:rsidP="008B1C85">
            <w:pPr>
              <w:pStyle w:val="Tabletext"/>
            </w:pPr>
            <w:r w:rsidRPr="00760894">
              <w:t>Evidence from at least one controlled study without randomisation</w:t>
            </w:r>
          </w:p>
        </w:tc>
        <w:tc>
          <w:tcPr>
            <w:tcW w:w="819" w:type="pct"/>
            <w:tcBorders>
              <w:bottom w:val="single" w:sz="4" w:space="0" w:color="auto"/>
            </w:tcBorders>
            <w:shd w:val="clear" w:color="auto" w:fill="auto"/>
          </w:tcPr>
          <w:p w14:paraId="5B657C21" w14:textId="77777777" w:rsidR="008B1C85" w:rsidRDefault="008B1C85" w:rsidP="008B1C85">
            <w:pPr>
              <w:pStyle w:val="Tabletext"/>
              <w:jc w:val="center"/>
            </w:pPr>
            <w:r>
              <w:t>B</w:t>
            </w:r>
          </w:p>
        </w:tc>
        <w:tc>
          <w:tcPr>
            <w:tcW w:w="1681" w:type="pct"/>
            <w:tcBorders>
              <w:bottom w:val="single" w:sz="4" w:space="0" w:color="auto"/>
            </w:tcBorders>
            <w:shd w:val="clear" w:color="auto" w:fill="auto"/>
          </w:tcPr>
          <w:p w14:paraId="5F57ED1B" w14:textId="77777777" w:rsidR="008B1C85" w:rsidRDefault="008B1C85" w:rsidP="008B1C85">
            <w:pPr>
              <w:pStyle w:val="Tabletext"/>
            </w:pPr>
            <w:r w:rsidRPr="00760894">
              <w:t>Based on hierarchy II evidence or extrapolated from hierarchy I evidence</w:t>
            </w:r>
          </w:p>
        </w:tc>
      </w:tr>
      <w:tr w:rsidR="008B1C85" w14:paraId="76EC87F6" w14:textId="77777777" w:rsidTr="00376FE9">
        <w:tc>
          <w:tcPr>
            <w:tcW w:w="623" w:type="pct"/>
            <w:shd w:val="clear" w:color="auto" w:fill="auto"/>
          </w:tcPr>
          <w:p w14:paraId="0D6DFF47" w14:textId="77777777" w:rsidR="008B1C85" w:rsidRDefault="008B1C85" w:rsidP="008B1C85">
            <w:pPr>
              <w:pStyle w:val="Tabletext"/>
              <w:jc w:val="center"/>
            </w:pPr>
            <w:r>
              <w:t>IIb</w:t>
            </w:r>
          </w:p>
        </w:tc>
        <w:tc>
          <w:tcPr>
            <w:tcW w:w="1877" w:type="pct"/>
            <w:shd w:val="clear" w:color="auto" w:fill="auto"/>
          </w:tcPr>
          <w:p w14:paraId="4FE70C53" w14:textId="77777777" w:rsidR="008B1C85" w:rsidRDefault="008B1C85" w:rsidP="008B1C85">
            <w:pPr>
              <w:pStyle w:val="Tabletext"/>
            </w:pPr>
            <w:r w:rsidRPr="00760894">
              <w:t>Evidence from at least one other type of quasi experimental study</w:t>
            </w:r>
          </w:p>
        </w:tc>
        <w:tc>
          <w:tcPr>
            <w:tcW w:w="819" w:type="pct"/>
            <w:tcBorders>
              <w:top w:val="single" w:sz="4" w:space="0" w:color="auto"/>
            </w:tcBorders>
            <w:shd w:val="clear" w:color="auto" w:fill="auto"/>
          </w:tcPr>
          <w:p w14:paraId="6DD0BB91" w14:textId="77777777" w:rsidR="008B1C85" w:rsidRDefault="00D12052" w:rsidP="008B1C85">
            <w:pPr>
              <w:pStyle w:val="Tabletext"/>
              <w:jc w:val="center"/>
            </w:pPr>
            <w:r>
              <w:t>B</w:t>
            </w:r>
          </w:p>
        </w:tc>
        <w:tc>
          <w:tcPr>
            <w:tcW w:w="1681" w:type="pct"/>
            <w:tcBorders>
              <w:top w:val="single" w:sz="4" w:space="0" w:color="auto"/>
            </w:tcBorders>
            <w:shd w:val="clear" w:color="auto" w:fill="auto"/>
          </w:tcPr>
          <w:p w14:paraId="7BB8ADB2" w14:textId="77777777" w:rsidR="008B1C85" w:rsidRDefault="00D12052" w:rsidP="008B1C85">
            <w:pPr>
              <w:pStyle w:val="Tabletext"/>
            </w:pPr>
            <w:r w:rsidRPr="00760894">
              <w:t>Based on hierarchy II evidence or extrapolated from hierarchy I evidence</w:t>
            </w:r>
          </w:p>
        </w:tc>
      </w:tr>
      <w:tr w:rsidR="008B1C85" w14:paraId="66E9CE85" w14:textId="77777777" w:rsidTr="008B1C85">
        <w:tc>
          <w:tcPr>
            <w:tcW w:w="623" w:type="pct"/>
          </w:tcPr>
          <w:p w14:paraId="6B28E3C6" w14:textId="77777777" w:rsidR="008B1C85" w:rsidRDefault="008B1C85" w:rsidP="008B1C85">
            <w:pPr>
              <w:pStyle w:val="Tabletext"/>
              <w:jc w:val="center"/>
            </w:pPr>
            <w:r>
              <w:t>III</w:t>
            </w:r>
          </w:p>
        </w:tc>
        <w:tc>
          <w:tcPr>
            <w:tcW w:w="1877" w:type="pct"/>
          </w:tcPr>
          <w:p w14:paraId="1AB70311" w14:textId="77777777" w:rsidR="008B1C85" w:rsidRDefault="008B1C85" w:rsidP="008B1C85">
            <w:pPr>
              <w:pStyle w:val="Tabletext"/>
            </w:pPr>
            <w:r w:rsidRPr="00760894">
              <w:t>Evidence from non experimental descriptive studies, such as comparative studies, correlation studies and case control studies</w:t>
            </w:r>
          </w:p>
        </w:tc>
        <w:tc>
          <w:tcPr>
            <w:tcW w:w="819" w:type="pct"/>
          </w:tcPr>
          <w:p w14:paraId="79FD5872" w14:textId="77777777" w:rsidR="008B1C85" w:rsidRDefault="008B1C85" w:rsidP="008B1C85">
            <w:pPr>
              <w:pStyle w:val="Tabletext"/>
              <w:jc w:val="center"/>
            </w:pPr>
            <w:r>
              <w:t>C</w:t>
            </w:r>
          </w:p>
        </w:tc>
        <w:tc>
          <w:tcPr>
            <w:tcW w:w="1681" w:type="pct"/>
          </w:tcPr>
          <w:p w14:paraId="0737133D" w14:textId="77777777" w:rsidR="008B1C85" w:rsidRDefault="008B1C85" w:rsidP="008B1C85">
            <w:pPr>
              <w:pStyle w:val="Tabletext"/>
            </w:pPr>
            <w:r w:rsidRPr="00760894">
              <w:t>Based on hierarchy III evidence or extrapolated from hierarchy I or II evidence</w:t>
            </w:r>
          </w:p>
        </w:tc>
      </w:tr>
      <w:tr w:rsidR="008B1C85" w14:paraId="363A8E26" w14:textId="77777777" w:rsidTr="00376FE9">
        <w:tc>
          <w:tcPr>
            <w:tcW w:w="623" w:type="pct"/>
            <w:shd w:val="clear" w:color="auto" w:fill="auto"/>
          </w:tcPr>
          <w:p w14:paraId="32A4A979" w14:textId="77777777" w:rsidR="008B1C85" w:rsidRDefault="008B1C85" w:rsidP="008B1C85">
            <w:pPr>
              <w:pStyle w:val="Tabletext"/>
              <w:jc w:val="center"/>
            </w:pPr>
            <w:r>
              <w:t>IV</w:t>
            </w:r>
          </w:p>
        </w:tc>
        <w:tc>
          <w:tcPr>
            <w:tcW w:w="1877" w:type="pct"/>
            <w:shd w:val="clear" w:color="auto" w:fill="auto"/>
          </w:tcPr>
          <w:p w14:paraId="720642AC" w14:textId="77777777" w:rsidR="008B1C85" w:rsidRDefault="008B1C85" w:rsidP="008B1C85">
            <w:pPr>
              <w:pStyle w:val="Tabletext"/>
            </w:pPr>
            <w:r w:rsidRPr="00760894">
              <w:t>Evidence from expert committee reports or opinions and/or clinical experience of respected authorities</w:t>
            </w:r>
          </w:p>
        </w:tc>
        <w:tc>
          <w:tcPr>
            <w:tcW w:w="819" w:type="pct"/>
            <w:shd w:val="clear" w:color="auto" w:fill="auto"/>
          </w:tcPr>
          <w:p w14:paraId="7538B7C4" w14:textId="77777777" w:rsidR="008B1C85" w:rsidRDefault="008B1C85" w:rsidP="008B1C85">
            <w:pPr>
              <w:pStyle w:val="Tabletext"/>
              <w:jc w:val="center"/>
            </w:pPr>
            <w:r>
              <w:t>D</w:t>
            </w:r>
          </w:p>
        </w:tc>
        <w:tc>
          <w:tcPr>
            <w:tcW w:w="1681" w:type="pct"/>
            <w:shd w:val="clear" w:color="auto" w:fill="auto"/>
          </w:tcPr>
          <w:p w14:paraId="1BEEE100" w14:textId="77777777" w:rsidR="008B1C85" w:rsidRDefault="008B1C85" w:rsidP="008B1C85">
            <w:pPr>
              <w:pStyle w:val="Tabletext"/>
            </w:pPr>
            <w:r w:rsidRPr="00760894">
              <w:t>Directly based on hierarchy IV evidence or extrapolated from hierarchy I, II or III evidence.</w:t>
            </w:r>
          </w:p>
        </w:tc>
      </w:tr>
    </w:tbl>
    <w:p w14:paraId="7F6C16C7" w14:textId="77777777" w:rsidR="008B1C85" w:rsidRDefault="008B1C85" w:rsidP="008B1C85">
      <w:pPr>
        <w:pStyle w:val="09Tablefootnoteslast-nostick"/>
      </w:pPr>
      <w:r>
        <w:t>Abbreviations: NCGC, National Clinical Guideline Centre.</w:t>
      </w:r>
    </w:p>
    <w:p w14:paraId="70B2BB5D" w14:textId="77777777" w:rsidR="008B1C85" w:rsidRDefault="008B1C85" w:rsidP="009D42A3">
      <w:pPr>
        <w:pStyle w:val="Appcaption"/>
      </w:pPr>
      <w:r>
        <w:t>Table A-7.7</w:t>
      </w:r>
      <w:r>
        <w:tab/>
        <w:t>Qaseem (2011): The American College of Physicians’ Guideline Grading System</w:t>
      </w:r>
    </w:p>
    <w:tbl>
      <w:tblPr>
        <w:tblStyle w:val="TableGrid"/>
        <w:tblW w:w="5000" w:type="pct"/>
        <w:tblLook w:val="04A0" w:firstRow="1" w:lastRow="0" w:firstColumn="1" w:lastColumn="0" w:noHBand="0" w:noVBand="1"/>
        <w:tblCaption w:val="Qaseem (2011)"/>
        <w:tblDescription w:val="The American College of Physicians’ Guideline Grading System"/>
      </w:tblPr>
      <w:tblGrid>
        <w:gridCol w:w="1837"/>
        <w:gridCol w:w="3612"/>
        <w:gridCol w:w="3612"/>
      </w:tblGrid>
      <w:tr w:rsidR="00D12052" w:rsidRPr="00945369" w14:paraId="557476A9" w14:textId="77777777" w:rsidTr="00D12052">
        <w:trPr>
          <w:tblHeader/>
        </w:trPr>
        <w:tc>
          <w:tcPr>
            <w:tcW w:w="1014" w:type="pct"/>
            <w:vMerge w:val="restart"/>
          </w:tcPr>
          <w:p w14:paraId="13CACE5B" w14:textId="77777777" w:rsidR="00D12052" w:rsidRPr="00E72694" w:rsidRDefault="00D12052" w:rsidP="0099709F">
            <w:pPr>
              <w:pStyle w:val="Tableheading"/>
            </w:pPr>
            <w:r w:rsidRPr="00E72694">
              <w:t>Quality of evidence</w:t>
            </w:r>
          </w:p>
        </w:tc>
        <w:tc>
          <w:tcPr>
            <w:tcW w:w="3986" w:type="pct"/>
            <w:gridSpan w:val="2"/>
          </w:tcPr>
          <w:p w14:paraId="665B3E5E" w14:textId="77777777" w:rsidR="00D12052" w:rsidRPr="00E72694" w:rsidRDefault="00D12052" w:rsidP="0099709F">
            <w:pPr>
              <w:pStyle w:val="Tableheading"/>
              <w:jc w:val="center"/>
            </w:pPr>
            <w:r w:rsidRPr="00E72694">
              <w:rPr>
                <w:rFonts w:cstheme="minorHAnsi"/>
              </w:rPr>
              <w:t>Strength of</w:t>
            </w:r>
            <w:r w:rsidR="004667F6">
              <w:rPr>
                <w:rFonts w:cstheme="minorHAnsi"/>
              </w:rPr>
              <w:t xml:space="preserve"> recommendation</w:t>
            </w:r>
          </w:p>
        </w:tc>
      </w:tr>
      <w:tr w:rsidR="00D12052" w14:paraId="71AEBF4F" w14:textId="77777777" w:rsidTr="008B1C85">
        <w:tc>
          <w:tcPr>
            <w:tcW w:w="1014" w:type="pct"/>
            <w:vMerge/>
          </w:tcPr>
          <w:p w14:paraId="6FF91B6A" w14:textId="77777777" w:rsidR="00D12052" w:rsidRPr="00CC0824" w:rsidRDefault="00D12052" w:rsidP="008B1C85">
            <w:pPr>
              <w:pStyle w:val="Tabletext"/>
              <w:rPr>
                <w:rFonts w:cstheme="minorHAnsi"/>
              </w:rPr>
            </w:pPr>
          </w:p>
        </w:tc>
        <w:tc>
          <w:tcPr>
            <w:tcW w:w="1993" w:type="pct"/>
          </w:tcPr>
          <w:p w14:paraId="429DB289" w14:textId="77777777" w:rsidR="00D12052" w:rsidRPr="00CC0824" w:rsidRDefault="00D12052" w:rsidP="008B1C85">
            <w:pPr>
              <w:pStyle w:val="05Tablebold"/>
              <w:jc w:val="center"/>
              <w:rPr>
                <w:rFonts w:asciiTheme="minorHAnsi" w:hAnsiTheme="minorHAnsi" w:cstheme="minorHAnsi"/>
              </w:rPr>
            </w:pPr>
            <w:r w:rsidRPr="00CC0824">
              <w:rPr>
                <w:rFonts w:asciiTheme="minorHAnsi" w:hAnsiTheme="minorHAnsi" w:cstheme="minorHAnsi"/>
              </w:rPr>
              <w:t>Benefits clearly outweigh risks and burden OR risks and burden clearly outweigh benefits</w:t>
            </w:r>
          </w:p>
        </w:tc>
        <w:tc>
          <w:tcPr>
            <w:tcW w:w="1993" w:type="pct"/>
          </w:tcPr>
          <w:p w14:paraId="36D70384" w14:textId="77777777" w:rsidR="00D12052" w:rsidRPr="00CC0824" w:rsidRDefault="00D12052" w:rsidP="008B1C85">
            <w:pPr>
              <w:pStyle w:val="05Tablebold"/>
              <w:jc w:val="center"/>
              <w:rPr>
                <w:rFonts w:asciiTheme="minorHAnsi" w:hAnsiTheme="minorHAnsi" w:cstheme="minorHAnsi"/>
              </w:rPr>
            </w:pPr>
            <w:r w:rsidRPr="00CC0824">
              <w:rPr>
                <w:rFonts w:asciiTheme="minorHAnsi" w:hAnsiTheme="minorHAnsi" w:cstheme="minorHAnsi"/>
              </w:rPr>
              <w:t>Benefits finely balanced with risks and burden</w:t>
            </w:r>
          </w:p>
        </w:tc>
      </w:tr>
      <w:tr w:rsidR="008B1C85" w14:paraId="7222746B" w14:textId="77777777" w:rsidTr="00376FE9">
        <w:tc>
          <w:tcPr>
            <w:tcW w:w="1014" w:type="pct"/>
            <w:shd w:val="clear" w:color="auto" w:fill="auto"/>
          </w:tcPr>
          <w:p w14:paraId="57EE2A2A" w14:textId="77777777" w:rsidR="008B1C85" w:rsidRPr="00CC0824" w:rsidRDefault="008B1C85" w:rsidP="008B1C85">
            <w:pPr>
              <w:pStyle w:val="Tabletext"/>
              <w:rPr>
                <w:rFonts w:cstheme="minorHAnsi"/>
              </w:rPr>
            </w:pPr>
            <w:r w:rsidRPr="00CC0824">
              <w:rPr>
                <w:rFonts w:cstheme="minorHAnsi"/>
              </w:rPr>
              <w:t>High</w:t>
            </w:r>
          </w:p>
        </w:tc>
        <w:tc>
          <w:tcPr>
            <w:tcW w:w="1993" w:type="pct"/>
            <w:shd w:val="clear" w:color="auto" w:fill="auto"/>
          </w:tcPr>
          <w:p w14:paraId="66D47FD2" w14:textId="77777777" w:rsidR="008B1C85" w:rsidRPr="00CC0824" w:rsidRDefault="008B1C85" w:rsidP="008B1C85">
            <w:pPr>
              <w:pStyle w:val="Tabletext"/>
              <w:jc w:val="center"/>
              <w:rPr>
                <w:rFonts w:cstheme="minorHAnsi"/>
              </w:rPr>
            </w:pPr>
            <w:r w:rsidRPr="00CC0824">
              <w:rPr>
                <w:rFonts w:cstheme="minorHAnsi"/>
              </w:rPr>
              <w:t>Strong</w:t>
            </w:r>
          </w:p>
        </w:tc>
        <w:tc>
          <w:tcPr>
            <w:tcW w:w="1993" w:type="pct"/>
            <w:shd w:val="clear" w:color="auto" w:fill="auto"/>
          </w:tcPr>
          <w:p w14:paraId="01389115" w14:textId="77777777" w:rsidR="008B1C85" w:rsidRPr="00CC0824" w:rsidRDefault="008B1C85" w:rsidP="008B1C85">
            <w:pPr>
              <w:pStyle w:val="Tabletext"/>
              <w:jc w:val="center"/>
              <w:rPr>
                <w:rFonts w:cstheme="minorHAnsi"/>
              </w:rPr>
            </w:pPr>
            <w:r w:rsidRPr="00CC0824">
              <w:rPr>
                <w:rFonts w:cstheme="minorHAnsi"/>
              </w:rPr>
              <w:t>Weak</w:t>
            </w:r>
          </w:p>
        </w:tc>
      </w:tr>
      <w:tr w:rsidR="008B1C85" w14:paraId="456DCFD2" w14:textId="77777777" w:rsidTr="00376FE9">
        <w:tc>
          <w:tcPr>
            <w:tcW w:w="1014" w:type="pct"/>
            <w:shd w:val="clear" w:color="auto" w:fill="auto"/>
          </w:tcPr>
          <w:p w14:paraId="2ED92A01" w14:textId="77777777" w:rsidR="008B1C85" w:rsidRPr="00CC0824" w:rsidRDefault="008B1C85" w:rsidP="008B1C85">
            <w:pPr>
              <w:pStyle w:val="Tabletext"/>
              <w:rPr>
                <w:rFonts w:cstheme="minorHAnsi"/>
              </w:rPr>
            </w:pPr>
            <w:r w:rsidRPr="00CC0824">
              <w:rPr>
                <w:rFonts w:cstheme="minorHAnsi"/>
              </w:rPr>
              <w:t>Moderate</w:t>
            </w:r>
          </w:p>
        </w:tc>
        <w:tc>
          <w:tcPr>
            <w:tcW w:w="1993" w:type="pct"/>
            <w:shd w:val="clear" w:color="auto" w:fill="auto"/>
          </w:tcPr>
          <w:p w14:paraId="5C2D346A" w14:textId="77777777" w:rsidR="008B1C85" w:rsidRPr="00CC0824" w:rsidRDefault="008B1C85" w:rsidP="008B1C85">
            <w:pPr>
              <w:pStyle w:val="Tabletext"/>
              <w:jc w:val="center"/>
              <w:rPr>
                <w:rFonts w:cstheme="minorHAnsi"/>
              </w:rPr>
            </w:pPr>
            <w:r w:rsidRPr="00CC0824">
              <w:rPr>
                <w:rFonts w:cstheme="minorHAnsi"/>
              </w:rPr>
              <w:t>Strong</w:t>
            </w:r>
          </w:p>
        </w:tc>
        <w:tc>
          <w:tcPr>
            <w:tcW w:w="1993" w:type="pct"/>
            <w:shd w:val="clear" w:color="auto" w:fill="auto"/>
          </w:tcPr>
          <w:p w14:paraId="4D40AE5C" w14:textId="77777777" w:rsidR="008B1C85" w:rsidRPr="00CC0824" w:rsidRDefault="008B1C85" w:rsidP="008B1C85">
            <w:pPr>
              <w:pStyle w:val="Tabletext"/>
              <w:jc w:val="center"/>
              <w:rPr>
                <w:rFonts w:cstheme="minorHAnsi"/>
              </w:rPr>
            </w:pPr>
            <w:r w:rsidRPr="00CC0824">
              <w:rPr>
                <w:rFonts w:cstheme="minorHAnsi"/>
              </w:rPr>
              <w:t>Weak</w:t>
            </w:r>
          </w:p>
        </w:tc>
      </w:tr>
      <w:tr w:rsidR="008B1C85" w14:paraId="5022A2E7" w14:textId="77777777" w:rsidTr="00376FE9">
        <w:tc>
          <w:tcPr>
            <w:tcW w:w="1014" w:type="pct"/>
            <w:shd w:val="clear" w:color="auto" w:fill="auto"/>
          </w:tcPr>
          <w:p w14:paraId="20CA814F" w14:textId="77777777" w:rsidR="008B1C85" w:rsidRPr="00CC0824" w:rsidRDefault="008B1C85" w:rsidP="008B1C85">
            <w:pPr>
              <w:pStyle w:val="Tabletext"/>
              <w:rPr>
                <w:rFonts w:cstheme="minorHAnsi"/>
              </w:rPr>
            </w:pPr>
            <w:r w:rsidRPr="00CC0824">
              <w:rPr>
                <w:rFonts w:cstheme="minorHAnsi"/>
              </w:rPr>
              <w:t>Low</w:t>
            </w:r>
          </w:p>
        </w:tc>
        <w:tc>
          <w:tcPr>
            <w:tcW w:w="1993" w:type="pct"/>
            <w:shd w:val="clear" w:color="auto" w:fill="auto"/>
          </w:tcPr>
          <w:p w14:paraId="13CF7B42" w14:textId="77777777" w:rsidR="008B1C85" w:rsidRPr="00CC0824" w:rsidRDefault="008B1C85" w:rsidP="008B1C85">
            <w:pPr>
              <w:pStyle w:val="Tabletext"/>
              <w:jc w:val="center"/>
              <w:rPr>
                <w:rFonts w:cstheme="minorHAnsi"/>
              </w:rPr>
            </w:pPr>
            <w:r w:rsidRPr="00CC0824">
              <w:rPr>
                <w:rFonts w:cstheme="minorHAnsi"/>
              </w:rPr>
              <w:t>Strong</w:t>
            </w:r>
          </w:p>
        </w:tc>
        <w:tc>
          <w:tcPr>
            <w:tcW w:w="1993" w:type="pct"/>
            <w:shd w:val="clear" w:color="auto" w:fill="auto"/>
          </w:tcPr>
          <w:p w14:paraId="19B8585D" w14:textId="77777777" w:rsidR="008B1C85" w:rsidRPr="00CC0824" w:rsidRDefault="008B1C85" w:rsidP="008B1C85">
            <w:pPr>
              <w:pStyle w:val="Tabletext"/>
              <w:jc w:val="center"/>
              <w:rPr>
                <w:rFonts w:cstheme="minorHAnsi"/>
              </w:rPr>
            </w:pPr>
            <w:r w:rsidRPr="00CC0824">
              <w:rPr>
                <w:rFonts w:cstheme="minorHAnsi"/>
              </w:rPr>
              <w:t>Weak</w:t>
            </w:r>
          </w:p>
        </w:tc>
      </w:tr>
    </w:tbl>
    <w:p w14:paraId="5BD05DD2" w14:textId="77777777" w:rsidR="008B1C85" w:rsidRDefault="008B1C85" w:rsidP="008B1C85">
      <w:pPr>
        <w:pStyle w:val="08Tablefootnotes"/>
      </w:pPr>
      <w:r>
        <w:t>Source: Qaseem et al, 2010; p. 196.</w:t>
      </w:r>
    </w:p>
    <w:p w14:paraId="63AC1C53" w14:textId="77777777" w:rsidR="008B1C85" w:rsidRDefault="008B1C85" w:rsidP="008B1C85">
      <w:pPr>
        <w:pStyle w:val="09Tablefootnoteslast-nostick"/>
      </w:pPr>
      <w:r>
        <w:t>Note: Adopted from the classification developed by the GRADE workgroup.</w:t>
      </w:r>
    </w:p>
    <w:p w14:paraId="5CC79097" w14:textId="77777777" w:rsidR="008B1C85" w:rsidRPr="001811FA" w:rsidRDefault="008B1C85" w:rsidP="008B1C85">
      <w:pPr>
        <w:pStyle w:val="BodyText"/>
        <w:sectPr w:rsidR="008B1C85" w:rsidRPr="001811FA" w:rsidSect="008B1C85">
          <w:headerReference w:type="default" r:id="rId30"/>
          <w:footerReference w:type="default" r:id="rId31"/>
          <w:pgSz w:w="11906" w:h="16838" w:code="9"/>
          <w:pgMar w:top="1134" w:right="1134" w:bottom="1701" w:left="1701" w:header="567" w:footer="567" w:gutter="0"/>
          <w:cols w:space="708"/>
          <w:docGrid w:linePitch="360"/>
        </w:sectPr>
      </w:pPr>
    </w:p>
    <w:p w14:paraId="6F02D508" w14:textId="77777777" w:rsidR="008B1C85" w:rsidRDefault="008B1C85" w:rsidP="00DF3A06">
      <w:pPr>
        <w:pStyle w:val="Appcaption"/>
      </w:pPr>
      <w:r>
        <w:lastRenderedPageBreak/>
        <w:t>Table A-7.8</w:t>
      </w:r>
      <w:r>
        <w:tab/>
        <w:t>Qaseem (2011): The American College of Physicians’ Guideline Grading System</w:t>
      </w:r>
    </w:p>
    <w:tbl>
      <w:tblPr>
        <w:tblStyle w:val="TableGrid"/>
        <w:tblW w:w="5000" w:type="pct"/>
        <w:tblLook w:val="04A0" w:firstRow="1" w:lastRow="0" w:firstColumn="1" w:lastColumn="0" w:noHBand="0" w:noVBand="1"/>
        <w:tblCaption w:val="Qaseem (2011)"/>
        <w:tblDescription w:val="The American College of Physicians’ Guideline Grading System"/>
      </w:tblPr>
      <w:tblGrid>
        <w:gridCol w:w="2121"/>
        <w:gridCol w:w="2975"/>
        <w:gridCol w:w="2695"/>
        <w:gridCol w:w="2695"/>
        <w:gridCol w:w="3507"/>
      </w:tblGrid>
      <w:tr w:rsidR="008B1C85" w:rsidRPr="00945369" w14:paraId="477308F1" w14:textId="77777777" w:rsidTr="00FF7D9B">
        <w:trPr>
          <w:tblHeader/>
        </w:trPr>
        <w:tc>
          <w:tcPr>
            <w:tcW w:w="758" w:type="pct"/>
          </w:tcPr>
          <w:p w14:paraId="5AB38E7D" w14:textId="77777777" w:rsidR="008B1C85" w:rsidRPr="00E72694" w:rsidRDefault="008B1C85" w:rsidP="00D12052">
            <w:pPr>
              <w:pStyle w:val="Tableheading"/>
            </w:pPr>
            <w:r w:rsidRPr="00E72694">
              <w:t>Grade of recommendation</w:t>
            </w:r>
          </w:p>
        </w:tc>
        <w:tc>
          <w:tcPr>
            <w:tcW w:w="1063" w:type="pct"/>
            <w:tcBorders>
              <w:right w:val="single" w:sz="4" w:space="0" w:color="auto"/>
            </w:tcBorders>
          </w:tcPr>
          <w:p w14:paraId="356E318B" w14:textId="77777777" w:rsidR="008B1C85" w:rsidRPr="00E72694" w:rsidRDefault="008B1C85" w:rsidP="0099709F">
            <w:pPr>
              <w:pStyle w:val="Tableheading"/>
            </w:pPr>
            <w:r w:rsidRPr="00E72694">
              <w:t>Burden versus risks and burdens</w:t>
            </w:r>
          </w:p>
        </w:tc>
        <w:tc>
          <w:tcPr>
            <w:tcW w:w="963" w:type="pct"/>
            <w:tcBorders>
              <w:left w:val="single" w:sz="4" w:space="0" w:color="auto"/>
            </w:tcBorders>
          </w:tcPr>
          <w:p w14:paraId="5F6F7D0F" w14:textId="77777777" w:rsidR="008B1C85" w:rsidRPr="00E72694" w:rsidRDefault="008B1C85" w:rsidP="0099709F">
            <w:pPr>
              <w:pStyle w:val="Tableheading"/>
            </w:pPr>
            <w:r w:rsidRPr="00E72694">
              <w:t>Methodological quality of supporting evidence</w:t>
            </w:r>
          </w:p>
        </w:tc>
        <w:tc>
          <w:tcPr>
            <w:tcW w:w="963" w:type="pct"/>
            <w:tcBorders>
              <w:left w:val="nil"/>
              <w:bottom w:val="single" w:sz="4" w:space="0" w:color="auto"/>
            </w:tcBorders>
          </w:tcPr>
          <w:p w14:paraId="531D80F0" w14:textId="77777777" w:rsidR="008B1C85" w:rsidRPr="00E72694" w:rsidRDefault="008B1C85" w:rsidP="0099709F">
            <w:pPr>
              <w:pStyle w:val="Tableheading"/>
            </w:pPr>
            <w:r w:rsidRPr="00E72694">
              <w:t>Interpretation</w:t>
            </w:r>
          </w:p>
        </w:tc>
        <w:tc>
          <w:tcPr>
            <w:tcW w:w="1253" w:type="pct"/>
            <w:tcBorders>
              <w:left w:val="nil"/>
              <w:bottom w:val="single" w:sz="4" w:space="0" w:color="auto"/>
            </w:tcBorders>
          </w:tcPr>
          <w:p w14:paraId="2DE864E2" w14:textId="77777777" w:rsidR="008B1C85" w:rsidRPr="008B1C25" w:rsidRDefault="008B1C85" w:rsidP="00D12052">
            <w:pPr>
              <w:pStyle w:val="Tableheading"/>
            </w:pPr>
            <w:r w:rsidRPr="00E72694">
              <w:t>Implications</w:t>
            </w:r>
          </w:p>
        </w:tc>
      </w:tr>
      <w:tr w:rsidR="008B1C85" w14:paraId="76C096F2" w14:textId="77777777" w:rsidTr="00FF7D9B">
        <w:tc>
          <w:tcPr>
            <w:tcW w:w="758" w:type="pct"/>
            <w:shd w:val="clear" w:color="auto" w:fill="FFFFFF" w:themeFill="background1"/>
          </w:tcPr>
          <w:p w14:paraId="232AF366" w14:textId="77777777" w:rsidR="008B1C85" w:rsidRDefault="008B1C85" w:rsidP="008B1C85">
            <w:pPr>
              <w:pStyle w:val="Tabletext"/>
            </w:pPr>
            <w:r>
              <w:t>Strong recommendation; high-quality evidence</w:t>
            </w:r>
          </w:p>
        </w:tc>
        <w:tc>
          <w:tcPr>
            <w:tcW w:w="1063" w:type="pct"/>
            <w:shd w:val="clear" w:color="auto" w:fill="FFFFFF" w:themeFill="background1"/>
          </w:tcPr>
          <w:p w14:paraId="41C84E78" w14:textId="77777777" w:rsidR="008B1C85" w:rsidRDefault="008B1C85" w:rsidP="008B1C85">
            <w:pPr>
              <w:pStyle w:val="Tabletext"/>
            </w:pPr>
            <w:r>
              <w:t>Benefits clearly outweigh risks and burden or vice versa</w:t>
            </w:r>
          </w:p>
        </w:tc>
        <w:tc>
          <w:tcPr>
            <w:tcW w:w="963" w:type="pct"/>
            <w:shd w:val="clear" w:color="auto" w:fill="FFFFFF" w:themeFill="background1"/>
          </w:tcPr>
          <w:p w14:paraId="3C773732" w14:textId="77777777" w:rsidR="008B1C85" w:rsidRDefault="008B1C85" w:rsidP="008B1C85">
            <w:pPr>
              <w:pStyle w:val="Tabletext"/>
            </w:pPr>
            <w:r>
              <w:t>RCTs without important limitations or overwhelming evidence from observational studies</w:t>
            </w:r>
          </w:p>
        </w:tc>
        <w:tc>
          <w:tcPr>
            <w:tcW w:w="963" w:type="pct"/>
            <w:tcBorders>
              <w:bottom w:val="single" w:sz="4" w:space="0" w:color="auto"/>
            </w:tcBorders>
            <w:shd w:val="clear" w:color="auto" w:fill="FFFFFF" w:themeFill="background1"/>
          </w:tcPr>
          <w:p w14:paraId="448D5EB1" w14:textId="77777777" w:rsidR="008B1C85" w:rsidRDefault="008B1C85" w:rsidP="008B1C85">
            <w:pPr>
              <w:pStyle w:val="Tabletext"/>
            </w:pPr>
            <w:r>
              <w:t>Strong recommendation; can apply to most patients in most circumstances without reservation</w:t>
            </w:r>
          </w:p>
        </w:tc>
        <w:tc>
          <w:tcPr>
            <w:tcW w:w="1253" w:type="pct"/>
            <w:tcBorders>
              <w:bottom w:val="single" w:sz="4" w:space="0" w:color="auto"/>
            </w:tcBorders>
            <w:shd w:val="clear" w:color="auto" w:fill="FFFFFF" w:themeFill="background1"/>
          </w:tcPr>
          <w:p w14:paraId="7E768ADB" w14:textId="77777777" w:rsidR="008B1C85" w:rsidRDefault="008B1C85" w:rsidP="00FF7D9B">
            <w:pPr>
              <w:pStyle w:val="Tabletext"/>
            </w:pPr>
            <w:r>
              <w:t>For patients, most would want the recommended course of action and only a small proportion would not; a person should request discussion if the intervention was not offered.</w:t>
            </w:r>
          </w:p>
          <w:p w14:paraId="24B9FC9B" w14:textId="77777777" w:rsidR="00FF7D9B" w:rsidRPr="00FF7D9B" w:rsidRDefault="00FF7D9B" w:rsidP="00FF7D9B">
            <w:pPr>
              <w:pStyle w:val="Tabletext"/>
            </w:pPr>
            <w:r w:rsidRPr="00FF7D9B">
              <w:t>For clinicians, most patients should receive the recommended course of action.</w:t>
            </w:r>
          </w:p>
          <w:p w14:paraId="0E1C8254" w14:textId="77777777" w:rsidR="00FF7D9B" w:rsidRPr="00FF7D9B" w:rsidRDefault="00FF7D9B" w:rsidP="00FF7D9B">
            <w:pPr>
              <w:pStyle w:val="Tabletext"/>
            </w:pPr>
            <w:r w:rsidRPr="00FF7D9B">
              <w:t>For policymakers, the recommendation can be adopted as a policy in most situations.</w:t>
            </w:r>
          </w:p>
        </w:tc>
      </w:tr>
      <w:tr w:rsidR="008B1C85" w14:paraId="40B0D20B" w14:textId="77777777" w:rsidTr="00FF7D9B">
        <w:tc>
          <w:tcPr>
            <w:tcW w:w="758" w:type="pct"/>
            <w:shd w:val="clear" w:color="auto" w:fill="FFFFFF" w:themeFill="background1"/>
          </w:tcPr>
          <w:p w14:paraId="556BB83A" w14:textId="77777777" w:rsidR="008B1C85" w:rsidRDefault="008B1C85" w:rsidP="008B1C85">
            <w:pPr>
              <w:pStyle w:val="Tabletext"/>
            </w:pPr>
            <w:r>
              <w:t>Strong recommendation; moderate-quality evidence</w:t>
            </w:r>
          </w:p>
        </w:tc>
        <w:tc>
          <w:tcPr>
            <w:tcW w:w="1063" w:type="pct"/>
            <w:shd w:val="clear" w:color="auto" w:fill="FFFFFF" w:themeFill="background1"/>
          </w:tcPr>
          <w:p w14:paraId="20875BB8" w14:textId="77777777" w:rsidR="008B1C85" w:rsidRDefault="008B1C85" w:rsidP="008B1C85">
            <w:pPr>
              <w:pStyle w:val="Tabletext"/>
            </w:pPr>
            <w:r>
              <w:t>Benefits clearly outweigh risks and burden or vice versa</w:t>
            </w:r>
          </w:p>
        </w:tc>
        <w:tc>
          <w:tcPr>
            <w:tcW w:w="963" w:type="pct"/>
            <w:shd w:val="clear" w:color="auto" w:fill="FFFFFF" w:themeFill="background1"/>
          </w:tcPr>
          <w:p w14:paraId="03D662BC" w14:textId="77777777" w:rsidR="008B1C85" w:rsidRDefault="008B1C85" w:rsidP="008B1C85">
            <w:pPr>
              <w:pStyle w:val="Tabletext"/>
            </w:pPr>
            <w:r>
              <w:t>RCTs with important limitations (inconsistent results, methodological flaws, indirect, or imprecise) or exceptionally strong evidence from observational studies</w:t>
            </w:r>
          </w:p>
        </w:tc>
        <w:tc>
          <w:tcPr>
            <w:tcW w:w="963" w:type="pct"/>
            <w:tcBorders>
              <w:top w:val="single" w:sz="4" w:space="0" w:color="auto"/>
              <w:bottom w:val="single" w:sz="4" w:space="0" w:color="auto"/>
            </w:tcBorders>
            <w:shd w:val="clear" w:color="auto" w:fill="FFFFFF" w:themeFill="background1"/>
          </w:tcPr>
          <w:p w14:paraId="52968550" w14:textId="77777777" w:rsidR="008B1C85" w:rsidRDefault="008B1C85" w:rsidP="008B1C85">
            <w:pPr>
              <w:pStyle w:val="Tabletext"/>
            </w:pPr>
            <w:r>
              <w:t>Strong recommendation; can apply to most patients in most circumstances without reservation</w:t>
            </w:r>
          </w:p>
        </w:tc>
        <w:tc>
          <w:tcPr>
            <w:tcW w:w="1253" w:type="pct"/>
            <w:tcBorders>
              <w:top w:val="single" w:sz="4" w:space="0" w:color="auto"/>
              <w:bottom w:val="single" w:sz="4" w:space="0" w:color="auto"/>
            </w:tcBorders>
            <w:shd w:val="clear" w:color="auto" w:fill="FFFFFF" w:themeFill="background1"/>
          </w:tcPr>
          <w:p w14:paraId="73851EAF" w14:textId="77777777" w:rsidR="008B1C85" w:rsidRPr="00FF7D9B" w:rsidRDefault="008B1C85" w:rsidP="00FF7D9B">
            <w:pPr>
              <w:pStyle w:val="Tabletext"/>
            </w:pPr>
            <w:r w:rsidRPr="00FF7D9B">
              <w:t>For patients, most would want the recommended course of action and only a small proportion would not; a person should request discussion if the intervention was not offered.</w:t>
            </w:r>
          </w:p>
          <w:p w14:paraId="54F70A7F" w14:textId="77777777" w:rsidR="00FF7D9B" w:rsidRPr="00FF7D9B" w:rsidRDefault="00FF7D9B" w:rsidP="00FF7D9B">
            <w:pPr>
              <w:pStyle w:val="Tabletext"/>
            </w:pPr>
            <w:r w:rsidRPr="00FF7D9B">
              <w:t>For clinicians, most patients should receive the recommended course of action.</w:t>
            </w:r>
          </w:p>
          <w:p w14:paraId="245A8BC5" w14:textId="77777777" w:rsidR="008B1C85" w:rsidRDefault="00FF7D9B" w:rsidP="00FF7D9B">
            <w:pPr>
              <w:pStyle w:val="Tabletext"/>
            </w:pPr>
            <w:r w:rsidRPr="00FF7D9B">
              <w:t>For policymakers, the recommendation can be adopted as a policy in most situations.</w:t>
            </w:r>
          </w:p>
        </w:tc>
      </w:tr>
      <w:tr w:rsidR="008B1C85" w14:paraId="0F364731" w14:textId="77777777" w:rsidTr="00FF7D9B">
        <w:tc>
          <w:tcPr>
            <w:tcW w:w="758" w:type="pct"/>
            <w:shd w:val="clear" w:color="auto" w:fill="FFFFFF" w:themeFill="background1"/>
          </w:tcPr>
          <w:p w14:paraId="5A76C2CA" w14:textId="77777777" w:rsidR="008B1C85" w:rsidRDefault="008B1C85" w:rsidP="008B1C85">
            <w:pPr>
              <w:pStyle w:val="Tabletext"/>
            </w:pPr>
            <w:r>
              <w:t>Strong recommendation; low-quality evidence</w:t>
            </w:r>
          </w:p>
        </w:tc>
        <w:tc>
          <w:tcPr>
            <w:tcW w:w="1063" w:type="pct"/>
            <w:shd w:val="clear" w:color="auto" w:fill="FFFFFF" w:themeFill="background1"/>
          </w:tcPr>
          <w:p w14:paraId="191BB493" w14:textId="77777777" w:rsidR="008B1C85" w:rsidRDefault="008B1C85" w:rsidP="008B1C85">
            <w:pPr>
              <w:pStyle w:val="Tabletext"/>
            </w:pPr>
            <w:r>
              <w:t>Benefits clearly outweigh risks and burden or vice versa</w:t>
            </w:r>
          </w:p>
        </w:tc>
        <w:tc>
          <w:tcPr>
            <w:tcW w:w="963" w:type="pct"/>
            <w:shd w:val="clear" w:color="auto" w:fill="FFFFFF" w:themeFill="background1"/>
          </w:tcPr>
          <w:p w14:paraId="56EB222D" w14:textId="77777777" w:rsidR="008B1C85" w:rsidRDefault="008B1C85" w:rsidP="008B1C85">
            <w:pPr>
              <w:pStyle w:val="Tabletext"/>
            </w:pPr>
            <w:r>
              <w:t>Observational studies or case series</w:t>
            </w:r>
          </w:p>
        </w:tc>
        <w:tc>
          <w:tcPr>
            <w:tcW w:w="963" w:type="pct"/>
            <w:tcBorders>
              <w:top w:val="single" w:sz="4" w:space="0" w:color="auto"/>
              <w:bottom w:val="single" w:sz="4" w:space="0" w:color="auto"/>
            </w:tcBorders>
            <w:shd w:val="clear" w:color="auto" w:fill="FFFFFF" w:themeFill="background1"/>
          </w:tcPr>
          <w:p w14:paraId="158AE9B9" w14:textId="77777777" w:rsidR="008B1C85" w:rsidRDefault="008B1C85" w:rsidP="008B1C85">
            <w:pPr>
              <w:pStyle w:val="Tabletext"/>
            </w:pPr>
            <w:r>
              <w:t>Strong recommendation, but may change when higher-quality evidence becomes available</w:t>
            </w:r>
          </w:p>
        </w:tc>
        <w:tc>
          <w:tcPr>
            <w:tcW w:w="1253" w:type="pct"/>
            <w:tcBorders>
              <w:top w:val="single" w:sz="4" w:space="0" w:color="auto"/>
              <w:bottom w:val="single" w:sz="4" w:space="0" w:color="auto"/>
            </w:tcBorders>
            <w:shd w:val="clear" w:color="auto" w:fill="FFFFFF" w:themeFill="background1"/>
          </w:tcPr>
          <w:p w14:paraId="0D351BBA" w14:textId="77777777" w:rsidR="00FF7D9B" w:rsidRDefault="00FF7D9B" w:rsidP="00FF7D9B">
            <w:pPr>
              <w:pStyle w:val="Tabletext"/>
            </w:pPr>
            <w:r>
              <w:t>For patients, most would want the recommended course of action and only a small proportion would not; a person should request discussion if the intervention was not offered.</w:t>
            </w:r>
          </w:p>
          <w:p w14:paraId="497566EB" w14:textId="77777777" w:rsidR="00FF7D9B" w:rsidRPr="00FF7D9B" w:rsidRDefault="00FF7D9B" w:rsidP="00FF7D9B">
            <w:pPr>
              <w:pStyle w:val="Tabletext"/>
            </w:pPr>
            <w:r w:rsidRPr="00FF7D9B">
              <w:lastRenderedPageBreak/>
              <w:t>For clinicians, most patients should receive the recommended course of action.</w:t>
            </w:r>
          </w:p>
          <w:p w14:paraId="37FA0FA0" w14:textId="77777777" w:rsidR="008B1C85" w:rsidRDefault="00FF7D9B" w:rsidP="00FF7D9B">
            <w:pPr>
              <w:pStyle w:val="Tabletext"/>
            </w:pPr>
            <w:r w:rsidRPr="00FF7D9B">
              <w:t>For policymakers, the recommendation can be adopted as a policy in most situations.</w:t>
            </w:r>
          </w:p>
        </w:tc>
      </w:tr>
      <w:tr w:rsidR="008B1C85" w14:paraId="1749E90D" w14:textId="77777777" w:rsidTr="00FF7D9B">
        <w:tc>
          <w:tcPr>
            <w:tcW w:w="758" w:type="pct"/>
          </w:tcPr>
          <w:p w14:paraId="3055E304" w14:textId="77777777" w:rsidR="008B1C85" w:rsidRDefault="008B1C85" w:rsidP="008B1C85">
            <w:pPr>
              <w:pStyle w:val="Tabletext"/>
            </w:pPr>
            <w:r>
              <w:lastRenderedPageBreak/>
              <w:t>Weak recommendation; high-quality evidence</w:t>
            </w:r>
          </w:p>
        </w:tc>
        <w:tc>
          <w:tcPr>
            <w:tcW w:w="1063" w:type="pct"/>
          </w:tcPr>
          <w:p w14:paraId="69F2DD7A" w14:textId="77777777" w:rsidR="008B1C85" w:rsidRDefault="008B1C85" w:rsidP="008B1C85">
            <w:pPr>
              <w:pStyle w:val="Tabletext"/>
            </w:pPr>
            <w:r>
              <w:t>Benefits closely balanced with risks and burden</w:t>
            </w:r>
          </w:p>
        </w:tc>
        <w:tc>
          <w:tcPr>
            <w:tcW w:w="963" w:type="pct"/>
          </w:tcPr>
          <w:p w14:paraId="25278709" w14:textId="77777777" w:rsidR="008B1C85" w:rsidRDefault="008B1C85" w:rsidP="008B1C85">
            <w:pPr>
              <w:pStyle w:val="Tabletext"/>
            </w:pPr>
            <w:r>
              <w:t>RCTs without important limitations or overwhelming evidence from observational studies</w:t>
            </w:r>
          </w:p>
        </w:tc>
        <w:tc>
          <w:tcPr>
            <w:tcW w:w="963" w:type="pct"/>
            <w:tcBorders>
              <w:bottom w:val="single" w:sz="4" w:space="0" w:color="auto"/>
            </w:tcBorders>
          </w:tcPr>
          <w:p w14:paraId="78742574" w14:textId="77777777" w:rsidR="008B1C85" w:rsidRDefault="008B1C85" w:rsidP="008B1C85">
            <w:pPr>
              <w:pStyle w:val="Tabletext"/>
            </w:pPr>
            <w:r>
              <w:t>Weak recommendation; best action may differ depending on circumstances or patients’ or societal values</w:t>
            </w:r>
          </w:p>
        </w:tc>
        <w:tc>
          <w:tcPr>
            <w:tcW w:w="1253" w:type="pct"/>
            <w:tcBorders>
              <w:bottom w:val="single" w:sz="4" w:space="0" w:color="auto"/>
            </w:tcBorders>
          </w:tcPr>
          <w:p w14:paraId="1ACDD465" w14:textId="77777777" w:rsidR="008B1C85" w:rsidRDefault="008B1C85" w:rsidP="00FF7D9B">
            <w:pPr>
              <w:pStyle w:val="Tabletext"/>
            </w:pPr>
            <w:r>
              <w:t>For patients, most would want the recommended course of action but some would not—a decision may depend on an individual’s circumstances.</w:t>
            </w:r>
          </w:p>
          <w:p w14:paraId="6559E6E7" w14:textId="77777777" w:rsidR="00FF7D9B" w:rsidRDefault="00FF7D9B" w:rsidP="00FF7D9B">
            <w:pPr>
              <w:pStyle w:val="Tabletext"/>
            </w:pPr>
            <w:r>
              <w:t>For clinicians, different choices will be appropriate for different patients, and a management decision consistent with a patient’s values, preferences, and circumstances should be reached.</w:t>
            </w:r>
          </w:p>
          <w:p w14:paraId="44FC1F4F" w14:textId="77777777" w:rsidR="00FF7D9B" w:rsidRPr="00FF7D9B" w:rsidRDefault="00FF7D9B" w:rsidP="00FF7D9B">
            <w:pPr>
              <w:pStyle w:val="Tabletext"/>
            </w:pPr>
            <w:r>
              <w:t>For policymakers, policymaking will require substantial debate and involvement of many stakeholders.</w:t>
            </w:r>
          </w:p>
        </w:tc>
      </w:tr>
      <w:tr w:rsidR="008B1C85" w14:paraId="78C86C9C" w14:textId="77777777" w:rsidTr="00A227D5">
        <w:tc>
          <w:tcPr>
            <w:tcW w:w="758" w:type="pct"/>
            <w:shd w:val="clear" w:color="auto" w:fill="auto"/>
          </w:tcPr>
          <w:p w14:paraId="097E58EA" w14:textId="77777777" w:rsidR="008B1C85" w:rsidRDefault="008B1C85" w:rsidP="008B1C85">
            <w:pPr>
              <w:pStyle w:val="Tabletext"/>
            </w:pPr>
            <w:r>
              <w:t>Weak recommendation; moderate-quality evidence</w:t>
            </w:r>
          </w:p>
        </w:tc>
        <w:tc>
          <w:tcPr>
            <w:tcW w:w="1063" w:type="pct"/>
            <w:shd w:val="clear" w:color="auto" w:fill="auto"/>
          </w:tcPr>
          <w:p w14:paraId="4F25BD88" w14:textId="77777777" w:rsidR="008B1C85" w:rsidRDefault="008B1C85" w:rsidP="008B1C85">
            <w:pPr>
              <w:pStyle w:val="Tabletext"/>
            </w:pPr>
            <w:r>
              <w:t>Benefits closely balanced with risks and burden</w:t>
            </w:r>
          </w:p>
        </w:tc>
        <w:tc>
          <w:tcPr>
            <w:tcW w:w="963" w:type="pct"/>
            <w:shd w:val="clear" w:color="auto" w:fill="auto"/>
          </w:tcPr>
          <w:p w14:paraId="75E4F0E8" w14:textId="77777777" w:rsidR="008B1C85" w:rsidRDefault="008B1C85" w:rsidP="008B1C85">
            <w:pPr>
              <w:pStyle w:val="Tabletext"/>
            </w:pPr>
            <w:r>
              <w:t>RCTs with important limitations (inconsistent results, methodological flaws, indirect, or imprecise) or exceptionally strong evidence from observational studies</w:t>
            </w:r>
          </w:p>
        </w:tc>
        <w:tc>
          <w:tcPr>
            <w:tcW w:w="963" w:type="pct"/>
            <w:tcBorders>
              <w:top w:val="single" w:sz="4" w:space="0" w:color="auto"/>
              <w:bottom w:val="single" w:sz="4" w:space="0" w:color="auto"/>
            </w:tcBorders>
            <w:shd w:val="clear" w:color="auto" w:fill="auto"/>
          </w:tcPr>
          <w:p w14:paraId="6AFAE0B3" w14:textId="77777777" w:rsidR="008B1C85" w:rsidRDefault="008B1C85" w:rsidP="008B1C85">
            <w:pPr>
              <w:pStyle w:val="Tabletext"/>
            </w:pPr>
            <w:r>
              <w:t>Weak recommendation; best action may differ depending on circumstances or patients’ or societal values</w:t>
            </w:r>
          </w:p>
        </w:tc>
        <w:tc>
          <w:tcPr>
            <w:tcW w:w="1253" w:type="pct"/>
            <w:tcBorders>
              <w:top w:val="single" w:sz="4" w:space="0" w:color="auto"/>
              <w:bottom w:val="single" w:sz="4" w:space="0" w:color="auto"/>
            </w:tcBorders>
            <w:shd w:val="clear" w:color="auto" w:fill="auto"/>
          </w:tcPr>
          <w:p w14:paraId="358B2CF0" w14:textId="77777777" w:rsidR="00FF7D9B" w:rsidRDefault="00FF7D9B" w:rsidP="00FF7D9B">
            <w:pPr>
              <w:pStyle w:val="Tabletext"/>
            </w:pPr>
            <w:r>
              <w:t>For patients, most would want the recommended course of action but some would not—a decision may depend on an individual’s circumstances.</w:t>
            </w:r>
          </w:p>
          <w:p w14:paraId="3747BB0B" w14:textId="77777777" w:rsidR="00FF7D9B" w:rsidRDefault="00FF7D9B" w:rsidP="00FF7D9B">
            <w:pPr>
              <w:pStyle w:val="Tabletext"/>
            </w:pPr>
            <w:r>
              <w:t>For clinicians, different choices will be appropriate for different patients, and a management decision consistent with a patient’s values, preferences, and circumstances should be reached.</w:t>
            </w:r>
          </w:p>
          <w:p w14:paraId="55DF7641" w14:textId="77777777" w:rsidR="008B1C85" w:rsidRDefault="00FF7D9B" w:rsidP="00FF7D9B">
            <w:pPr>
              <w:pStyle w:val="Tabletext"/>
            </w:pPr>
            <w:r>
              <w:lastRenderedPageBreak/>
              <w:t>For policymakers, policymaking will require substantial debate and involvement of many stakeholders.</w:t>
            </w:r>
          </w:p>
        </w:tc>
      </w:tr>
      <w:tr w:rsidR="008B1C85" w14:paraId="2DB8963C" w14:textId="77777777" w:rsidTr="00FF7D9B">
        <w:tc>
          <w:tcPr>
            <w:tcW w:w="758" w:type="pct"/>
          </w:tcPr>
          <w:p w14:paraId="3BFB8413" w14:textId="77777777" w:rsidR="008B1C85" w:rsidRDefault="008B1C85" w:rsidP="008B1C85">
            <w:pPr>
              <w:pStyle w:val="Tabletext"/>
            </w:pPr>
            <w:r>
              <w:lastRenderedPageBreak/>
              <w:t>Weak recommendation; low-quality evidence</w:t>
            </w:r>
          </w:p>
        </w:tc>
        <w:tc>
          <w:tcPr>
            <w:tcW w:w="1063" w:type="pct"/>
          </w:tcPr>
          <w:p w14:paraId="3B0699DB" w14:textId="77777777" w:rsidR="008B1C85" w:rsidRDefault="008B1C85" w:rsidP="008B1C85">
            <w:pPr>
              <w:pStyle w:val="Tabletext"/>
            </w:pPr>
            <w:r>
              <w:t>Uncertainty in the estimates of benefits, risks, and burden; benefits, risks, and burden may be closely balanced</w:t>
            </w:r>
          </w:p>
        </w:tc>
        <w:tc>
          <w:tcPr>
            <w:tcW w:w="963" w:type="pct"/>
          </w:tcPr>
          <w:p w14:paraId="07492EF1" w14:textId="77777777" w:rsidR="008B1C85" w:rsidRDefault="008B1C85" w:rsidP="008B1C85">
            <w:pPr>
              <w:pStyle w:val="Tabletext"/>
            </w:pPr>
            <w:r>
              <w:t>Observational studies or case series</w:t>
            </w:r>
          </w:p>
        </w:tc>
        <w:tc>
          <w:tcPr>
            <w:tcW w:w="963" w:type="pct"/>
            <w:tcBorders>
              <w:top w:val="single" w:sz="4" w:space="0" w:color="auto"/>
            </w:tcBorders>
          </w:tcPr>
          <w:p w14:paraId="1D9A98DD" w14:textId="77777777" w:rsidR="008B1C85" w:rsidRDefault="008B1C85" w:rsidP="008B1C85">
            <w:pPr>
              <w:pStyle w:val="Tabletext"/>
            </w:pPr>
            <w:r>
              <w:t>Very weak recommendations; other alternatives may be equally reasonable</w:t>
            </w:r>
          </w:p>
        </w:tc>
        <w:tc>
          <w:tcPr>
            <w:tcW w:w="1253" w:type="pct"/>
            <w:tcBorders>
              <w:top w:val="single" w:sz="4" w:space="0" w:color="auto"/>
            </w:tcBorders>
          </w:tcPr>
          <w:p w14:paraId="4EE70A6F" w14:textId="77777777" w:rsidR="00FF7D9B" w:rsidRDefault="00FF7D9B" w:rsidP="00FF7D9B">
            <w:pPr>
              <w:pStyle w:val="Tabletext"/>
            </w:pPr>
            <w:r>
              <w:t>For patients, most would want the recommended course of action but some would not—a decision may depend on an individual’s circumstances.</w:t>
            </w:r>
          </w:p>
          <w:p w14:paraId="10882E5A" w14:textId="77777777" w:rsidR="00FF7D9B" w:rsidRDefault="00FF7D9B" w:rsidP="00FF7D9B">
            <w:pPr>
              <w:pStyle w:val="Tabletext"/>
            </w:pPr>
            <w:r>
              <w:t>For clinicians, different choices will be appropriate for different patients, and a management decision consistent with a patient’s values, preferences, and circumstances should be reached.</w:t>
            </w:r>
          </w:p>
          <w:p w14:paraId="5366E6FF" w14:textId="77777777" w:rsidR="008B1C85" w:rsidRDefault="00FF7D9B" w:rsidP="00FF7D9B">
            <w:pPr>
              <w:pStyle w:val="Tabletext"/>
            </w:pPr>
            <w:r>
              <w:t>For policymakers, policymaking will require substantial debate and involvement of many stakeholders.</w:t>
            </w:r>
          </w:p>
        </w:tc>
      </w:tr>
      <w:tr w:rsidR="008B1C85" w14:paraId="4E15112B" w14:textId="77777777" w:rsidTr="008B1C85">
        <w:tc>
          <w:tcPr>
            <w:tcW w:w="758" w:type="pct"/>
          </w:tcPr>
          <w:p w14:paraId="1D684E38" w14:textId="77777777" w:rsidR="008B1C85" w:rsidRDefault="008B1C85" w:rsidP="008B1C85">
            <w:pPr>
              <w:pStyle w:val="Tabletext"/>
              <w:keepLines/>
            </w:pPr>
            <w:r>
              <w:t>Insufficient</w:t>
            </w:r>
          </w:p>
        </w:tc>
        <w:tc>
          <w:tcPr>
            <w:tcW w:w="1063" w:type="pct"/>
          </w:tcPr>
          <w:p w14:paraId="458D8CB1" w14:textId="77777777" w:rsidR="008B1C85" w:rsidRDefault="008B1C85" w:rsidP="008B1C85">
            <w:pPr>
              <w:pStyle w:val="Tabletext"/>
              <w:keepLines/>
            </w:pPr>
            <w:r>
              <w:t>Balance of benefits and risks cannot be determined</w:t>
            </w:r>
          </w:p>
        </w:tc>
        <w:tc>
          <w:tcPr>
            <w:tcW w:w="963" w:type="pct"/>
          </w:tcPr>
          <w:p w14:paraId="625B2DAD" w14:textId="77777777" w:rsidR="008B1C85" w:rsidRDefault="008B1C85" w:rsidP="008B1C85">
            <w:pPr>
              <w:pStyle w:val="Tabletext"/>
              <w:keepLines/>
            </w:pPr>
            <w:r>
              <w:t>Evidence is conflicting, poor quality, or lacking</w:t>
            </w:r>
          </w:p>
        </w:tc>
        <w:tc>
          <w:tcPr>
            <w:tcW w:w="963" w:type="pct"/>
          </w:tcPr>
          <w:p w14:paraId="5EF43BB5" w14:textId="77777777" w:rsidR="008B1C85" w:rsidRDefault="008B1C85" w:rsidP="008B1C85">
            <w:pPr>
              <w:pStyle w:val="Tabletext"/>
              <w:keepLines/>
            </w:pPr>
            <w:r>
              <w:t>Insufficient evidence to recommend for or against routinely providing the service</w:t>
            </w:r>
          </w:p>
        </w:tc>
        <w:tc>
          <w:tcPr>
            <w:tcW w:w="1253" w:type="pct"/>
          </w:tcPr>
          <w:p w14:paraId="5AA3843D" w14:textId="77777777" w:rsidR="008B1C85" w:rsidRDefault="008B1C85" w:rsidP="008B1C85">
            <w:pPr>
              <w:pStyle w:val="Tabletext"/>
              <w:keepLines/>
            </w:pPr>
            <w:r>
              <w:t>For patients, decisions based on evidence from scientific studies cannot be made; for clinicians, decisions based on evidence from scientific studies cannot be made; for policymakers, decisions based on evidence from scientific studies cannot be made.</w:t>
            </w:r>
          </w:p>
        </w:tc>
      </w:tr>
    </w:tbl>
    <w:p w14:paraId="194085E0" w14:textId="77777777" w:rsidR="008B1C85" w:rsidRDefault="008B1C85" w:rsidP="008B1C85">
      <w:pPr>
        <w:pStyle w:val="08Tablefootnotes"/>
      </w:pPr>
      <w:r>
        <w:t>Source: Qaseem et al, 2010; p. 196.</w:t>
      </w:r>
    </w:p>
    <w:p w14:paraId="5B5CA163" w14:textId="77777777" w:rsidR="008B1C85" w:rsidRDefault="008B1C85" w:rsidP="008B1C85">
      <w:pPr>
        <w:pStyle w:val="09Tablefootnoteslast-nostick"/>
        <w:sectPr w:rsidR="008B1C85" w:rsidSect="008B1C85">
          <w:headerReference w:type="default" r:id="rId32"/>
          <w:footerReference w:type="default" r:id="rId33"/>
          <w:pgSz w:w="16838" w:h="11906" w:orient="landscape" w:code="9"/>
          <w:pgMar w:top="1701" w:right="1134" w:bottom="1134" w:left="1701" w:header="567" w:footer="567" w:gutter="0"/>
          <w:cols w:space="708"/>
          <w:docGrid w:linePitch="360"/>
        </w:sectPr>
      </w:pPr>
      <w:r>
        <w:t>Abbreviations: RCT, randomised controlled trial.</w:t>
      </w:r>
    </w:p>
    <w:p w14:paraId="0BA849F4" w14:textId="77777777" w:rsidR="008B1C85" w:rsidRDefault="008B1C85" w:rsidP="00DF3A06">
      <w:pPr>
        <w:pStyle w:val="Appcaption"/>
      </w:pPr>
      <w:r w:rsidRPr="0099709F">
        <w:lastRenderedPageBreak/>
        <w:t>Table A-7.9</w:t>
      </w:r>
      <w:r w:rsidRPr="0099709F">
        <w:tab/>
        <w:t>VA/DoD (2014): Evidence to recommendation framework</w:t>
      </w:r>
    </w:p>
    <w:tbl>
      <w:tblPr>
        <w:tblStyle w:val="TableGrid"/>
        <w:tblW w:w="5000" w:type="pct"/>
        <w:tblLook w:val="04A0" w:firstRow="1" w:lastRow="0" w:firstColumn="1" w:lastColumn="0" w:noHBand="0" w:noVBand="1"/>
        <w:tblCaption w:val="Department of Veterans Affairs, Department of Defense (2014)"/>
        <w:tblDescription w:val="Evidence to recommendation framework."/>
      </w:tblPr>
      <w:tblGrid>
        <w:gridCol w:w="3539"/>
        <w:gridCol w:w="3539"/>
        <w:gridCol w:w="1983"/>
      </w:tblGrid>
      <w:tr w:rsidR="002B2882" w:rsidRPr="00472C8A" w14:paraId="31CF076B" w14:textId="77777777" w:rsidTr="0099709F">
        <w:trPr>
          <w:tblHeader/>
        </w:trPr>
        <w:tc>
          <w:tcPr>
            <w:tcW w:w="1953" w:type="pct"/>
          </w:tcPr>
          <w:p w14:paraId="5229DA33" w14:textId="77777777" w:rsidR="002B2882" w:rsidRPr="00E72694" w:rsidRDefault="002B2882" w:rsidP="00A403FC">
            <w:pPr>
              <w:pStyle w:val="Tableheading"/>
            </w:pPr>
            <w:r w:rsidRPr="00E72694">
              <w:t>Decision domain</w:t>
            </w:r>
          </w:p>
        </w:tc>
        <w:tc>
          <w:tcPr>
            <w:tcW w:w="1953" w:type="pct"/>
          </w:tcPr>
          <w:p w14:paraId="2AA4B816" w14:textId="77777777" w:rsidR="002B2882" w:rsidRPr="00E72694" w:rsidRDefault="00DC29AA" w:rsidP="00A403FC">
            <w:pPr>
              <w:pStyle w:val="Tableheading"/>
            </w:pPr>
            <w:r>
              <w:t>Consideration</w:t>
            </w:r>
          </w:p>
        </w:tc>
        <w:tc>
          <w:tcPr>
            <w:tcW w:w="1094" w:type="pct"/>
          </w:tcPr>
          <w:p w14:paraId="0C36EA81" w14:textId="77777777" w:rsidR="002B2882" w:rsidRPr="00E72694" w:rsidRDefault="002B2882" w:rsidP="00A403FC">
            <w:pPr>
              <w:pStyle w:val="Tableheading"/>
            </w:pPr>
            <w:r w:rsidRPr="00E72694">
              <w:t>Judgment</w:t>
            </w:r>
          </w:p>
        </w:tc>
      </w:tr>
      <w:tr w:rsidR="002B2882" w14:paraId="04FFDF06" w14:textId="77777777" w:rsidTr="0099709F">
        <w:tc>
          <w:tcPr>
            <w:tcW w:w="1953" w:type="pct"/>
          </w:tcPr>
          <w:p w14:paraId="6E5C6252" w14:textId="77777777" w:rsidR="002B2882" w:rsidRDefault="002B2882" w:rsidP="008B1C85">
            <w:pPr>
              <w:pStyle w:val="Tabletext"/>
            </w:pPr>
            <w:r>
              <w:t>Balance of desirable and undesirable outcomes</w:t>
            </w:r>
          </w:p>
        </w:tc>
        <w:tc>
          <w:tcPr>
            <w:tcW w:w="1953" w:type="pct"/>
            <w:shd w:val="clear" w:color="auto" w:fill="auto"/>
          </w:tcPr>
          <w:p w14:paraId="6934C472" w14:textId="77777777" w:rsidR="002B2882" w:rsidRDefault="002B2882" w:rsidP="0099709F">
            <w:pPr>
              <w:pStyle w:val="Tablebullet"/>
            </w:pPr>
            <w:r>
              <w:t>Given the best estimate of typical values and preferences, are you confident that the benefits outweigh the harms and burden or vice versa?</w:t>
            </w:r>
          </w:p>
          <w:p w14:paraId="28612F8B" w14:textId="77777777" w:rsidR="002B2882" w:rsidRDefault="002B2882" w:rsidP="0099709F">
            <w:pPr>
              <w:pStyle w:val="Tablebullet"/>
            </w:pPr>
            <w:r>
              <w:t>Are the desirable anticipated effects large?</w:t>
            </w:r>
          </w:p>
          <w:p w14:paraId="3369B114" w14:textId="77777777" w:rsidR="002B2882" w:rsidRDefault="002B2882" w:rsidP="0099709F">
            <w:pPr>
              <w:pStyle w:val="Tablebullet"/>
            </w:pPr>
            <w:r>
              <w:t>Are the undesirable anticipated effects small?</w:t>
            </w:r>
          </w:p>
          <w:p w14:paraId="78BB0DF9" w14:textId="77777777" w:rsidR="002B2882" w:rsidRDefault="002B2882" w:rsidP="0099709F">
            <w:pPr>
              <w:pStyle w:val="Tablebullet"/>
            </w:pPr>
            <w:r>
              <w:t>Are the desirable effects large relative to undesirable effects?</w:t>
            </w:r>
          </w:p>
        </w:tc>
        <w:tc>
          <w:tcPr>
            <w:tcW w:w="1094" w:type="pct"/>
            <w:shd w:val="clear" w:color="auto" w:fill="auto"/>
          </w:tcPr>
          <w:p w14:paraId="3B141520" w14:textId="77777777" w:rsidR="002B2882" w:rsidRDefault="002B2882" w:rsidP="0099709F">
            <w:pPr>
              <w:pStyle w:val="Tablebullet"/>
            </w:pPr>
            <w:r>
              <w:t>Benefits outweigh harms/burden</w:t>
            </w:r>
          </w:p>
          <w:p w14:paraId="0C7B3648" w14:textId="77777777" w:rsidR="002B2882" w:rsidRDefault="002B2882" w:rsidP="0099709F">
            <w:pPr>
              <w:pStyle w:val="Tablebullet"/>
            </w:pPr>
            <w:r>
              <w:t>Benefits slightly outweigh harms/burden</w:t>
            </w:r>
          </w:p>
          <w:p w14:paraId="6DDE30D6" w14:textId="77777777" w:rsidR="002B2882" w:rsidRDefault="002B2882" w:rsidP="0099709F">
            <w:pPr>
              <w:pStyle w:val="Tablebullet"/>
            </w:pPr>
            <w:r>
              <w:t>Benefits and harms/burden are balanced</w:t>
            </w:r>
          </w:p>
          <w:p w14:paraId="000462EE" w14:textId="77777777" w:rsidR="002B2882" w:rsidRDefault="002B2882" w:rsidP="0099709F">
            <w:pPr>
              <w:pStyle w:val="Tablebullet"/>
            </w:pPr>
            <w:r>
              <w:t>Harms/burden slightly outweigh benefits</w:t>
            </w:r>
          </w:p>
          <w:p w14:paraId="4353E834" w14:textId="77777777" w:rsidR="002B2882" w:rsidRDefault="002B2882" w:rsidP="0099709F">
            <w:pPr>
              <w:pStyle w:val="Tablebullet"/>
            </w:pPr>
            <w:r>
              <w:t>Harms/burden outweigh benefits</w:t>
            </w:r>
          </w:p>
        </w:tc>
      </w:tr>
      <w:tr w:rsidR="002B2882" w14:paraId="48AB1FF3" w14:textId="77777777" w:rsidTr="0099709F">
        <w:tc>
          <w:tcPr>
            <w:tcW w:w="1953" w:type="pct"/>
          </w:tcPr>
          <w:p w14:paraId="671B9922" w14:textId="77777777" w:rsidR="002B2882" w:rsidRDefault="002B2882" w:rsidP="008B1C85">
            <w:pPr>
              <w:pStyle w:val="Tabletext"/>
              <w:tabs>
                <w:tab w:val="left" w:pos="2955"/>
              </w:tabs>
            </w:pPr>
            <w:r>
              <w:t>Confidence in the quality of the evidence</w:t>
            </w:r>
          </w:p>
        </w:tc>
        <w:tc>
          <w:tcPr>
            <w:tcW w:w="1953" w:type="pct"/>
            <w:shd w:val="clear" w:color="auto" w:fill="auto"/>
          </w:tcPr>
          <w:p w14:paraId="28CE90C8" w14:textId="77777777" w:rsidR="002B2882" w:rsidRDefault="002B2882" w:rsidP="008B1C85">
            <w:pPr>
              <w:pStyle w:val="Tabletext"/>
              <w:tabs>
                <w:tab w:val="left" w:pos="2955"/>
              </w:tabs>
            </w:pPr>
            <w:r>
              <w:t>Is there high or moderate quality evidence that answers this question?</w:t>
            </w:r>
          </w:p>
          <w:p w14:paraId="179523EC" w14:textId="77777777" w:rsidR="002B2882" w:rsidRDefault="002B2882" w:rsidP="008B1C85">
            <w:pPr>
              <w:pStyle w:val="Tabletext"/>
              <w:tabs>
                <w:tab w:val="left" w:pos="2955"/>
              </w:tabs>
            </w:pPr>
            <w:r>
              <w:t>What is the overall certainty of this evidence?</w:t>
            </w:r>
          </w:p>
        </w:tc>
        <w:tc>
          <w:tcPr>
            <w:tcW w:w="1094" w:type="pct"/>
            <w:shd w:val="clear" w:color="auto" w:fill="auto"/>
          </w:tcPr>
          <w:p w14:paraId="4F8FD15A" w14:textId="77777777" w:rsidR="002B2882" w:rsidRDefault="002B2882" w:rsidP="0099709F">
            <w:pPr>
              <w:pStyle w:val="Tablebullet"/>
            </w:pPr>
            <w:r>
              <w:t>High</w:t>
            </w:r>
          </w:p>
          <w:p w14:paraId="5B5F4183" w14:textId="77777777" w:rsidR="002B2882" w:rsidRDefault="002B2882" w:rsidP="0099709F">
            <w:pPr>
              <w:pStyle w:val="Tablebullet"/>
            </w:pPr>
            <w:r>
              <w:t>Moderate</w:t>
            </w:r>
          </w:p>
          <w:p w14:paraId="706113EE" w14:textId="77777777" w:rsidR="002B2882" w:rsidRDefault="002B2882" w:rsidP="0099709F">
            <w:pPr>
              <w:pStyle w:val="Tablebullet"/>
            </w:pPr>
            <w:r>
              <w:t>Low</w:t>
            </w:r>
            <w:r w:rsidR="00DC29AA">
              <w:tab/>
            </w:r>
          </w:p>
          <w:p w14:paraId="57468D64" w14:textId="77777777" w:rsidR="002B2882" w:rsidRDefault="002B2882" w:rsidP="0099709F">
            <w:pPr>
              <w:pStyle w:val="Tablebullet"/>
            </w:pPr>
            <w:r>
              <w:t>Very low</w:t>
            </w:r>
          </w:p>
        </w:tc>
      </w:tr>
      <w:tr w:rsidR="002B2882" w14:paraId="1859960C" w14:textId="77777777" w:rsidTr="0099709F">
        <w:tc>
          <w:tcPr>
            <w:tcW w:w="1953" w:type="pct"/>
          </w:tcPr>
          <w:p w14:paraId="67F59952" w14:textId="77777777" w:rsidR="002B2882" w:rsidRPr="0007093A" w:rsidRDefault="002B2882" w:rsidP="008B1C85">
            <w:pPr>
              <w:pStyle w:val="Tabletext"/>
              <w:tabs>
                <w:tab w:val="left" w:pos="2955"/>
              </w:tabs>
            </w:pPr>
            <w:r>
              <w:t>Values and preferences</w:t>
            </w:r>
          </w:p>
        </w:tc>
        <w:tc>
          <w:tcPr>
            <w:tcW w:w="1953" w:type="pct"/>
            <w:shd w:val="clear" w:color="auto" w:fill="auto"/>
          </w:tcPr>
          <w:p w14:paraId="5407DC25" w14:textId="77777777" w:rsidR="002B2882" w:rsidRDefault="002B2882" w:rsidP="008B1C85">
            <w:pPr>
              <w:pStyle w:val="Tabletext"/>
              <w:tabs>
                <w:tab w:val="left" w:pos="2955"/>
              </w:tabs>
            </w:pPr>
            <w:r w:rsidRPr="0007093A">
              <w:t>Are you confident about the typical values and preferences and are they similar across the target population? What are the patient’s values and preferences? Are the assumed or identified relative values similar across the target population?</w:t>
            </w:r>
          </w:p>
        </w:tc>
        <w:tc>
          <w:tcPr>
            <w:tcW w:w="1094" w:type="pct"/>
            <w:shd w:val="clear" w:color="auto" w:fill="auto"/>
          </w:tcPr>
          <w:p w14:paraId="4C954CDC" w14:textId="77777777" w:rsidR="002B2882" w:rsidRDefault="002B2882" w:rsidP="0099709F">
            <w:pPr>
              <w:pStyle w:val="Tablebullet"/>
            </w:pPr>
            <w:r>
              <w:t>Similar values</w:t>
            </w:r>
          </w:p>
          <w:p w14:paraId="16B27076" w14:textId="77777777" w:rsidR="002B2882" w:rsidRDefault="002B2882" w:rsidP="0099709F">
            <w:pPr>
              <w:pStyle w:val="Tablebullet"/>
            </w:pPr>
            <w:r>
              <w:t>Some variation</w:t>
            </w:r>
          </w:p>
          <w:p w14:paraId="56911EDB" w14:textId="77777777" w:rsidR="002B2882" w:rsidRDefault="002B2882" w:rsidP="0099709F">
            <w:pPr>
              <w:pStyle w:val="Tablebullet"/>
            </w:pPr>
            <w:r>
              <w:t>Large variation</w:t>
            </w:r>
          </w:p>
        </w:tc>
      </w:tr>
      <w:tr w:rsidR="002B2882" w14:paraId="15A835DA" w14:textId="77777777" w:rsidTr="0099709F">
        <w:tc>
          <w:tcPr>
            <w:tcW w:w="1953" w:type="pct"/>
          </w:tcPr>
          <w:p w14:paraId="3FDDFFB5" w14:textId="77777777" w:rsidR="002B2882" w:rsidRPr="0007093A" w:rsidRDefault="002B2882" w:rsidP="008B1C85">
            <w:pPr>
              <w:pStyle w:val="Tabletext"/>
              <w:tabs>
                <w:tab w:val="left" w:pos="2955"/>
              </w:tabs>
            </w:pPr>
            <w:r>
              <w:t>Other implications</w:t>
            </w:r>
          </w:p>
        </w:tc>
        <w:tc>
          <w:tcPr>
            <w:tcW w:w="1953" w:type="pct"/>
            <w:shd w:val="clear" w:color="auto" w:fill="auto"/>
          </w:tcPr>
          <w:p w14:paraId="42A7A92E" w14:textId="77777777" w:rsidR="002B2882" w:rsidRDefault="002B2882" w:rsidP="008B1C85">
            <w:pPr>
              <w:pStyle w:val="Tabletext"/>
              <w:tabs>
                <w:tab w:val="left" w:pos="2955"/>
              </w:tabs>
            </w:pPr>
            <w:r w:rsidRPr="0007093A">
              <w:t>Are the resources worth the expected net benefit from the recommendation? What are the costs per resource unit? Is this intervention generally available? Is this intervention and its effects worth withdrawing or not allocating resources from other interventions? Is there lots of variability in resource requirements across settings?</w:t>
            </w:r>
          </w:p>
        </w:tc>
        <w:tc>
          <w:tcPr>
            <w:tcW w:w="1094" w:type="pct"/>
            <w:shd w:val="clear" w:color="auto" w:fill="auto"/>
          </w:tcPr>
          <w:p w14:paraId="35122F2A" w14:textId="77777777" w:rsidR="002B2882" w:rsidRDefault="002B2882" w:rsidP="008B1C85">
            <w:pPr>
              <w:pStyle w:val="Tabletext"/>
              <w:tabs>
                <w:tab w:val="left" w:pos="2955"/>
              </w:tabs>
            </w:pPr>
            <w:r>
              <w:t>Various considerations</w:t>
            </w:r>
          </w:p>
        </w:tc>
      </w:tr>
    </w:tbl>
    <w:p w14:paraId="7126ACA2" w14:textId="77777777" w:rsidR="008B1C85" w:rsidRPr="009B57DD" w:rsidRDefault="008B1C85" w:rsidP="008B1C85">
      <w:pPr>
        <w:pStyle w:val="09Tablefootnoteslast-nostick"/>
      </w:pPr>
      <w:r>
        <w:t>Abbreviations: DoD, Department of Defense; VA, Veterans Affairs.</w:t>
      </w:r>
    </w:p>
    <w:p w14:paraId="73B9A4C8" w14:textId="77777777" w:rsidR="008B1C85" w:rsidRDefault="00E42D4A" w:rsidP="00A96C69">
      <w:pPr>
        <w:pStyle w:val="AttHeading1"/>
      </w:pPr>
      <w:bookmarkStart w:id="403" w:name="_Ref441760773"/>
      <w:bookmarkStart w:id="404" w:name="_Toc442450717"/>
      <w:r>
        <w:lastRenderedPageBreak/>
        <w:t xml:space="preserve">Appendix 8 </w:t>
      </w:r>
      <w:r w:rsidR="008B1C85">
        <w:t>Additional information from NAC (2015)</w:t>
      </w:r>
      <w:bookmarkEnd w:id="403"/>
      <w:bookmarkEnd w:id="404"/>
    </w:p>
    <w:p w14:paraId="33F37615" w14:textId="77777777" w:rsidR="008B1C85" w:rsidRDefault="008B1C85" w:rsidP="00DF3A06">
      <w:pPr>
        <w:pStyle w:val="Appcaption"/>
      </w:pPr>
      <w:r>
        <w:t>Figure A-8.1</w:t>
      </w:r>
      <w:r>
        <w:tab/>
        <w:t>NAC (2015): Steps in the diagnosis of asthma in adults</w:t>
      </w:r>
    </w:p>
    <w:p w14:paraId="1E05CCFC" w14:textId="77777777" w:rsidR="008B1C85" w:rsidRDefault="008B1C85" w:rsidP="00E172E7">
      <w:r>
        <w:rPr>
          <w:noProof/>
        </w:rPr>
        <w:drawing>
          <wp:inline distT="0" distB="0" distL="0" distR="0" wp14:anchorId="7D2845E1" wp14:editId="0D0DCF17">
            <wp:extent cx="5760085" cy="5902960"/>
            <wp:effectExtent l="0" t="0" r="0" b="2540"/>
            <wp:docPr id="21" name="Picture 21" descr="If a patient has variable respiratory symptoms that suggest asthma, the clinician examines the patient and takes the patient's medical history. The clinician should refer to the table in the NAC guidance that provides the findings that increase or decrease the probability of asthma in adults. If the findings support a diagnosis of asthma, spirometry testing should be done, having the patient do FEV1 before and 10 to 15 minutes after taking a bronchodilator, to check for reversible airflow limitation or expiratory airflow limitation. If the results show an FEV1 increase more than or equal to 200 mL and more than or equal to 12% from baseline, or the ratio of FEV1 to FVC is under the lower limit for the age group, then the patient has asthma and treatment needs to start and the patient’s response monitored.&#10;If the spirometry testing gives results in the normal range, or if the initial physical examination does not support an asthma diagnosis and investigations for an alternative diagnosis are negative, further testing such as a bronchial provocation test may be done. If this supports an asthma diagnosis, treatment needs to start, but if asthma is not indicated, referral to ???? needs to be considered." title="National Asthma Council (2015) diagnostic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sthma Handbook_Adults_Diagnostic algorithm_19Jan2016.tif"/>
                    <pic:cNvPicPr/>
                  </pic:nvPicPr>
                  <pic:blipFill>
                    <a:blip r:embed="rId34">
                      <a:extLst>
                        <a:ext uri="{28A0092B-C50C-407E-A947-70E740481C1C}">
                          <a14:useLocalDpi xmlns:a14="http://schemas.microsoft.com/office/drawing/2010/main" val="0"/>
                        </a:ext>
                      </a:extLst>
                    </a:blip>
                    <a:stretch>
                      <a:fillRect/>
                    </a:stretch>
                  </pic:blipFill>
                  <pic:spPr>
                    <a:xfrm>
                      <a:off x="0" y="0"/>
                      <a:ext cx="5760085" cy="5902960"/>
                    </a:xfrm>
                    <a:prstGeom prst="rect">
                      <a:avLst/>
                    </a:prstGeom>
                  </pic:spPr>
                </pic:pic>
              </a:graphicData>
            </a:graphic>
          </wp:inline>
        </w:drawing>
      </w:r>
    </w:p>
    <w:p w14:paraId="5F95B2B7" w14:textId="77777777" w:rsidR="008B1C85" w:rsidRDefault="008B1C85" w:rsidP="008B1C85">
      <w:pPr>
        <w:pStyle w:val="08Tablefootnotes"/>
      </w:pPr>
      <w:r>
        <w:t>Source: Australian Asthma Handbook, Version 1.1; Section 1.1; p. 1.</w:t>
      </w:r>
    </w:p>
    <w:p w14:paraId="0CF60826" w14:textId="77777777" w:rsidR="008B1C85" w:rsidRPr="0050252D" w:rsidRDefault="008B1C85" w:rsidP="008B1C85">
      <w:pPr>
        <w:pStyle w:val="09Tablefootnoteslast-nostick"/>
      </w:pPr>
      <w:r>
        <w:t>Abbreviations: FEV</w:t>
      </w:r>
      <w:r>
        <w:rPr>
          <w:vertAlign w:val="subscript"/>
        </w:rPr>
        <w:t>1</w:t>
      </w:r>
      <w:r>
        <w:t xml:space="preserve">, forced expiratory volume in 1 second; FVC, forced vital capacity; NAC, National Asthma Council Australia. </w:t>
      </w:r>
    </w:p>
    <w:p w14:paraId="55A36256" w14:textId="77777777" w:rsidR="008B1C85" w:rsidRDefault="008B1C85" w:rsidP="00DF3A06">
      <w:pPr>
        <w:pStyle w:val="Appcaption"/>
      </w:pPr>
      <w:r>
        <w:lastRenderedPageBreak/>
        <w:t>Figure A-8.2</w:t>
      </w:r>
      <w:r>
        <w:tab/>
        <w:t xml:space="preserve">NAC (2015): </w:t>
      </w:r>
      <w:r w:rsidRPr="00662465">
        <w:t>Steps in the d</w:t>
      </w:r>
      <w:r>
        <w:t>iagnosis of asthma in children</w:t>
      </w:r>
    </w:p>
    <w:p w14:paraId="7800507C" w14:textId="77777777" w:rsidR="008B1C85" w:rsidRDefault="008B1C85" w:rsidP="00E172E7">
      <w:r>
        <w:rPr>
          <w:noProof/>
        </w:rPr>
        <w:drawing>
          <wp:inline distT="0" distB="0" distL="0" distR="0" wp14:anchorId="65CE4CB1" wp14:editId="36610A01">
            <wp:extent cx="5760085" cy="4655185"/>
            <wp:effectExtent l="0" t="0" r="0" b="0"/>
            <wp:docPr id="9" name="Picture 9" descr="If a child has variable episodic respiratory symptoms that suggest asthma, the clinician examines the patient and takes the patient's medical history. The clinician should refer to the table in the NAC guidance that provides the findings that increase or decrease the probability of asthma in children. If the findings support a diagnosis of asthma, spirometry testing should be done, if possible. If the child can’t do spirometry give the child a trial treatment and monitor to see if there is a clear response. If not, the child may have a wheezing disorder, and should be monitored and considered for referral to a specialist. A clear response to the trial treatment indicates asthma, and treatment should be started. When a child can do spirometry, they should do FEV1 before and 10 to 15 minutes after taking a bronchodilator, to check for reversible airflow limitation. If the results show an FEV1 increase of more than or equal to 12% from baseline, asthma is indicated, and treatment needs to start. &#10;If the initial physical examination does not support an asthma diagnosis and investigations for an alternative diagnosis are negative, further testing such as a bronchial provocation test or cardiopulmonary exercise test can be done. If these support an asthma diagnosis, treatment needs to start, but if asthma is not indicated, alternative diagnoses and referral to ???? need to be considered." title="National Asthma Council (2015) diagnostic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sthma Handbook_Children_Diagnostic algorithm_19Jan2016.tif"/>
                    <pic:cNvPicPr/>
                  </pic:nvPicPr>
                  <pic:blipFill>
                    <a:blip r:embed="rId35">
                      <a:extLst>
                        <a:ext uri="{28A0092B-C50C-407E-A947-70E740481C1C}">
                          <a14:useLocalDpi xmlns:a14="http://schemas.microsoft.com/office/drawing/2010/main" val="0"/>
                        </a:ext>
                      </a:extLst>
                    </a:blip>
                    <a:stretch>
                      <a:fillRect/>
                    </a:stretch>
                  </pic:blipFill>
                  <pic:spPr>
                    <a:xfrm>
                      <a:off x="0" y="0"/>
                      <a:ext cx="5760085" cy="4655185"/>
                    </a:xfrm>
                    <a:prstGeom prst="rect">
                      <a:avLst/>
                    </a:prstGeom>
                  </pic:spPr>
                </pic:pic>
              </a:graphicData>
            </a:graphic>
          </wp:inline>
        </w:drawing>
      </w:r>
    </w:p>
    <w:p w14:paraId="3F1C9DAF" w14:textId="77777777" w:rsidR="008B1C85" w:rsidRDefault="008B1C85" w:rsidP="008B1C85">
      <w:pPr>
        <w:pStyle w:val="08Tablefootnotes"/>
      </w:pPr>
      <w:r>
        <w:t>Source: Australian Asthma Handbook, Version 1.1; Section 1.2; p. 1.</w:t>
      </w:r>
    </w:p>
    <w:p w14:paraId="47DA0722" w14:textId="77777777" w:rsidR="008B69C7" w:rsidRDefault="008B1C85" w:rsidP="0099709F">
      <w:pPr>
        <w:pStyle w:val="09Tablefootnoteslast-nostick"/>
      </w:pPr>
      <w:r>
        <w:t>Abbreviations: FEV</w:t>
      </w:r>
      <w:r>
        <w:rPr>
          <w:vertAlign w:val="subscript"/>
        </w:rPr>
        <w:t>1</w:t>
      </w:r>
      <w:r>
        <w:t>, forced expiratory volume in 1 second; FVC, forced vital capacity; NAC, National Asthma Council Australia.</w:t>
      </w:r>
      <w:r w:rsidR="008B69C7">
        <w:br w:type="page"/>
      </w:r>
    </w:p>
    <w:p w14:paraId="125084E9" w14:textId="77777777" w:rsidR="008B1C85" w:rsidRDefault="008B1C85" w:rsidP="00DF3A06">
      <w:pPr>
        <w:pStyle w:val="Appcaption"/>
      </w:pPr>
      <w:r>
        <w:lastRenderedPageBreak/>
        <w:t>Table A-8.1</w:t>
      </w:r>
      <w:r>
        <w:tab/>
        <w:t>NAC (2015): Definitions of asthma patterns in children 6 years and over not taking regular preventer</w:t>
      </w:r>
    </w:p>
    <w:tbl>
      <w:tblPr>
        <w:tblStyle w:val="TableGrid"/>
        <w:tblW w:w="0" w:type="auto"/>
        <w:tblLook w:val="04A0" w:firstRow="1" w:lastRow="0" w:firstColumn="1" w:lastColumn="0" w:noHBand="0" w:noVBand="1"/>
        <w:tblCaption w:val="National Asthma Council (2015)"/>
        <w:tblDescription w:val="Definitions of asthma patterns in children 6 years and over who do not take a regular preventer."/>
      </w:tblPr>
      <w:tblGrid>
        <w:gridCol w:w="2405"/>
        <w:gridCol w:w="6656"/>
      </w:tblGrid>
      <w:tr w:rsidR="00E72694" w:rsidRPr="00E72694" w14:paraId="62A53A71" w14:textId="77777777" w:rsidTr="00FF6AB5">
        <w:trPr>
          <w:tblHeader/>
        </w:trPr>
        <w:tc>
          <w:tcPr>
            <w:tcW w:w="2405" w:type="dxa"/>
            <w:tcBorders>
              <w:top w:val="single" w:sz="4" w:space="0" w:color="auto"/>
              <w:left w:val="single" w:sz="4" w:space="0" w:color="auto"/>
              <w:bottom w:val="single" w:sz="4" w:space="0" w:color="auto"/>
              <w:right w:val="single" w:sz="4" w:space="0" w:color="auto"/>
            </w:tcBorders>
          </w:tcPr>
          <w:p w14:paraId="3607A527" w14:textId="77777777" w:rsidR="00E72694" w:rsidRPr="00E72694" w:rsidRDefault="00E72694" w:rsidP="0099709F">
            <w:pPr>
              <w:pStyle w:val="Tableheading"/>
            </w:pPr>
            <w:r w:rsidRPr="00E72694">
              <w:t>Category</w:t>
            </w:r>
          </w:p>
        </w:tc>
        <w:tc>
          <w:tcPr>
            <w:tcW w:w="6656" w:type="dxa"/>
            <w:tcBorders>
              <w:top w:val="single" w:sz="4" w:space="0" w:color="auto"/>
              <w:left w:val="single" w:sz="4" w:space="0" w:color="auto"/>
              <w:bottom w:val="single" w:sz="4" w:space="0" w:color="auto"/>
              <w:right w:val="single" w:sz="4" w:space="0" w:color="auto"/>
            </w:tcBorders>
          </w:tcPr>
          <w:p w14:paraId="5E57A015" w14:textId="77777777" w:rsidR="00E72694" w:rsidRPr="00E72694" w:rsidRDefault="00E72694" w:rsidP="0099709F">
            <w:pPr>
              <w:pStyle w:val="Tableheading"/>
            </w:pPr>
            <w:r w:rsidRPr="00E72694">
              <w:t>Pattern and intensity of symptoms (when not taking regular treatment)</w:t>
            </w:r>
          </w:p>
        </w:tc>
      </w:tr>
      <w:tr w:rsidR="008B1C85" w14:paraId="77356203" w14:textId="77777777" w:rsidTr="00FF6AB5">
        <w:tc>
          <w:tcPr>
            <w:tcW w:w="2405" w:type="dxa"/>
            <w:tcBorders>
              <w:top w:val="single" w:sz="4" w:space="0" w:color="auto"/>
              <w:left w:val="single" w:sz="4" w:space="0" w:color="auto"/>
              <w:bottom w:val="single" w:sz="4" w:space="0" w:color="auto"/>
              <w:right w:val="single" w:sz="4" w:space="0" w:color="auto"/>
            </w:tcBorders>
          </w:tcPr>
          <w:p w14:paraId="77BFE1B5" w14:textId="77777777" w:rsidR="008B1C85" w:rsidRPr="00CC0824" w:rsidRDefault="008B1C85" w:rsidP="008B1C85">
            <w:pPr>
              <w:pStyle w:val="Tabletext"/>
              <w:rPr>
                <w:rFonts w:cstheme="minorHAnsi"/>
              </w:rPr>
            </w:pPr>
            <w:r w:rsidRPr="00CC0824">
              <w:rPr>
                <w:rFonts w:cstheme="minorHAnsi"/>
              </w:rPr>
              <w:t>Infrequent intermittent asthma</w:t>
            </w:r>
          </w:p>
        </w:tc>
        <w:tc>
          <w:tcPr>
            <w:tcW w:w="6656" w:type="dxa"/>
            <w:tcBorders>
              <w:top w:val="single" w:sz="4" w:space="0" w:color="auto"/>
              <w:left w:val="single" w:sz="4" w:space="0" w:color="auto"/>
              <w:bottom w:val="single" w:sz="4" w:space="0" w:color="auto"/>
              <w:right w:val="single" w:sz="4" w:space="0" w:color="auto"/>
            </w:tcBorders>
          </w:tcPr>
          <w:p w14:paraId="1742C2BC" w14:textId="77777777" w:rsidR="008B1C85" w:rsidRPr="00CC0824" w:rsidRDefault="008B1C85" w:rsidP="008B1C85">
            <w:pPr>
              <w:pStyle w:val="Tabletext"/>
              <w:rPr>
                <w:rFonts w:cstheme="minorHAnsi"/>
              </w:rPr>
            </w:pPr>
            <w:r w:rsidRPr="00CC0824">
              <w:rPr>
                <w:rFonts w:cstheme="minorHAnsi"/>
              </w:rPr>
              <w:t>Symptom-free for at least 6 weeks at a time (flare-ups up to once every 6 weeks on average but no symptoms between flare-ups)</w:t>
            </w:r>
          </w:p>
        </w:tc>
      </w:tr>
      <w:tr w:rsidR="008B1C85" w14:paraId="095722C6" w14:textId="77777777" w:rsidTr="00A96C69">
        <w:tc>
          <w:tcPr>
            <w:tcW w:w="2405" w:type="dxa"/>
            <w:tcBorders>
              <w:top w:val="single" w:sz="4" w:space="0" w:color="auto"/>
              <w:left w:val="single" w:sz="4" w:space="0" w:color="auto"/>
              <w:bottom w:val="single" w:sz="4" w:space="0" w:color="auto"/>
              <w:right w:val="single" w:sz="4" w:space="0" w:color="auto"/>
            </w:tcBorders>
            <w:shd w:val="clear" w:color="auto" w:fill="auto"/>
          </w:tcPr>
          <w:p w14:paraId="55FE0460" w14:textId="77777777" w:rsidR="008B1C85" w:rsidRPr="00CC0824" w:rsidRDefault="008B1C85" w:rsidP="008B1C85">
            <w:pPr>
              <w:pStyle w:val="Tabletext"/>
              <w:rPr>
                <w:rFonts w:cstheme="minorHAnsi"/>
              </w:rPr>
            </w:pPr>
            <w:r w:rsidRPr="00CC0824">
              <w:rPr>
                <w:rFonts w:cstheme="minorHAnsi"/>
              </w:rPr>
              <w:t>Frequent intermittent asthma</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0CFAB750" w14:textId="77777777" w:rsidR="008B1C85" w:rsidRPr="00CC0824" w:rsidRDefault="008B1C85" w:rsidP="008B1C85">
            <w:pPr>
              <w:pStyle w:val="Tabletext"/>
              <w:rPr>
                <w:rFonts w:cstheme="minorHAnsi"/>
              </w:rPr>
            </w:pPr>
            <w:r w:rsidRPr="00CC0824">
              <w:rPr>
                <w:rFonts w:cstheme="minorHAnsi"/>
              </w:rPr>
              <w:t>Flare-ups more than once every 6 weeks on average but no symptoms between flare-ups</w:t>
            </w:r>
          </w:p>
        </w:tc>
      </w:tr>
      <w:tr w:rsidR="00DC29AA" w14:paraId="3EF25678" w14:textId="77777777" w:rsidTr="00DC29AA">
        <w:trPr>
          <w:trHeight w:val="1211"/>
        </w:trPr>
        <w:tc>
          <w:tcPr>
            <w:tcW w:w="2405" w:type="dxa"/>
            <w:vMerge w:val="restart"/>
            <w:tcBorders>
              <w:top w:val="single" w:sz="4" w:space="0" w:color="auto"/>
              <w:left w:val="single" w:sz="4" w:space="0" w:color="auto"/>
              <w:right w:val="single" w:sz="4" w:space="0" w:color="auto"/>
            </w:tcBorders>
          </w:tcPr>
          <w:p w14:paraId="6EDDCDEF" w14:textId="77777777" w:rsidR="00DC29AA" w:rsidRPr="00CC0824" w:rsidRDefault="00DC29AA" w:rsidP="008B1C85">
            <w:pPr>
              <w:pStyle w:val="Tabletext"/>
              <w:rPr>
                <w:rFonts w:cstheme="minorHAnsi"/>
              </w:rPr>
            </w:pPr>
            <w:r w:rsidRPr="00CC0824">
              <w:rPr>
                <w:rFonts w:cstheme="minorHAnsi"/>
              </w:rPr>
              <w:t>Persistent asthma</w:t>
            </w:r>
          </w:p>
        </w:tc>
        <w:tc>
          <w:tcPr>
            <w:tcW w:w="6656" w:type="dxa"/>
            <w:tcBorders>
              <w:top w:val="single" w:sz="4" w:space="0" w:color="auto"/>
              <w:left w:val="single" w:sz="4" w:space="0" w:color="auto"/>
              <w:right w:val="single" w:sz="4" w:space="0" w:color="auto"/>
            </w:tcBorders>
          </w:tcPr>
          <w:p w14:paraId="4E323904" w14:textId="77777777" w:rsidR="00DC29AA" w:rsidRPr="00E2464D" w:rsidRDefault="00DC29AA" w:rsidP="0099709F">
            <w:pPr>
              <w:pStyle w:val="Tabletext"/>
              <w:rPr>
                <w:bCs/>
              </w:rPr>
            </w:pPr>
            <w:r w:rsidRPr="0099709F">
              <w:rPr>
                <w:b/>
                <w:bCs/>
              </w:rPr>
              <w:t>Mild</w:t>
            </w:r>
          </w:p>
          <w:p w14:paraId="77C23D92" w14:textId="77777777" w:rsidR="00DC29AA" w:rsidRPr="00CC0824" w:rsidRDefault="00DC29AA" w:rsidP="0099709F">
            <w:pPr>
              <w:pStyle w:val="Tablebullet"/>
            </w:pPr>
            <w:r w:rsidRPr="00CC0824">
              <w:t>FEV</w:t>
            </w:r>
            <w:r w:rsidRPr="00CC0824">
              <w:rPr>
                <w:vertAlign w:val="subscript"/>
              </w:rPr>
              <w:t>1</w:t>
            </w:r>
            <w:r w:rsidRPr="00CC0824">
              <w:t xml:space="preserve"> ≥80% predicted and at least one of:</w:t>
            </w:r>
          </w:p>
          <w:p w14:paraId="71C0F230" w14:textId="77777777" w:rsidR="00DC29AA" w:rsidRPr="00CC0824" w:rsidRDefault="00DC29AA" w:rsidP="0099709F">
            <w:pPr>
              <w:pStyle w:val="Tablebullet"/>
            </w:pPr>
            <w:r w:rsidRPr="00CC0824">
              <w:t>Daytime symptoms</w:t>
            </w:r>
            <w:r w:rsidRPr="00CC0824">
              <w:rPr>
                <w:vertAlign w:val="superscript"/>
              </w:rPr>
              <w:t>a</w:t>
            </w:r>
            <w:r w:rsidRPr="00CC0824">
              <w:t xml:space="preserve"> more than once per week but not every day</w:t>
            </w:r>
          </w:p>
          <w:p w14:paraId="121807DD" w14:textId="77777777" w:rsidR="00DC29AA" w:rsidRPr="00CC0824" w:rsidRDefault="00DC29AA" w:rsidP="0099709F">
            <w:pPr>
              <w:pStyle w:val="Tablebullet"/>
            </w:pPr>
            <w:r w:rsidRPr="00CC0824">
              <w:t>Night-time symptoms</w:t>
            </w:r>
            <w:r w:rsidRPr="00DC29AA">
              <w:rPr>
                <w:vertAlign w:val="superscript"/>
              </w:rPr>
              <w:t>a</w:t>
            </w:r>
            <w:r w:rsidRPr="00CC0824">
              <w:t xml:space="preserve"> more than twice per month but not every week</w:t>
            </w:r>
          </w:p>
        </w:tc>
      </w:tr>
      <w:tr w:rsidR="00DC29AA" w14:paraId="29717F07" w14:textId="77777777" w:rsidTr="00DC29AA">
        <w:trPr>
          <w:trHeight w:val="206"/>
        </w:trPr>
        <w:tc>
          <w:tcPr>
            <w:tcW w:w="2405" w:type="dxa"/>
            <w:vMerge/>
            <w:tcBorders>
              <w:left w:val="single" w:sz="4" w:space="0" w:color="auto"/>
              <w:right w:val="single" w:sz="4" w:space="0" w:color="auto"/>
            </w:tcBorders>
          </w:tcPr>
          <w:p w14:paraId="71EC015F" w14:textId="77777777" w:rsidR="00DC29AA" w:rsidRPr="00CC0824" w:rsidRDefault="00DC29AA" w:rsidP="008B1C85">
            <w:pPr>
              <w:pStyle w:val="Tabletext"/>
              <w:rPr>
                <w:rFonts w:cstheme="minorHAnsi"/>
              </w:rPr>
            </w:pPr>
          </w:p>
        </w:tc>
        <w:tc>
          <w:tcPr>
            <w:tcW w:w="6656" w:type="dxa"/>
            <w:tcBorders>
              <w:left w:val="single" w:sz="4" w:space="0" w:color="auto"/>
              <w:right w:val="single" w:sz="4" w:space="0" w:color="auto"/>
            </w:tcBorders>
          </w:tcPr>
          <w:p w14:paraId="05FD9A2B" w14:textId="77777777" w:rsidR="00DC29AA" w:rsidRPr="00C041D8" w:rsidRDefault="00DC29AA" w:rsidP="00DC29AA">
            <w:pPr>
              <w:pStyle w:val="Tabletext"/>
              <w:rPr>
                <w:b/>
                <w:bCs/>
              </w:rPr>
            </w:pPr>
            <w:r w:rsidRPr="00C041D8">
              <w:rPr>
                <w:b/>
                <w:bCs/>
              </w:rPr>
              <w:t>Moderate</w:t>
            </w:r>
          </w:p>
          <w:p w14:paraId="6D101273" w14:textId="77777777" w:rsidR="00DC29AA" w:rsidRPr="00CC0824" w:rsidRDefault="00DC29AA" w:rsidP="00DC29AA">
            <w:pPr>
              <w:pStyle w:val="Tabletext"/>
              <w:rPr>
                <w:rFonts w:cstheme="minorHAnsi"/>
              </w:rPr>
            </w:pPr>
            <w:r w:rsidRPr="00CC0824">
              <w:rPr>
                <w:rFonts w:cstheme="minorHAnsi"/>
              </w:rPr>
              <w:t>Any of:</w:t>
            </w:r>
          </w:p>
          <w:p w14:paraId="1CA0B3C6" w14:textId="77777777" w:rsidR="00DC29AA" w:rsidRPr="00CC0824" w:rsidRDefault="00DC29AA" w:rsidP="00DC29AA">
            <w:pPr>
              <w:pStyle w:val="Tablebullet"/>
            </w:pPr>
            <w:r w:rsidRPr="00CC0824">
              <w:t>FEV</w:t>
            </w:r>
            <w:r w:rsidRPr="00CC0824">
              <w:rPr>
                <w:vertAlign w:val="subscript"/>
              </w:rPr>
              <w:t>1</w:t>
            </w:r>
            <w:r w:rsidRPr="00CC0824">
              <w:t xml:space="preserve"> &lt;80% predicted</w:t>
            </w:r>
            <w:r w:rsidRPr="00CC0824">
              <w:rPr>
                <w:vertAlign w:val="superscript"/>
              </w:rPr>
              <w:t>a</w:t>
            </w:r>
          </w:p>
          <w:p w14:paraId="5C1D7F48" w14:textId="77777777" w:rsidR="00DC29AA" w:rsidRPr="00CC0824" w:rsidRDefault="00DC29AA" w:rsidP="00DC29AA">
            <w:pPr>
              <w:pStyle w:val="Tablebullet"/>
            </w:pPr>
            <w:r w:rsidRPr="00CC0824">
              <w:t>Daytime symptoms</w:t>
            </w:r>
            <w:r w:rsidRPr="00CC0824">
              <w:rPr>
                <w:vertAlign w:val="superscript"/>
              </w:rPr>
              <w:t>a</w:t>
            </w:r>
            <w:r w:rsidRPr="00CC0824">
              <w:t xml:space="preserve"> daily</w:t>
            </w:r>
          </w:p>
          <w:p w14:paraId="72A8CA84" w14:textId="77777777" w:rsidR="00DC29AA" w:rsidRPr="00CC0824" w:rsidRDefault="00DC29AA" w:rsidP="00DC29AA">
            <w:pPr>
              <w:pStyle w:val="Tablebullet"/>
            </w:pPr>
            <w:r w:rsidRPr="00CC0824">
              <w:t>Night-time symptoms</w:t>
            </w:r>
            <w:r w:rsidRPr="00CC0824">
              <w:rPr>
                <w:vertAlign w:val="superscript"/>
              </w:rPr>
              <w:t>a</w:t>
            </w:r>
            <w:r w:rsidRPr="00CC0824">
              <w:t xml:space="preserve"> more than once per week</w:t>
            </w:r>
          </w:p>
          <w:p w14:paraId="506E103B" w14:textId="77777777" w:rsidR="00DC29AA" w:rsidRPr="00DC29AA" w:rsidRDefault="00DC29AA" w:rsidP="0099709F">
            <w:pPr>
              <w:pStyle w:val="Tablebullet"/>
              <w:rPr>
                <w:b/>
                <w:bCs/>
              </w:rPr>
            </w:pPr>
            <w:r w:rsidRPr="00CC0824">
              <w:t>Symptoms sometimes restrict activity or sleep</w:t>
            </w:r>
          </w:p>
        </w:tc>
      </w:tr>
      <w:tr w:rsidR="00DC29AA" w14:paraId="06AE49E0" w14:textId="77777777" w:rsidTr="00DC29AA">
        <w:trPr>
          <w:trHeight w:val="1209"/>
        </w:trPr>
        <w:tc>
          <w:tcPr>
            <w:tcW w:w="2405" w:type="dxa"/>
            <w:vMerge/>
            <w:tcBorders>
              <w:left w:val="single" w:sz="4" w:space="0" w:color="auto"/>
              <w:bottom w:val="single" w:sz="4" w:space="0" w:color="auto"/>
              <w:right w:val="single" w:sz="4" w:space="0" w:color="auto"/>
            </w:tcBorders>
          </w:tcPr>
          <w:p w14:paraId="0222EFFC" w14:textId="77777777" w:rsidR="00DC29AA" w:rsidRPr="00CC0824" w:rsidRDefault="00DC29AA" w:rsidP="008B1C85">
            <w:pPr>
              <w:pStyle w:val="Tabletext"/>
              <w:rPr>
                <w:rFonts w:cstheme="minorHAnsi"/>
              </w:rPr>
            </w:pPr>
          </w:p>
        </w:tc>
        <w:tc>
          <w:tcPr>
            <w:tcW w:w="6656" w:type="dxa"/>
            <w:tcBorders>
              <w:left w:val="single" w:sz="4" w:space="0" w:color="auto"/>
              <w:bottom w:val="single" w:sz="4" w:space="0" w:color="auto"/>
              <w:right w:val="single" w:sz="4" w:space="0" w:color="auto"/>
            </w:tcBorders>
          </w:tcPr>
          <w:p w14:paraId="115D521E" w14:textId="77777777" w:rsidR="00DC29AA" w:rsidRPr="00C041D8" w:rsidRDefault="00DC29AA" w:rsidP="00DC29AA">
            <w:pPr>
              <w:pStyle w:val="Tabletext"/>
              <w:rPr>
                <w:b/>
                <w:bCs/>
              </w:rPr>
            </w:pPr>
            <w:r w:rsidRPr="00C041D8">
              <w:rPr>
                <w:b/>
                <w:bCs/>
              </w:rPr>
              <w:t>Severe</w:t>
            </w:r>
          </w:p>
          <w:p w14:paraId="44240BE3" w14:textId="77777777" w:rsidR="00DC29AA" w:rsidRPr="00DC29AA" w:rsidRDefault="00DC29AA" w:rsidP="00DC29AA">
            <w:pPr>
              <w:pStyle w:val="Tabletext"/>
            </w:pPr>
            <w:r w:rsidRPr="00DC29AA">
              <w:t>Any of:</w:t>
            </w:r>
          </w:p>
          <w:p w14:paraId="35E8DCC8" w14:textId="77777777" w:rsidR="00DC29AA" w:rsidRPr="00CC0824" w:rsidRDefault="00DC29AA" w:rsidP="00DC29AA">
            <w:pPr>
              <w:pStyle w:val="Tablebullet"/>
            </w:pPr>
            <w:r w:rsidRPr="00CC0824">
              <w:t>FEV</w:t>
            </w:r>
            <w:r w:rsidRPr="00CC0824">
              <w:rPr>
                <w:vertAlign w:val="subscript"/>
              </w:rPr>
              <w:t>1</w:t>
            </w:r>
            <w:r w:rsidRPr="00CC0824">
              <w:t xml:space="preserve"> ≤60% predicted</w:t>
            </w:r>
            <w:r w:rsidRPr="00CC0824">
              <w:rPr>
                <w:vertAlign w:val="superscript"/>
              </w:rPr>
              <w:t>a</w:t>
            </w:r>
          </w:p>
          <w:p w14:paraId="416AABEA" w14:textId="77777777" w:rsidR="00DC29AA" w:rsidRPr="00CC0824" w:rsidRDefault="00DC29AA" w:rsidP="00DC29AA">
            <w:pPr>
              <w:pStyle w:val="Tablebullet"/>
            </w:pPr>
            <w:r w:rsidRPr="00CC0824">
              <w:t>Daytime symptoms</w:t>
            </w:r>
            <w:r w:rsidRPr="00CC0824">
              <w:rPr>
                <w:vertAlign w:val="superscript"/>
              </w:rPr>
              <w:t>a</w:t>
            </w:r>
            <w:r w:rsidRPr="00CC0824">
              <w:t xml:space="preserve"> continual</w:t>
            </w:r>
          </w:p>
          <w:p w14:paraId="3451FFE2" w14:textId="77777777" w:rsidR="00DC29AA" w:rsidRPr="00CC0824" w:rsidRDefault="00DC29AA" w:rsidP="00DC29AA">
            <w:pPr>
              <w:pStyle w:val="Tablebullet"/>
            </w:pPr>
            <w:r w:rsidRPr="00CC0824">
              <w:t>Night-time symptoms</w:t>
            </w:r>
            <w:r w:rsidRPr="00CC0824">
              <w:rPr>
                <w:vertAlign w:val="superscript"/>
              </w:rPr>
              <w:t>a</w:t>
            </w:r>
            <w:r w:rsidRPr="00CC0824">
              <w:t xml:space="preserve"> frequent</w:t>
            </w:r>
          </w:p>
          <w:p w14:paraId="48D24CB4" w14:textId="77777777" w:rsidR="00DC29AA" w:rsidRPr="00CC0824" w:rsidRDefault="00DC29AA" w:rsidP="00DC29AA">
            <w:pPr>
              <w:pStyle w:val="Tablebullet"/>
            </w:pPr>
            <w:r w:rsidRPr="00CC0824">
              <w:t>Flare-ups frequent</w:t>
            </w:r>
          </w:p>
          <w:p w14:paraId="46D579CB" w14:textId="77777777" w:rsidR="00DC29AA" w:rsidRPr="00DC29AA" w:rsidRDefault="00DC29AA" w:rsidP="00DC29AA">
            <w:pPr>
              <w:pStyle w:val="Tabletext"/>
              <w:rPr>
                <w:b/>
                <w:bCs/>
              </w:rPr>
            </w:pPr>
            <w:r w:rsidRPr="00CC0824">
              <w:t>Symptoms frequently restrict activity or sleep</w:t>
            </w:r>
          </w:p>
        </w:tc>
      </w:tr>
    </w:tbl>
    <w:p w14:paraId="6754C3C8" w14:textId="77777777" w:rsidR="008B1C85" w:rsidRPr="0050252D" w:rsidRDefault="008B1C85" w:rsidP="008B1C85">
      <w:pPr>
        <w:pStyle w:val="08Tablefootnotes"/>
      </w:pPr>
      <w:r>
        <w:t>Abbreviations: FEV</w:t>
      </w:r>
      <w:r>
        <w:rPr>
          <w:vertAlign w:val="subscript"/>
        </w:rPr>
        <w:t>1</w:t>
      </w:r>
      <w:r>
        <w:t>, forced expiratory volume in 1 second; NAC, National Asthma Council Australia.</w:t>
      </w:r>
    </w:p>
    <w:p w14:paraId="39E7AC58" w14:textId="77777777" w:rsidR="008B1C85" w:rsidRDefault="008B1C85" w:rsidP="008B1C85">
      <w:pPr>
        <w:pStyle w:val="09Tablefootnoteslast-nostick"/>
      </w:pPr>
      <w:r>
        <w:rPr>
          <w:b/>
        </w:rPr>
        <w:t>a</w:t>
      </w:r>
      <w:r>
        <w:t xml:space="preserve"> </w:t>
      </w:r>
      <w:r w:rsidRPr="00741227">
        <w:t>Symptoms between flare-ups. A flare-up is defined as a period of worsening asthma symptoms, from mild (e.g. symptoms that are just outside the normal range of variation for the child, documented when well) to severe (e.g. events that require urgent action by parents and health professionals to prevent a serious outcome such as hospitalisation or death from asthma).</w:t>
      </w:r>
    </w:p>
    <w:p w14:paraId="07CB79E6" w14:textId="77777777" w:rsidR="008B1C85" w:rsidRDefault="008B1C85" w:rsidP="00DF3A06">
      <w:pPr>
        <w:pStyle w:val="Appcaption"/>
      </w:pPr>
      <w:r>
        <w:t>Table A-8.2</w:t>
      </w:r>
      <w:r>
        <w:tab/>
        <w:t>NAC (2015): Frequency of follow-up in various patient groups</w:t>
      </w:r>
    </w:p>
    <w:tbl>
      <w:tblPr>
        <w:tblStyle w:val="TableGrid"/>
        <w:tblW w:w="0" w:type="auto"/>
        <w:tblLook w:val="04A0" w:firstRow="1" w:lastRow="0" w:firstColumn="1" w:lastColumn="0" w:noHBand="0" w:noVBand="1"/>
        <w:tblCaption w:val="National Asthma Council (2015)"/>
        <w:tblDescription w:val="Frequency of follow-up in various patient groups."/>
      </w:tblPr>
      <w:tblGrid>
        <w:gridCol w:w="2122"/>
        <w:gridCol w:w="6939"/>
      </w:tblGrid>
      <w:tr w:rsidR="008B1C85" w14:paraId="6EE7C067" w14:textId="77777777" w:rsidTr="00D56F93">
        <w:trPr>
          <w:tblHeader/>
        </w:trPr>
        <w:tc>
          <w:tcPr>
            <w:tcW w:w="2122" w:type="dxa"/>
            <w:tcBorders>
              <w:top w:val="single" w:sz="4" w:space="0" w:color="auto"/>
              <w:left w:val="single" w:sz="4" w:space="0" w:color="auto"/>
              <w:bottom w:val="single" w:sz="4" w:space="0" w:color="auto"/>
              <w:right w:val="single" w:sz="4" w:space="0" w:color="auto"/>
            </w:tcBorders>
          </w:tcPr>
          <w:p w14:paraId="24101C70" w14:textId="77777777" w:rsidR="008B1C85" w:rsidRPr="00E72694" w:rsidRDefault="008B1C85" w:rsidP="0075170C">
            <w:pPr>
              <w:pStyle w:val="Tableheading"/>
            </w:pPr>
            <w:r w:rsidRPr="00E72694">
              <w:t>Check-up interval</w:t>
            </w:r>
          </w:p>
        </w:tc>
        <w:tc>
          <w:tcPr>
            <w:tcW w:w="6939" w:type="dxa"/>
            <w:tcBorders>
              <w:top w:val="single" w:sz="4" w:space="0" w:color="auto"/>
              <w:left w:val="single" w:sz="4" w:space="0" w:color="auto"/>
              <w:bottom w:val="single" w:sz="4" w:space="0" w:color="auto"/>
              <w:right w:val="single" w:sz="4" w:space="0" w:color="auto"/>
            </w:tcBorders>
          </w:tcPr>
          <w:p w14:paraId="191FAACA" w14:textId="77777777" w:rsidR="008B1C85" w:rsidRPr="00E72694" w:rsidRDefault="008B1C85" w:rsidP="0075170C">
            <w:pPr>
              <w:pStyle w:val="Tableheading"/>
            </w:pPr>
            <w:r w:rsidRPr="00E72694">
              <w:t>Criteria</w:t>
            </w:r>
          </w:p>
        </w:tc>
      </w:tr>
      <w:tr w:rsidR="008B1C85" w14:paraId="5212F0E7" w14:textId="77777777" w:rsidTr="008B1C85">
        <w:tc>
          <w:tcPr>
            <w:tcW w:w="2122" w:type="dxa"/>
            <w:tcBorders>
              <w:top w:val="single" w:sz="4" w:space="0" w:color="auto"/>
              <w:left w:val="single" w:sz="4" w:space="0" w:color="auto"/>
              <w:bottom w:val="single" w:sz="4" w:space="0" w:color="auto"/>
              <w:right w:val="single" w:sz="4" w:space="0" w:color="auto"/>
            </w:tcBorders>
          </w:tcPr>
          <w:p w14:paraId="4BCD1206" w14:textId="77777777" w:rsidR="008B1C85" w:rsidRPr="005A24C1" w:rsidRDefault="008B1C85" w:rsidP="008B1C85">
            <w:pPr>
              <w:pStyle w:val="Tabletext"/>
            </w:pPr>
            <w:r>
              <w:t>4-6 weeks</w:t>
            </w:r>
          </w:p>
        </w:tc>
        <w:tc>
          <w:tcPr>
            <w:tcW w:w="6939" w:type="dxa"/>
            <w:tcBorders>
              <w:top w:val="single" w:sz="4" w:space="0" w:color="auto"/>
              <w:left w:val="single" w:sz="4" w:space="0" w:color="auto"/>
              <w:bottom w:val="single" w:sz="4" w:space="0" w:color="auto"/>
              <w:right w:val="single" w:sz="4" w:space="0" w:color="auto"/>
            </w:tcBorders>
          </w:tcPr>
          <w:p w14:paraId="15394B85" w14:textId="77777777" w:rsidR="008B1C85" w:rsidRPr="00B37174" w:rsidRDefault="008B1C85" w:rsidP="008B1C85">
            <w:pPr>
              <w:pStyle w:val="Tabletext"/>
            </w:pPr>
            <w:r>
              <w:t>Pregnant women</w:t>
            </w:r>
          </w:p>
        </w:tc>
      </w:tr>
      <w:tr w:rsidR="008B1C85" w14:paraId="40929329" w14:textId="77777777" w:rsidTr="00A96C69">
        <w:tc>
          <w:tcPr>
            <w:tcW w:w="2122" w:type="dxa"/>
            <w:tcBorders>
              <w:top w:val="single" w:sz="4" w:space="0" w:color="auto"/>
              <w:left w:val="single" w:sz="4" w:space="0" w:color="auto"/>
              <w:bottom w:val="single" w:sz="4" w:space="0" w:color="auto"/>
              <w:right w:val="single" w:sz="4" w:space="0" w:color="auto"/>
            </w:tcBorders>
            <w:shd w:val="clear" w:color="auto" w:fill="auto"/>
          </w:tcPr>
          <w:p w14:paraId="3BB0A19D" w14:textId="77777777" w:rsidR="008B1C85" w:rsidRDefault="008B1C85" w:rsidP="008B1C85">
            <w:pPr>
              <w:pStyle w:val="Tabletext"/>
            </w:pPr>
            <w:r>
              <w:t>1-3 months</w:t>
            </w:r>
          </w:p>
        </w:tc>
        <w:tc>
          <w:tcPr>
            <w:tcW w:w="6939" w:type="dxa"/>
            <w:tcBorders>
              <w:top w:val="single" w:sz="4" w:space="0" w:color="auto"/>
              <w:left w:val="single" w:sz="4" w:space="0" w:color="auto"/>
              <w:bottom w:val="single" w:sz="4" w:space="0" w:color="auto"/>
              <w:right w:val="single" w:sz="4" w:space="0" w:color="auto"/>
            </w:tcBorders>
            <w:shd w:val="clear" w:color="auto" w:fill="auto"/>
          </w:tcPr>
          <w:p w14:paraId="0234D9C2" w14:textId="77777777" w:rsidR="008B1C85" w:rsidRDefault="008B1C85" w:rsidP="008B1C85">
            <w:pPr>
              <w:pStyle w:val="Tabletext"/>
            </w:pPr>
            <w:r>
              <w:t>After each adjustment to medications</w:t>
            </w:r>
          </w:p>
        </w:tc>
      </w:tr>
      <w:tr w:rsidR="008B1C85" w14:paraId="75A6C592" w14:textId="77777777" w:rsidTr="008B1C85">
        <w:tc>
          <w:tcPr>
            <w:tcW w:w="2122" w:type="dxa"/>
            <w:tcBorders>
              <w:top w:val="single" w:sz="4" w:space="0" w:color="auto"/>
              <w:left w:val="single" w:sz="4" w:space="0" w:color="auto"/>
              <w:bottom w:val="single" w:sz="4" w:space="0" w:color="auto"/>
              <w:right w:val="single" w:sz="4" w:space="0" w:color="auto"/>
            </w:tcBorders>
          </w:tcPr>
          <w:p w14:paraId="522461C4" w14:textId="77777777" w:rsidR="008B1C85" w:rsidRDefault="008B1C85" w:rsidP="008B1C85">
            <w:pPr>
              <w:pStyle w:val="Tabletext"/>
            </w:pPr>
            <w:r>
              <w:t>At least every 3 months</w:t>
            </w:r>
          </w:p>
        </w:tc>
        <w:tc>
          <w:tcPr>
            <w:tcW w:w="6939" w:type="dxa"/>
            <w:tcBorders>
              <w:top w:val="single" w:sz="4" w:space="0" w:color="auto"/>
              <w:left w:val="single" w:sz="4" w:space="0" w:color="auto"/>
              <w:bottom w:val="single" w:sz="4" w:space="0" w:color="auto"/>
              <w:right w:val="single" w:sz="4" w:space="0" w:color="auto"/>
            </w:tcBorders>
          </w:tcPr>
          <w:p w14:paraId="58C76CD3" w14:textId="77777777" w:rsidR="008B1C85" w:rsidRDefault="008B1C85" w:rsidP="008B1C85">
            <w:pPr>
              <w:pStyle w:val="Tabletext"/>
            </w:pPr>
            <w:r>
              <w:t>Patients with severe asthma, work-exacerbated asthma, poor perception of airflow limitation, frequent rhinosinusitis symptoms, or other comorbid conditions that affect asthma control</w:t>
            </w:r>
          </w:p>
        </w:tc>
      </w:tr>
      <w:tr w:rsidR="008B1C85" w14:paraId="7B486008" w14:textId="77777777" w:rsidTr="00A96C69">
        <w:tc>
          <w:tcPr>
            <w:tcW w:w="2122" w:type="dxa"/>
            <w:tcBorders>
              <w:top w:val="single" w:sz="4" w:space="0" w:color="auto"/>
              <w:left w:val="single" w:sz="4" w:space="0" w:color="auto"/>
              <w:bottom w:val="single" w:sz="4" w:space="0" w:color="auto"/>
              <w:right w:val="single" w:sz="4" w:space="0" w:color="auto"/>
            </w:tcBorders>
            <w:shd w:val="clear" w:color="auto" w:fill="auto"/>
          </w:tcPr>
          <w:p w14:paraId="19F679F6" w14:textId="77777777" w:rsidR="008B1C85" w:rsidRDefault="008B1C85" w:rsidP="008B1C85">
            <w:pPr>
              <w:pStyle w:val="Tabletext"/>
            </w:pPr>
            <w:r>
              <w:t>6 months</w:t>
            </w:r>
          </w:p>
        </w:tc>
        <w:tc>
          <w:tcPr>
            <w:tcW w:w="6939" w:type="dxa"/>
            <w:tcBorders>
              <w:top w:val="single" w:sz="4" w:space="0" w:color="auto"/>
              <w:left w:val="single" w:sz="4" w:space="0" w:color="auto"/>
              <w:bottom w:val="single" w:sz="4" w:space="0" w:color="auto"/>
              <w:right w:val="single" w:sz="4" w:space="0" w:color="auto"/>
            </w:tcBorders>
            <w:shd w:val="clear" w:color="auto" w:fill="auto"/>
          </w:tcPr>
          <w:p w14:paraId="1FB19907" w14:textId="77777777" w:rsidR="008B1C85" w:rsidRDefault="008B1C85" w:rsidP="008B1C85">
            <w:pPr>
              <w:pStyle w:val="Tabletext"/>
            </w:pPr>
            <w:r>
              <w:t>Patients who have</w:t>
            </w:r>
            <w:r w:rsidRPr="00284FA9">
              <w:t xml:space="preserve"> had a flare-up within the past 12 months or who has other risk factors for flare-ups or life-threatening asthma (e.g. smoking, previous recording of poor lung function on spirometry, history of admission to an intensive care unit for asthma)</w:t>
            </w:r>
          </w:p>
        </w:tc>
      </w:tr>
      <w:tr w:rsidR="008B1C85" w14:paraId="74F6BA5F" w14:textId="77777777" w:rsidTr="008B1C85">
        <w:tc>
          <w:tcPr>
            <w:tcW w:w="2122" w:type="dxa"/>
            <w:tcBorders>
              <w:top w:val="single" w:sz="4" w:space="0" w:color="auto"/>
              <w:left w:val="single" w:sz="4" w:space="0" w:color="auto"/>
              <w:bottom w:val="single" w:sz="4" w:space="0" w:color="auto"/>
              <w:right w:val="single" w:sz="4" w:space="0" w:color="auto"/>
            </w:tcBorders>
          </w:tcPr>
          <w:p w14:paraId="2298FF7B" w14:textId="77777777" w:rsidR="008B1C85" w:rsidRDefault="008B1C85" w:rsidP="008B1C85">
            <w:pPr>
              <w:pStyle w:val="Tabletext"/>
            </w:pPr>
            <w:r>
              <w:t>Yearly</w:t>
            </w:r>
          </w:p>
        </w:tc>
        <w:tc>
          <w:tcPr>
            <w:tcW w:w="6939" w:type="dxa"/>
            <w:tcBorders>
              <w:top w:val="single" w:sz="4" w:space="0" w:color="auto"/>
              <w:left w:val="single" w:sz="4" w:space="0" w:color="auto"/>
              <w:bottom w:val="single" w:sz="4" w:space="0" w:color="auto"/>
              <w:right w:val="single" w:sz="4" w:space="0" w:color="auto"/>
            </w:tcBorders>
          </w:tcPr>
          <w:p w14:paraId="628DCCCD" w14:textId="77777777" w:rsidR="008B1C85" w:rsidRDefault="008B1C85" w:rsidP="008B1C85">
            <w:pPr>
              <w:pStyle w:val="Tabletext"/>
            </w:pPr>
            <w:r>
              <w:t xml:space="preserve">Patients </w:t>
            </w:r>
            <w:r w:rsidRPr="00284FA9">
              <w:t>with no flare-up in the past 12 months and good symptom control for at least a year</w:t>
            </w:r>
          </w:p>
        </w:tc>
      </w:tr>
    </w:tbl>
    <w:p w14:paraId="3858CFEA" w14:textId="77777777" w:rsidR="008B69C7" w:rsidRDefault="008B1C85" w:rsidP="008B1C85">
      <w:pPr>
        <w:pStyle w:val="09Tablefootnoteslast-nostick"/>
      </w:pPr>
      <w:r>
        <w:t>Abreviations: NAC, National Asthma Council Australia.</w:t>
      </w:r>
      <w:r w:rsidR="008B69C7">
        <w:br w:type="page"/>
      </w:r>
    </w:p>
    <w:p w14:paraId="422D1229" w14:textId="77777777" w:rsidR="008B1C85" w:rsidRDefault="00E42D4A" w:rsidP="00A96C69">
      <w:pPr>
        <w:pStyle w:val="AttHeading1"/>
      </w:pPr>
      <w:bookmarkStart w:id="405" w:name="_Ref441769701"/>
      <w:bookmarkStart w:id="406" w:name="_Toc442450718"/>
      <w:r>
        <w:lastRenderedPageBreak/>
        <w:t xml:space="preserve">Appendix 9 </w:t>
      </w:r>
      <w:r w:rsidR="008B1C85">
        <w:t>Additional information from BTS/SIGN (2014)</w:t>
      </w:r>
      <w:bookmarkEnd w:id="405"/>
      <w:bookmarkEnd w:id="406"/>
    </w:p>
    <w:p w14:paraId="561E73AD" w14:textId="77777777" w:rsidR="008B1C85" w:rsidRDefault="008B1C85" w:rsidP="00DF3A06">
      <w:pPr>
        <w:pStyle w:val="Appcaption"/>
      </w:pPr>
      <w:r>
        <w:t>Table A-9.1</w:t>
      </w:r>
      <w:r>
        <w:tab/>
        <w:t>BTS/SIGN (2014): Relevant key questions that underpinned the systematic literature review</w:t>
      </w:r>
    </w:p>
    <w:tbl>
      <w:tblPr>
        <w:tblStyle w:val="TableGrid"/>
        <w:tblW w:w="0" w:type="auto"/>
        <w:tblLook w:val="04A0" w:firstRow="1" w:lastRow="0" w:firstColumn="1" w:lastColumn="0" w:noHBand="0" w:noVBand="1"/>
        <w:tblCaption w:val="British Thoracic Society / Scottish Intercollegiate Guidelines Network (2014)"/>
        <w:tblDescription w:val="Relevant key questions that underpinned the systematic literature review."/>
      </w:tblPr>
      <w:tblGrid>
        <w:gridCol w:w="9061"/>
      </w:tblGrid>
      <w:tr w:rsidR="00E72694" w14:paraId="23BA7935" w14:textId="77777777" w:rsidTr="008A4CE9">
        <w:trPr>
          <w:tblHeader/>
        </w:trPr>
        <w:tc>
          <w:tcPr>
            <w:tcW w:w="9061" w:type="dxa"/>
            <w:tcBorders>
              <w:top w:val="single" w:sz="4" w:space="0" w:color="auto"/>
              <w:left w:val="single" w:sz="4" w:space="0" w:color="auto"/>
              <w:bottom w:val="single" w:sz="4" w:space="0" w:color="auto"/>
              <w:right w:val="single" w:sz="4" w:space="0" w:color="auto"/>
            </w:tcBorders>
          </w:tcPr>
          <w:p w14:paraId="6948AA4F" w14:textId="77777777" w:rsidR="00E72694" w:rsidRPr="00E72694" w:rsidRDefault="00E72694" w:rsidP="00E72694">
            <w:pPr>
              <w:pStyle w:val="Tabletext"/>
              <w:rPr>
                <w:rFonts w:cstheme="minorHAnsi"/>
                <w:b/>
              </w:rPr>
            </w:pPr>
            <w:r w:rsidRPr="00E72694">
              <w:rPr>
                <w:rFonts w:cstheme="minorHAnsi"/>
                <w:b/>
              </w:rPr>
              <w:t>Key questions</w:t>
            </w:r>
          </w:p>
        </w:tc>
      </w:tr>
      <w:tr w:rsidR="008B1C85" w14:paraId="23CC3734" w14:textId="77777777" w:rsidTr="008B1C85">
        <w:tc>
          <w:tcPr>
            <w:tcW w:w="9061" w:type="dxa"/>
            <w:tcBorders>
              <w:top w:val="single" w:sz="4" w:space="0" w:color="auto"/>
              <w:left w:val="single" w:sz="4" w:space="0" w:color="auto"/>
              <w:bottom w:val="single" w:sz="4" w:space="0" w:color="auto"/>
              <w:right w:val="single" w:sz="4" w:space="0" w:color="auto"/>
            </w:tcBorders>
          </w:tcPr>
          <w:p w14:paraId="43C8BE4B" w14:textId="77777777" w:rsidR="008B1C85" w:rsidRPr="00CC0824" w:rsidRDefault="008B1C85" w:rsidP="008B1C85">
            <w:pPr>
              <w:pStyle w:val="Tabletext"/>
              <w:rPr>
                <w:rFonts w:cstheme="minorHAnsi"/>
              </w:rPr>
            </w:pPr>
            <w:r w:rsidRPr="00CC0824">
              <w:rPr>
                <w:rFonts w:cstheme="minorHAnsi"/>
              </w:rPr>
              <w:t>In children (under 5 and 5-12 years of age), what are the most effective objective tests for diagnosing reversible airway disease including airway disease that will respond to bronchodilators?</w:t>
            </w:r>
          </w:p>
          <w:p w14:paraId="07392D80" w14:textId="77777777" w:rsidR="008B1C85" w:rsidRPr="00CC0824" w:rsidRDefault="008B1C85" w:rsidP="0099709F">
            <w:pPr>
              <w:pStyle w:val="Tablebullet"/>
            </w:pPr>
            <w:r w:rsidRPr="00CC0824">
              <w:t>peak expiratory flow variability (amplitude % mean)</w:t>
            </w:r>
          </w:p>
          <w:p w14:paraId="37932A58" w14:textId="77777777" w:rsidR="008B1C85" w:rsidRPr="00CC0824" w:rsidRDefault="008B1C85" w:rsidP="0099709F">
            <w:pPr>
              <w:pStyle w:val="Tablebullet"/>
            </w:pPr>
            <w:r w:rsidRPr="00CC0824">
              <w:t>bronchodilator response (using PEF, FEV</w:t>
            </w:r>
            <w:r w:rsidRPr="00CC0824">
              <w:rPr>
                <w:vertAlign w:val="subscript"/>
              </w:rPr>
              <w:t>1</w:t>
            </w:r>
            <w:r w:rsidRPr="00CC0824">
              <w:t xml:space="preserve"> and other lung function tests).</w:t>
            </w:r>
          </w:p>
        </w:tc>
      </w:tr>
      <w:tr w:rsidR="008B1C85" w14:paraId="4E37D564" w14:textId="77777777" w:rsidTr="008B1C85">
        <w:tc>
          <w:tcPr>
            <w:tcW w:w="9061" w:type="dxa"/>
            <w:tcBorders>
              <w:top w:val="single" w:sz="4" w:space="0" w:color="auto"/>
              <w:left w:val="single" w:sz="4" w:space="0" w:color="auto"/>
              <w:bottom w:val="single" w:sz="4" w:space="0" w:color="auto"/>
              <w:right w:val="single" w:sz="4" w:space="0" w:color="auto"/>
            </w:tcBorders>
          </w:tcPr>
          <w:p w14:paraId="6C6E996F" w14:textId="77777777" w:rsidR="008B1C85" w:rsidRPr="00CC0824" w:rsidRDefault="008B1C85" w:rsidP="008B1C85">
            <w:pPr>
              <w:pStyle w:val="Tabletext"/>
              <w:rPr>
                <w:rFonts w:cstheme="minorHAnsi"/>
              </w:rPr>
            </w:pPr>
            <w:r w:rsidRPr="00CC0824">
              <w:rPr>
                <w:rFonts w:cstheme="minorHAnsi"/>
              </w:rPr>
              <w:t>In children (under 5 and 5-12 years of age), what are the most effective objective tests for diagnosing airway disease that will respond to inhaled corticosteroids?</w:t>
            </w:r>
          </w:p>
          <w:p w14:paraId="6A012577" w14:textId="77777777" w:rsidR="008B1C85" w:rsidRPr="00CC0824" w:rsidRDefault="008B1C85" w:rsidP="0099709F">
            <w:pPr>
              <w:pStyle w:val="Tablebullet"/>
            </w:pPr>
            <w:r w:rsidRPr="00CC0824">
              <w:t>exhaled nitric oxide</w:t>
            </w:r>
          </w:p>
          <w:p w14:paraId="49074708" w14:textId="77777777" w:rsidR="008B1C85" w:rsidRPr="00CC0824" w:rsidRDefault="008B1C85" w:rsidP="0099709F">
            <w:pPr>
              <w:pStyle w:val="Tablebullet"/>
            </w:pPr>
            <w:r w:rsidRPr="00CC0824">
              <w:t>induced sputum eosinophil count</w:t>
            </w:r>
          </w:p>
          <w:p w14:paraId="373CE0F6" w14:textId="77777777" w:rsidR="008B1C85" w:rsidRPr="00CC0824" w:rsidRDefault="008B1C85" w:rsidP="0099709F">
            <w:pPr>
              <w:pStyle w:val="Tablebullet"/>
            </w:pPr>
            <w:r w:rsidRPr="00CC0824">
              <w:t>airway responsiveness to methacholine, exercise, and indirect challenges such as mannitol and AMP</w:t>
            </w:r>
          </w:p>
          <w:p w14:paraId="358F1C27" w14:textId="77777777" w:rsidR="008B1C85" w:rsidRPr="00CC0824" w:rsidRDefault="008B1C85" w:rsidP="0099709F">
            <w:pPr>
              <w:pStyle w:val="Tablebullet"/>
            </w:pPr>
            <w:r w:rsidRPr="00CC0824">
              <w:t>lung function tests (PEF, FEV</w:t>
            </w:r>
            <w:r w:rsidRPr="00CC0824">
              <w:rPr>
                <w:vertAlign w:val="subscript"/>
              </w:rPr>
              <w:t>1</w:t>
            </w:r>
            <w:r w:rsidRPr="00CC0824">
              <w:t>; home based, lab based).</w:t>
            </w:r>
          </w:p>
        </w:tc>
      </w:tr>
      <w:tr w:rsidR="008B1C85" w14:paraId="2F69EB23" w14:textId="77777777" w:rsidTr="008B1C85">
        <w:tc>
          <w:tcPr>
            <w:tcW w:w="9061" w:type="dxa"/>
            <w:tcBorders>
              <w:top w:val="single" w:sz="4" w:space="0" w:color="auto"/>
              <w:left w:val="single" w:sz="4" w:space="0" w:color="auto"/>
              <w:bottom w:val="single" w:sz="4" w:space="0" w:color="auto"/>
              <w:right w:val="single" w:sz="4" w:space="0" w:color="auto"/>
            </w:tcBorders>
          </w:tcPr>
          <w:p w14:paraId="4F023345" w14:textId="77777777" w:rsidR="008B1C85" w:rsidRPr="00CC0824" w:rsidRDefault="008B1C85" w:rsidP="008B1C85">
            <w:pPr>
              <w:pStyle w:val="Tabletext"/>
              <w:rPr>
                <w:rFonts w:cstheme="minorHAnsi"/>
              </w:rPr>
            </w:pPr>
            <w:r w:rsidRPr="00CC0824">
              <w:rPr>
                <w:rFonts w:cstheme="minorHAnsi"/>
              </w:rPr>
              <w:t>In children (under 5 and 5-12 years of age) with asthma, what is the best method for monitoring their asthma control?</w:t>
            </w:r>
          </w:p>
          <w:p w14:paraId="2275C505" w14:textId="77777777" w:rsidR="008B1C85" w:rsidRPr="00CC0824" w:rsidRDefault="008B1C85" w:rsidP="0099709F">
            <w:pPr>
              <w:pStyle w:val="Tablebullet"/>
            </w:pPr>
            <w:r w:rsidRPr="00CC0824">
              <w:t>symptom scores</w:t>
            </w:r>
          </w:p>
          <w:p w14:paraId="1B141A53" w14:textId="77777777" w:rsidR="008B1C85" w:rsidRPr="00CC0824" w:rsidRDefault="008B1C85" w:rsidP="0099709F">
            <w:pPr>
              <w:pStyle w:val="Tablebullet"/>
            </w:pPr>
            <w:r w:rsidRPr="00CC0824">
              <w:t>lung function tests (e.g. spirometry, impulse oscillometry, airway resistance)</w:t>
            </w:r>
          </w:p>
          <w:p w14:paraId="6D429CE5" w14:textId="77777777" w:rsidR="008B1C85" w:rsidRPr="00CC0824" w:rsidRDefault="008B1C85" w:rsidP="0099709F">
            <w:pPr>
              <w:pStyle w:val="Tablebullet"/>
            </w:pPr>
            <w:r w:rsidRPr="00CC0824">
              <w:t>bronchial reactivity/airway challenge (e.g. methacholine, histamine,</w:t>
            </w:r>
            <w:r w:rsidRPr="00CC0824" w:rsidDel="001C619E">
              <w:t xml:space="preserve"> </w:t>
            </w:r>
            <w:r w:rsidRPr="00CC0824">
              <w:t>adenosine, cold air, etc)</w:t>
            </w:r>
          </w:p>
          <w:p w14:paraId="2F89E69E" w14:textId="77777777" w:rsidR="008B1C85" w:rsidRPr="00CC0824" w:rsidRDefault="008B1C85" w:rsidP="0099709F">
            <w:pPr>
              <w:pStyle w:val="Tablebullet"/>
            </w:pPr>
            <w:r w:rsidRPr="00CC0824">
              <w:t>exhaled nitric oxide</w:t>
            </w:r>
          </w:p>
          <w:p w14:paraId="586104C1" w14:textId="77777777" w:rsidR="008B1C85" w:rsidRPr="00CC0824" w:rsidRDefault="008B1C85" w:rsidP="0099709F">
            <w:pPr>
              <w:pStyle w:val="Tablebullet"/>
            </w:pPr>
            <w:r w:rsidRPr="00CC0824">
              <w:t>sputum eosinophilia</w:t>
            </w:r>
          </w:p>
          <w:p w14:paraId="1D003349" w14:textId="77777777" w:rsidR="008B1C85" w:rsidRPr="00CC0824" w:rsidRDefault="008B1C85" w:rsidP="0099709F">
            <w:pPr>
              <w:pStyle w:val="Tablebullet"/>
            </w:pPr>
            <w:r w:rsidRPr="00CC0824">
              <w:t>endobronchial biopsy</w:t>
            </w:r>
          </w:p>
          <w:p w14:paraId="2BBC42D3" w14:textId="77777777" w:rsidR="008B1C85" w:rsidRPr="00CC0824" w:rsidRDefault="008B1C85" w:rsidP="0099709F">
            <w:pPr>
              <w:pStyle w:val="Tablebullet"/>
            </w:pPr>
            <w:r w:rsidRPr="00CC0824">
              <w:t>exhaled breath condensate</w:t>
            </w:r>
          </w:p>
          <w:p w14:paraId="705C612E" w14:textId="77777777" w:rsidR="008B1C85" w:rsidRPr="00CC0824" w:rsidRDefault="008B1C85" w:rsidP="0099709F">
            <w:pPr>
              <w:pStyle w:val="Tablebullet"/>
            </w:pPr>
            <w:r w:rsidRPr="00CC0824">
              <w:t>urinary metabolites (LT4, ECP)</w:t>
            </w:r>
          </w:p>
          <w:p w14:paraId="23091B52" w14:textId="77777777" w:rsidR="008B1C85" w:rsidRPr="00CC0824" w:rsidRDefault="008B1C85" w:rsidP="0099709F">
            <w:pPr>
              <w:pStyle w:val="Tablebullet"/>
            </w:pPr>
            <w:r w:rsidRPr="00CC0824">
              <w:t>combinations of the above</w:t>
            </w:r>
          </w:p>
        </w:tc>
      </w:tr>
      <w:tr w:rsidR="008B1C85" w14:paraId="1C3E0A3E" w14:textId="77777777" w:rsidTr="008B1C85">
        <w:tc>
          <w:tcPr>
            <w:tcW w:w="9061" w:type="dxa"/>
            <w:tcBorders>
              <w:top w:val="single" w:sz="4" w:space="0" w:color="auto"/>
              <w:left w:val="single" w:sz="4" w:space="0" w:color="auto"/>
              <w:bottom w:val="single" w:sz="4" w:space="0" w:color="auto"/>
              <w:right w:val="single" w:sz="4" w:space="0" w:color="auto"/>
            </w:tcBorders>
          </w:tcPr>
          <w:p w14:paraId="0D6E6919" w14:textId="77777777" w:rsidR="008B1C85" w:rsidRPr="00CC0824" w:rsidRDefault="008B1C85" w:rsidP="008B1C85">
            <w:pPr>
              <w:pStyle w:val="Tabletext"/>
              <w:rPr>
                <w:rFonts w:cstheme="minorHAnsi"/>
              </w:rPr>
            </w:pPr>
            <w:r w:rsidRPr="00CC0824">
              <w:rPr>
                <w:rFonts w:cstheme="minorHAnsi"/>
              </w:rPr>
              <w:t>In adults (&gt; 12 years), what are the most effective objective tests for diagnosing reversible airway disease including airway disease that will respond to bronchodilators?</w:t>
            </w:r>
          </w:p>
          <w:p w14:paraId="5FC28D37" w14:textId="77777777" w:rsidR="008B1C85" w:rsidRPr="00CC0824" w:rsidRDefault="008B1C85" w:rsidP="0099709F">
            <w:pPr>
              <w:pStyle w:val="Tablebullet"/>
            </w:pPr>
            <w:r w:rsidRPr="00CC0824">
              <w:t>peak expiratory flow variability (amplitude % mean)</w:t>
            </w:r>
          </w:p>
          <w:p w14:paraId="45B06C78" w14:textId="77777777" w:rsidR="008B1C85" w:rsidRPr="00CC0824" w:rsidRDefault="008B1C85" w:rsidP="0099709F">
            <w:pPr>
              <w:pStyle w:val="Tablebullet"/>
            </w:pPr>
            <w:r w:rsidRPr="00CC0824">
              <w:t>bronchodilator response (using PEF, FEV</w:t>
            </w:r>
            <w:r w:rsidRPr="00CC0824">
              <w:rPr>
                <w:vertAlign w:val="subscript"/>
              </w:rPr>
              <w:t>1</w:t>
            </w:r>
            <w:r w:rsidRPr="00CC0824">
              <w:t xml:space="preserve"> and other lung function tests).</w:t>
            </w:r>
          </w:p>
        </w:tc>
      </w:tr>
      <w:tr w:rsidR="008B1C85" w14:paraId="36EFDD69" w14:textId="77777777" w:rsidTr="008B1C85">
        <w:tc>
          <w:tcPr>
            <w:tcW w:w="9061" w:type="dxa"/>
            <w:tcBorders>
              <w:top w:val="single" w:sz="4" w:space="0" w:color="auto"/>
              <w:left w:val="single" w:sz="4" w:space="0" w:color="auto"/>
              <w:bottom w:val="single" w:sz="4" w:space="0" w:color="auto"/>
              <w:right w:val="single" w:sz="4" w:space="0" w:color="auto"/>
            </w:tcBorders>
          </w:tcPr>
          <w:p w14:paraId="131BAD6A" w14:textId="77777777" w:rsidR="008B1C85" w:rsidRPr="00CC0824" w:rsidRDefault="008B1C85" w:rsidP="008B1C85">
            <w:pPr>
              <w:pStyle w:val="Tabletext"/>
              <w:rPr>
                <w:rFonts w:cstheme="minorHAnsi"/>
              </w:rPr>
            </w:pPr>
            <w:r w:rsidRPr="00CC0824">
              <w:rPr>
                <w:rFonts w:cstheme="minorHAnsi"/>
              </w:rPr>
              <w:t>In adults (&gt; 12 years), what are the most effective objective tests for diagnosing airway disease that will respond to inhaled corticosteroids?</w:t>
            </w:r>
          </w:p>
          <w:p w14:paraId="27D87A86" w14:textId="77777777" w:rsidR="008B1C85" w:rsidRPr="00CC0824" w:rsidRDefault="008B1C85" w:rsidP="0099709F">
            <w:pPr>
              <w:pStyle w:val="Tablebullet"/>
            </w:pPr>
            <w:r w:rsidRPr="00CC0824">
              <w:t>exhaled nitric oxide</w:t>
            </w:r>
          </w:p>
          <w:p w14:paraId="36E1374E" w14:textId="77777777" w:rsidR="008B1C85" w:rsidRPr="00CC0824" w:rsidRDefault="008B1C85" w:rsidP="0099709F">
            <w:pPr>
              <w:pStyle w:val="Tablebullet"/>
            </w:pPr>
            <w:r w:rsidRPr="00CC0824">
              <w:t>induced sputum eosinophil count</w:t>
            </w:r>
          </w:p>
          <w:p w14:paraId="79136FE4" w14:textId="77777777" w:rsidR="008B1C85" w:rsidRPr="00CC0824" w:rsidRDefault="008B1C85" w:rsidP="0099709F">
            <w:pPr>
              <w:pStyle w:val="Tablebullet"/>
            </w:pPr>
            <w:r w:rsidRPr="00CC0824">
              <w:t>airway responsiveness to methacholine, exercise, and indirect challenges such as mannitol and AMP</w:t>
            </w:r>
          </w:p>
          <w:p w14:paraId="79B885BF" w14:textId="77777777" w:rsidR="008B1C85" w:rsidRPr="00CC0824" w:rsidRDefault="008B1C85" w:rsidP="0099709F">
            <w:pPr>
              <w:pStyle w:val="Tablebullet"/>
            </w:pPr>
            <w:r w:rsidRPr="00CC0824">
              <w:t>lung function tests (PEF, FEV</w:t>
            </w:r>
            <w:r w:rsidRPr="00CC0824">
              <w:rPr>
                <w:vertAlign w:val="subscript"/>
              </w:rPr>
              <w:t>1</w:t>
            </w:r>
            <w:r w:rsidRPr="00CC0824">
              <w:t>; home based, lab based).</w:t>
            </w:r>
          </w:p>
        </w:tc>
      </w:tr>
      <w:tr w:rsidR="008B1C85" w14:paraId="4CC83694" w14:textId="77777777" w:rsidTr="008B1C85">
        <w:tc>
          <w:tcPr>
            <w:tcW w:w="9061" w:type="dxa"/>
            <w:tcBorders>
              <w:top w:val="single" w:sz="4" w:space="0" w:color="auto"/>
              <w:left w:val="single" w:sz="4" w:space="0" w:color="auto"/>
              <w:bottom w:val="single" w:sz="4" w:space="0" w:color="auto"/>
              <w:right w:val="single" w:sz="4" w:space="0" w:color="auto"/>
            </w:tcBorders>
          </w:tcPr>
          <w:p w14:paraId="2B0DC3B6" w14:textId="77777777" w:rsidR="008B1C85" w:rsidRPr="00CC0824" w:rsidRDefault="008B1C85" w:rsidP="008B1C85">
            <w:pPr>
              <w:pStyle w:val="Tabletext"/>
              <w:rPr>
                <w:rFonts w:cstheme="minorHAnsi"/>
              </w:rPr>
            </w:pPr>
            <w:r w:rsidRPr="00CC0824">
              <w:rPr>
                <w:rFonts w:cstheme="minorHAnsi"/>
              </w:rPr>
              <w:t>In adults (&gt; 12 years) with asthma, what is the best method for monitoring their asthma control?</w:t>
            </w:r>
          </w:p>
          <w:p w14:paraId="4A19EA4B" w14:textId="77777777" w:rsidR="008B1C85" w:rsidRPr="00CC0824" w:rsidRDefault="008B1C85" w:rsidP="0099709F">
            <w:pPr>
              <w:pStyle w:val="Tablebullet"/>
            </w:pPr>
            <w:r w:rsidRPr="00CC0824">
              <w:t>symptom scores</w:t>
            </w:r>
          </w:p>
          <w:p w14:paraId="5F3E1C88" w14:textId="77777777" w:rsidR="008B1C85" w:rsidRPr="00CC0824" w:rsidRDefault="008B1C85" w:rsidP="0099709F">
            <w:pPr>
              <w:pStyle w:val="Tablebullet"/>
            </w:pPr>
            <w:r w:rsidRPr="00CC0824">
              <w:t>lung function tests</w:t>
            </w:r>
          </w:p>
          <w:p w14:paraId="6CD96CB6" w14:textId="77777777" w:rsidR="008B1C85" w:rsidRPr="00CC0824" w:rsidRDefault="008B1C85" w:rsidP="0099709F">
            <w:pPr>
              <w:pStyle w:val="Tablebullet"/>
            </w:pPr>
            <w:r w:rsidRPr="00CC0824">
              <w:t>exhaled nitric oxide</w:t>
            </w:r>
          </w:p>
          <w:p w14:paraId="6C2C841E" w14:textId="77777777" w:rsidR="008B1C85" w:rsidRPr="00CC0824" w:rsidRDefault="008B1C85" w:rsidP="0099709F">
            <w:pPr>
              <w:pStyle w:val="Tablebullet"/>
            </w:pPr>
            <w:r w:rsidRPr="00CC0824">
              <w:t>sputum eosinophilia</w:t>
            </w:r>
          </w:p>
          <w:p w14:paraId="02D55270" w14:textId="77777777" w:rsidR="008B1C85" w:rsidRPr="00CC0824" w:rsidRDefault="008B1C85" w:rsidP="0099709F">
            <w:pPr>
              <w:pStyle w:val="Tablebullet"/>
            </w:pPr>
            <w:r w:rsidRPr="00CC0824">
              <w:t>endobronchial biopsy</w:t>
            </w:r>
          </w:p>
        </w:tc>
      </w:tr>
    </w:tbl>
    <w:p w14:paraId="37E2A5D5" w14:textId="77777777" w:rsidR="008B1C85" w:rsidRDefault="008B1C85" w:rsidP="008B1C85">
      <w:pPr>
        <w:pStyle w:val="09Tablefootnoteslast-nostick"/>
      </w:pPr>
      <w:r>
        <w:t xml:space="preserve">Abbreviations: </w:t>
      </w:r>
      <w:r w:rsidRPr="00582455">
        <w:t>AMP;</w:t>
      </w:r>
      <w:r>
        <w:t xml:space="preserve"> adenosine 5’-diphosphate;</w:t>
      </w:r>
      <w:r w:rsidRPr="00582455">
        <w:t xml:space="preserve"> </w:t>
      </w:r>
      <w:r>
        <w:t xml:space="preserve">BTS, British Thoracic Society; </w:t>
      </w:r>
      <w:r w:rsidRPr="00582455">
        <w:t>ECP;</w:t>
      </w:r>
      <w:r>
        <w:t xml:space="preserve"> eosinophil cationic protein;</w:t>
      </w:r>
      <w:r w:rsidRPr="00582455">
        <w:t xml:space="preserve"> FEV</w:t>
      </w:r>
      <w:r w:rsidRPr="00582455">
        <w:rPr>
          <w:vertAlign w:val="subscript"/>
        </w:rPr>
        <w:t>1</w:t>
      </w:r>
      <w:r w:rsidRPr="00582455">
        <w:t xml:space="preserve">; </w:t>
      </w:r>
      <w:r>
        <w:t>forced expiratory volume in 1 second;</w:t>
      </w:r>
      <w:r w:rsidRPr="00582455">
        <w:t xml:space="preserve"> LT4</w:t>
      </w:r>
      <w:r>
        <w:t>, levothyroxine;</w:t>
      </w:r>
      <w:r w:rsidRPr="00582455">
        <w:t xml:space="preserve"> PEF;</w:t>
      </w:r>
      <w:r>
        <w:t xml:space="preserve"> peak expiratory flow; SIGN, Scottish Intercollegiate Guidelines Network.</w:t>
      </w:r>
    </w:p>
    <w:p w14:paraId="0D00B399" w14:textId="77777777" w:rsidR="003229CC" w:rsidRDefault="003229CC">
      <w:pPr>
        <w:spacing w:before="0" w:after="0" w:line="240" w:lineRule="auto"/>
        <w:rPr>
          <w:rFonts w:ascii="Cambria" w:eastAsiaTheme="minorHAnsi" w:hAnsi="Cambria" w:cs="Arial"/>
          <w:bCs/>
          <w:i/>
          <w:color w:val="365F91" w:themeColor="accent1" w:themeShade="BF"/>
          <w:kern w:val="32"/>
          <w:szCs w:val="28"/>
          <w:lang w:val="en-US" w:eastAsia="en-US"/>
        </w:rPr>
      </w:pPr>
      <w:r>
        <w:br w:type="page"/>
      </w:r>
    </w:p>
    <w:p w14:paraId="6EF6B88A" w14:textId="77777777" w:rsidR="008B1C85" w:rsidRDefault="00E42D4A" w:rsidP="00FB09E2">
      <w:pPr>
        <w:pStyle w:val="AttHeading1"/>
      </w:pPr>
      <w:r>
        <w:lastRenderedPageBreak/>
        <w:t xml:space="preserve">Appendix 10 </w:t>
      </w:r>
      <w:r w:rsidR="008B1C85">
        <w:t>Direct costs of the performance of spirometry</w:t>
      </w:r>
      <w:bookmarkEnd w:id="392"/>
    </w:p>
    <w:p w14:paraId="0A127CAC" w14:textId="77777777" w:rsidR="008B1C85" w:rsidRPr="00CC0824" w:rsidRDefault="00E42D4A" w:rsidP="00FB09E2">
      <w:pPr>
        <w:pStyle w:val="AttHeading2"/>
      </w:pPr>
      <w:bookmarkStart w:id="407" w:name="_Ref442799863"/>
      <w:r>
        <w:t xml:space="preserve">Appendix 10.1 </w:t>
      </w:r>
      <w:r w:rsidR="008B1C85" w:rsidRPr="00CC0824">
        <w:t>Australian Evidence</w:t>
      </w:r>
      <w:bookmarkEnd w:id="407"/>
    </w:p>
    <w:p w14:paraId="024593C0" w14:textId="77777777" w:rsidR="008B1C85" w:rsidRPr="00FE05D1" w:rsidRDefault="008B1C85" w:rsidP="008B1C85">
      <w:r w:rsidRPr="00FE05D1">
        <w:t>A systematic review from the APHCRI (Cranston et al, 2006) estimated the direct costs of the performance of spirometry in primary care in South Australia. The estimates took into consideration the cost of the clinical equipment, the cost of GP or practice nurse test time, the cost of reporting the test, together with the number of tests performed during the effective useful clinical lifetime of the equipment. The following assumptions were made:</w:t>
      </w:r>
    </w:p>
    <w:p w14:paraId="4241E83E" w14:textId="77777777" w:rsidR="008B1C85" w:rsidRPr="0099709F" w:rsidRDefault="008B1C85" w:rsidP="009E6EE1">
      <w:pPr>
        <w:pStyle w:val="ListParagraph"/>
        <w:numPr>
          <w:ilvl w:val="0"/>
          <w:numId w:val="8"/>
        </w:numPr>
      </w:pPr>
      <w:r w:rsidRPr="008B69C7">
        <w:t>the costs are based on performance of spirometry according to the Australian COPD-X Plan (</w:t>
      </w:r>
      <w:r w:rsidRPr="0099709F">
        <w:t>McKenzie et al, 2003);</w:t>
      </w:r>
    </w:p>
    <w:p w14:paraId="757774E7" w14:textId="77777777" w:rsidR="008B1C85" w:rsidRDefault="008B1C85" w:rsidP="009E6EE1">
      <w:pPr>
        <w:pStyle w:val="ListParagraph"/>
        <w:numPr>
          <w:ilvl w:val="0"/>
          <w:numId w:val="8"/>
        </w:numPr>
      </w:pPr>
      <w:r w:rsidRPr="0099709F">
        <w:t>calculations were made assuming two patients per day or 500 patients per year undergo spirometry</w:t>
      </w:r>
      <w:r>
        <w:t xml:space="preserve"> testing and a useful clinical life of the equipment of five years;</w:t>
      </w:r>
    </w:p>
    <w:p w14:paraId="02CCC5B9" w14:textId="77777777" w:rsidR="008B1C85" w:rsidRDefault="008B1C85" w:rsidP="009E6EE1">
      <w:pPr>
        <w:pStyle w:val="ListParagraph"/>
        <w:numPr>
          <w:ilvl w:val="0"/>
          <w:numId w:val="8"/>
        </w:numPr>
      </w:pPr>
      <w:r>
        <w:t xml:space="preserve">the total cost represents the </w:t>
      </w:r>
      <w:r w:rsidRPr="00CC0824">
        <w:rPr>
          <w:u w:val="single"/>
        </w:rPr>
        <w:t>minimum</w:t>
      </w:r>
      <w:r>
        <w:t xml:space="preserve"> cost of spirometry, based on a total test time of 23 minutes (4 minutes pre-bronchodilator test time, 15 minutes between pre- and post-bronchodilator tests, and 4 minutes post-bronchodilator test time);</w:t>
      </w:r>
    </w:p>
    <w:p w14:paraId="04C9EACE" w14:textId="77777777" w:rsidR="008B1C85" w:rsidRDefault="008B1C85" w:rsidP="009E6EE1">
      <w:pPr>
        <w:pStyle w:val="ListParagraph"/>
        <w:numPr>
          <w:ilvl w:val="0"/>
          <w:numId w:val="8"/>
        </w:numPr>
      </w:pPr>
      <w:r>
        <w:t>additional time must be allowed for preparation, including priming of the spacer in diluted detergent, clean-up, interpretation of test results and reporting;</w:t>
      </w:r>
    </w:p>
    <w:p w14:paraId="514194D6" w14:textId="77777777" w:rsidR="008B1C85" w:rsidRDefault="008B1C85" w:rsidP="009E6EE1">
      <w:pPr>
        <w:pStyle w:val="ListParagraph"/>
        <w:numPr>
          <w:ilvl w:val="0"/>
          <w:numId w:val="8"/>
        </w:numPr>
      </w:pPr>
      <w:r>
        <w:t>no maintenance or calibration time is required for the type of spirometer costed, although other spirometers may require regular maintenance;</w:t>
      </w:r>
    </w:p>
    <w:p w14:paraId="5BF7C8D2" w14:textId="77777777" w:rsidR="008B1C85" w:rsidRDefault="008B1C85" w:rsidP="009E6EE1">
      <w:pPr>
        <w:pStyle w:val="ListParagraph"/>
        <w:numPr>
          <w:ilvl w:val="0"/>
          <w:numId w:val="8"/>
        </w:numPr>
      </w:pPr>
      <w:r>
        <w:t xml:space="preserve">the cost of four metered-dose inhaler actuations (400 micrograms) of salbutamol, to assess bronchodilator response, is included </w:t>
      </w:r>
      <w:r w:rsidRPr="0014257F">
        <w:t>(McKenzie et al, 2003)</w:t>
      </w:r>
      <w:r>
        <w:t>;</w:t>
      </w:r>
    </w:p>
    <w:p w14:paraId="4BE01135" w14:textId="77777777" w:rsidR="008B1C85" w:rsidRDefault="008B1C85" w:rsidP="009E6EE1">
      <w:pPr>
        <w:pStyle w:val="ListParagraph"/>
        <w:numPr>
          <w:ilvl w:val="0"/>
          <w:numId w:val="8"/>
        </w:numPr>
      </w:pPr>
      <w:r>
        <w:t>attendance, by the GP or practice nurse, at a spirometry training course is essential for the performance of clinically useful spirometry and interpretation of the results.</w:t>
      </w:r>
    </w:p>
    <w:p w14:paraId="6E00EDD3" w14:textId="77777777" w:rsidR="008B1C85" w:rsidRDefault="008B1C85" w:rsidP="000A5A36">
      <w:r>
        <w:t xml:space="preserve">Cranston and colleagues assumed a test time of 4 minutes, which was </w:t>
      </w:r>
      <w:r w:rsidRPr="00DF522E">
        <w:t>taken from a cross-sectional study from general practices in the Netherlands (van Schayck et al, 2002). An allo</w:t>
      </w:r>
      <w:r>
        <w:t>wance of 4 minutes for three acceptable spirometric manoeuvres represents the time taken if all variables are optimal, and would underestimate test time in sub-optimal situations, such as poor reproducibility, poor exhalation, cough or the patient unwilling or unable to cooperate with the performance of the t</w:t>
      </w:r>
      <w:r w:rsidRPr="00A54F14">
        <w:t xml:space="preserve">est. </w:t>
      </w:r>
      <w:r w:rsidRPr="002409E5">
        <w:t>An Italian RCT evaluating office spirometry in standard general practice reported that the average time required to instruct patients for spirometry was 5.6 ± 3.1 minutes and the performance of spirometry took an average 6.4 ± 3.5 minutes (Lusuardi et al, 2006).</w:t>
      </w:r>
    </w:p>
    <w:p w14:paraId="34B0B41C" w14:textId="77777777" w:rsidR="008B1C85" w:rsidRDefault="008B1C85" w:rsidP="000A5A36">
      <w:r>
        <w:t xml:space="preserve">The COPD-X Plan advocates reversibility testing 15 to 30 minutes after bronchodilator is given </w:t>
      </w:r>
      <w:r w:rsidRPr="0014257F">
        <w:t>(McKenzie et al, 2003)</w:t>
      </w:r>
      <w:r>
        <w:t>. Cranston and colleagues assumed a minimal time allowance of 15 minutes between pre- and post-bronchodilator testing.</w:t>
      </w:r>
    </w:p>
    <w:p w14:paraId="79FA64C5" w14:textId="77777777" w:rsidR="008B1C85" w:rsidRDefault="008B1C85" w:rsidP="000A5A36">
      <w:r>
        <w:t xml:space="preserve">A training time of 6 hours or 1 day (attendance at one spirometry training course) was included in the costs, assuming practice staff perform 500 spirometric tests per year over a five-year period. Practice staff performing fewer spirometry tests may require attendance at a refresher course, which would </w:t>
      </w:r>
      <w:r>
        <w:lastRenderedPageBreak/>
        <w:t>increase total cost. However, the cost of spirometry training may be covered by external sources such as the National Asthma Council Australia, or through pharmaceutical or medical equipment companies.</w:t>
      </w:r>
    </w:p>
    <w:p w14:paraId="15F8C82A" w14:textId="77777777" w:rsidR="008B1C85" w:rsidRDefault="008B1C85" w:rsidP="000A5A36">
      <w:r>
        <w:t xml:space="preserve">An estimate of the costs of spirometric testing, including response to inhalation of bronchodilator and according to whether the test is performed by a GP or a practice nurse, is provided in Table A-10.1. </w:t>
      </w:r>
      <w:r w:rsidRPr="0014257F">
        <w:t>The</w:t>
      </w:r>
      <w:r>
        <w:t xml:space="preserve"> authors noted that majority of the costs described are variable costs and are approximates only.</w:t>
      </w:r>
    </w:p>
    <w:p w14:paraId="0423AAA2" w14:textId="77777777" w:rsidR="008B1C85" w:rsidRDefault="008B1C85" w:rsidP="008B1C85">
      <w:pPr>
        <w:pStyle w:val="Caption"/>
        <w:sectPr w:rsidR="008B1C85" w:rsidSect="008B1C85">
          <w:headerReference w:type="default" r:id="rId36"/>
          <w:footerReference w:type="default" r:id="rId37"/>
          <w:pgSz w:w="11906" w:h="16838" w:code="9"/>
          <w:pgMar w:top="1134" w:right="1134" w:bottom="1701" w:left="1701" w:header="567" w:footer="567" w:gutter="0"/>
          <w:cols w:space="708"/>
          <w:docGrid w:linePitch="360"/>
        </w:sectPr>
      </w:pPr>
      <w:bookmarkStart w:id="408" w:name="_Ref442801404"/>
    </w:p>
    <w:bookmarkEnd w:id="408"/>
    <w:p w14:paraId="6755C53E" w14:textId="77777777" w:rsidR="008B1C85" w:rsidRDefault="008B1C85" w:rsidP="00DF3A06">
      <w:pPr>
        <w:pStyle w:val="Appcaption"/>
      </w:pPr>
      <w:r>
        <w:lastRenderedPageBreak/>
        <w:t>Table A-10.1</w:t>
      </w:r>
      <w:r>
        <w:tab/>
        <w:t>Estimated direct costs of performing spirometry in primary care in South Australia – Cranston (2006), updated to reflect current costs</w:t>
      </w:r>
    </w:p>
    <w:tbl>
      <w:tblPr>
        <w:tblStyle w:val="TableGrid"/>
        <w:tblW w:w="5000" w:type="pct"/>
        <w:tblLook w:val="04A0" w:firstRow="1" w:lastRow="0" w:firstColumn="1" w:lastColumn="0" w:noHBand="0" w:noVBand="1"/>
        <w:tblCaption w:val="Estimated direct costs of performing spirometry in primary care in South Australia "/>
        <w:tblDescription w:val="Data from Cranston (2006), updated to reflect current costs."/>
      </w:tblPr>
      <w:tblGrid>
        <w:gridCol w:w="2096"/>
        <w:gridCol w:w="1948"/>
        <w:gridCol w:w="1097"/>
        <w:gridCol w:w="1097"/>
        <w:gridCol w:w="2941"/>
        <w:gridCol w:w="2659"/>
        <w:gridCol w:w="1100"/>
        <w:gridCol w:w="1055"/>
      </w:tblGrid>
      <w:tr w:rsidR="009A75FC" w:rsidRPr="00781792" w14:paraId="40953644" w14:textId="77777777" w:rsidTr="008A4CE9">
        <w:trPr>
          <w:tblHeader/>
        </w:trPr>
        <w:tc>
          <w:tcPr>
            <w:tcW w:w="749" w:type="pct"/>
            <w:tcBorders>
              <w:top w:val="single" w:sz="4" w:space="0" w:color="auto"/>
              <w:left w:val="single" w:sz="4" w:space="0" w:color="auto"/>
              <w:bottom w:val="single" w:sz="4" w:space="0" w:color="auto"/>
              <w:right w:val="single" w:sz="4" w:space="0" w:color="auto"/>
            </w:tcBorders>
          </w:tcPr>
          <w:p w14:paraId="607CC4CC" w14:textId="77777777" w:rsidR="009A75FC" w:rsidRPr="009A75FC" w:rsidRDefault="009A75FC" w:rsidP="00DC29AA">
            <w:pPr>
              <w:pStyle w:val="Tableheading"/>
            </w:pPr>
            <w:r w:rsidRPr="009A75FC">
              <w:t>Item</w:t>
            </w:r>
          </w:p>
        </w:tc>
        <w:tc>
          <w:tcPr>
            <w:tcW w:w="696" w:type="pct"/>
            <w:tcBorders>
              <w:top w:val="single" w:sz="4" w:space="0" w:color="auto"/>
              <w:left w:val="single" w:sz="4" w:space="0" w:color="auto"/>
              <w:bottom w:val="single" w:sz="4" w:space="0" w:color="auto"/>
              <w:right w:val="single" w:sz="4" w:space="0" w:color="auto"/>
            </w:tcBorders>
          </w:tcPr>
          <w:p w14:paraId="2D96A7D1" w14:textId="77777777" w:rsidR="009A75FC" w:rsidRPr="009A75FC" w:rsidRDefault="009A75FC" w:rsidP="00DC29AA">
            <w:pPr>
              <w:pStyle w:val="Tableheading"/>
            </w:pPr>
            <w:r w:rsidRPr="009A75FC">
              <w:t>Item details – Cranston (2006)</w:t>
            </w:r>
          </w:p>
        </w:tc>
        <w:tc>
          <w:tcPr>
            <w:tcW w:w="392" w:type="pct"/>
            <w:tcBorders>
              <w:top w:val="single" w:sz="4" w:space="0" w:color="auto"/>
              <w:left w:val="single" w:sz="4" w:space="0" w:color="auto"/>
              <w:bottom w:val="single" w:sz="4" w:space="0" w:color="auto"/>
              <w:right w:val="single" w:sz="4" w:space="0" w:color="auto"/>
            </w:tcBorders>
          </w:tcPr>
          <w:p w14:paraId="07B0D160" w14:textId="77777777" w:rsidR="009A75FC" w:rsidRPr="009A75FC" w:rsidRDefault="009A75FC" w:rsidP="00DC29AA">
            <w:pPr>
              <w:pStyle w:val="Tableheading"/>
            </w:pPr>
            <w:r w:rsidRPr="009A75FC">
              <w:t xml:space="preserve">Cost per test (2006) – PN </w:t>
            </w:r>
          </w:p>
        </w:tc>
        <w:tc>
          <w:tcPr>
            <w:tcW w:w="392" w:type="pct"/>
            <w:tcBorders>
              <w:top w:val="single" w:sz="4" w:space="0" w:color="auto"/>
              <w:left w:val="single" w:sz="4" w:space="0" w:color="auto"/>
              <w:bottom w:val="single" w:sz="4" w:space="0" w:color="auto"/>
              <w:right w:val="single" w:sz="4" w:space="0" w:color="auto"/>
            </w:tcBorders>
          </w:tcPr>
          <w:p w14:paraId="255CF830" w14:textId="77777777" w:rsidR="009A75FC" w:rsidRPr="009A75FC" w:rsidRDefault="009A75FC" w:rsidP="00DC29AA">
            <w:pPr>
              <w:pStyle w:val="Tableheading"/>
            </w:pPr>
            <w:r w:rsidRPr="009A75FC">
              <w:t xml:space="preserve">Cost per test (2006) –GP </w:t>
            </w:r>
          </w:p>
        </w:tc>
        <w:tc>
          <w:tcPr>
            <w:tcW w:w="1051" w:type="pct"/>
            <w:tcBorders>
              <w:top w:val="single" w:sz="4" w:space="0" w:color="auto"/>
              <w:left w:val="single" w:sz="4" w:space="0" w:color="auto"/>
              <w:bottom w:val="single" w:sz="4" w:space="0" w:color="auto"/>
              <w:right w:val="single" w:sz="4" w:space="0" w:color="auto"/>
            </w:tcBorders>
          </w:tcPr>
          <w:p w14:paraId="7AAA18A2" w14:textId="77777777" w:rsidR="009A75FC" w:rsidRPr="009A75FC" w:rsidRDefault="009A75FC" w:rsidP="00DC29AA">
            <w:pPr>
              <w:pStyle w:val="Tableheading"/>
            </w:pPr>
            <w:r w:rsidRPr="009A75FC">
              <w:t>Item details - 2015</w:t>
            </w:r>
          </w:p>
        </w:tc>
        <w:tc>
          <w:tcPr>
            <w:tcW w:w="950" w:type="pct"/>
            <w:tcBorders>
              <w:top w:val="single" w:sz="4" w:space="0" w:color="auto"/>
              <w:left w:val="single" w:sz="4" w:space="0" w:color="auto"/>
              <w:bottom w:val="single" w:sz="4" w:space="0" w:color="auto"/>
              <w:right w:val="single" w:sz="4" w:space="0" w:color="auto"/>
            </w:tcBorders>
          </w:tcPr>
          <w:p w14:paraId="6A7FFED4" w14:textId="77777777" w:rsidR="009A75FC" w:rsidRPr="00DC29AA" w:rsidRDefault="009A75FC" w:rsidP="00DC29AA">
            <w:pPr>
              <w:pStyle w:val="Tableheading"/>
            </w:pPr>
            <w:r w:rsidRPr="00DC29AA">
              <w:t>Source</w:t>
            </w:r>
          </w:p>
        </w:tc>
        <w:tc>
          <w:tcPr>
            <w:tcW w:w="393" w:type="pct"/>
            <w:tcBorders>
              <w:top w:val="single" w:sz="4" w:space="0" w:color="auto"/>
              <w:left w:val="single" w:sz="4" w:space="0" w:color="auto"/>
              <w:bottom w:val="single" w:sz="4" w:space="0" w:color="auto"/>
              <w:right w:val="single" w:sz="4" w:space="0" w:color="auto"/>
            </w:tcBorders>
          </w:tcPr>
          <w:p w14:paraId="4B5FEE25" w14:textId="77777777" w:rsidR="009A75FC" w:rsidRPr="009A75FC" w:rsidRDefault="009A75FC" w:rsidP="00DC29AA">
            <w:pPr>
              <w:pStyle w:val="Tableheading"/>
            </w:pPr>
            <w:r w:rsidRPr="009A75FC">
              <w:t xml:space="preserve">Cost per test (2015) – PN </w:t>
            </w:r>
          </w:p>
        </w:tc>
        <w:tc>
          <w:tcPr>
            <w:tcW w:w="378" w:type="pct"/>
            <w:tcBorders>
              <w:top w:val="single" w:sz="4" w:space="0" w:color="auto"/>
              <w:left w:val="single" w:sz="4" w:space="0" w:color="auto"/>
              <w:bottom w:val="single" w:sz="4" w:space="0" w:color="auto"/>
              <w:right w:val="single" w:sz="4" w:space="0" w:color="auto"/>
            </w:tcBorders>
          </w:tcPr>
          <w:p w14:paraId="3A3FE732" w14:textId="77777777" w:rsidR="009A75FC" w:rsidRPr="009A75FC" w:rsidRDefault="009A75FC" w:rsidP="00DC29AA">
            <w:pPr>
              <w:pStyle w:val="Tableheading"/>
            </w:pPr>
            <w:r w:rsidRPr="009A75FC">
              <w:t xml:space="preserve">Cost per test (2015) –GP </w:t>
            </w:r>
          </w:p>
        </w:tc>
      </w:tr>
      <w:tr w:rsidR="009A75FC" w14:paraId="4FE4453C" w14:textId="77777777" w:rsidTr="009A75FC">
        <w:tc>
          <w:tcPr>
            <w:tcW w:w="749" w:type="pct"/>
            <w:tcBorders>
              <w:top w:val="single" w:sz="4" w:space="0" w:color="auto"/>
              <w:left w:val="single" w:sz="4" w:space="0" w:color="auto"/>
              <w:bottom w:val="single" w:sz="4" w:space="0" w:color="auto"/>
              <w:right w:val="single" w:sz="4" w:space="0" w:color="auto"/>
            </w:tcBorders>
          </w:tcPr>
          <w:p w14:paraId="374FA505" w14:textId="77777777" w:rsidR="009A75FC" w:rsidRPr="009D2509" w:rsidRDefault="009A75FC" w:rsidP="008B1C85">
            <w:pPr>
              <w:pStyle w:val="Tabletext"/>
            </w:pPr>
            <w:r>
              <w:t>Salary cost: nurse/GP per hour</w:t>
            </w:r>
            <w:r w:rsidRPr="00A84F45">
              <w:rPr>
                <w:vertAlign w:val="superscript"/>
              </w:rPr>
              <w:t>a</w:t>
            </w:r>
          </w:p>
        </w:tc>
        <w:tc>
          <w:tcPr>
            <w:tcW w:w="696" w:type="pct"/>
            <w:tcBorders>
              <w:top w:val="single" w:sz="4" w:space="0" w:color="auto"/>
              <w:left w:val="single" w:sz="4" w:space="0" w:color="auto"/>
              <w:bottom w:val="single" w:sz="4" w:space="0" w:color="auto"/>
              <w:right w:val="single" w:sz="4" w:space="0" w:color="auto"/>
            </w:tcBorders>
          </w:tcPr>
          <w:p w14:paraId="057A9440" w14:textId="77777777" w:rsidR="009A75FC" w:rsidRDefault="009A75FC" w:rsidP="008B1C85">
            <w:pPr>
              <w:pStyle w:val="Tabletext"/>
            </w:pPr>
            <w:r>
              <w:t>$21.60/$125.80</w:t>
            </w:r>
          </w:p>
        </w:tc>
        <w:tc>
          <w:tcPr>
            <w:tcW w:w="392" w:type="pct"/>
            <w:tcBorders>
              <w:top w:val="single" w:sz="4" w:space="0" w:color="auto"/>
              <w:left w:val="single" w:sz="4" w:space="0" w:color="auto"/>
              <w:bottom w:val="single" w:sz="4" w:space="0" w:color="auto"/>
              <w:right w:val="single" w:sz="4" w:space="0" w:color="auto"/>
            </w:tcBorders>
          </w:tcPr>
          <w:p w14:paraId="4A961026" w14:textId="77777777" w:rsidR="009A75FC" w:rsidRDefault="009A75FC" w:rsidP="008B1C85">
            <w:pPr>
              <w:pStyle w:val="Tabletext"/>
              <w:jc w:val="right"/>
            </w:pPr>
            <w:r>
              <w:t>$8.28</w:t>
            </w:r>
          </w:p>
        </w:tc>
        <w:tc>
          <w:tcPr>
            <w:tcW w:w="392" w:type="pct"/>
            <w:tcBorders>
              <w:top w:val="single" w:sz="4" w:space="0" w:color="auto"/>
              <w:left w:val="single" w:sz="4" w:space="0" w:color="auto"/>
              <w:bottom w:val="single" w:sz="4" w:space="0" w:color="auto"/>
              <w:right w:val="single" w:sz="4" w:space="0" w:color="auto"/>
            </w:tcBorders>
          </w:tcPr>
          <w:p w14:paraId="79F664C8" w14:textId="77777777" w:rsidR="009A75FC" w:rsidRDefault="009A75FC" w:rsidP="008B1C85">
            <w:pPr>
              <w:pStyle w:val="Tabletext"/>
              <w:jc w:val="right"/>
            </w:pPr>
            <w:r>
              <w:t>$48.22</w:t>
            </w:r>
          </w:p>
        </w:tc>
        <w:tc>
          <w:tcPr>
            <w:tcW w:w="1051" w:type="pct"/>
            <w:tcBorders>
              <w:top w:val="single" w:sz="4" w:space="0" w:color="auto"/>
              <w:left w:val="single" w:sz="4" w:space="0" w:color="auto"/>
              <w:bottom w:val="single" w:sz="4" w:space="0" w:color="auto"/>
              <w:right w:val="single" w:sz="4" w:space="0" w:color="auto"/>
            </w:tcBorders>
          </w:tcPr>
          <w:p w14:paraId="7C854AD5" w14:textId="77777777" w:rsidR="009A75FC" w:rsidRDefault="009A75FC" w:rsidP="008B1C85">
            <w:pPr>
              <w:pStyle w:val="Tabletext"/>
            </w:pPr>
            <w:r>
              <w:t>$29.20/$170.10 per hour</w:t>
            </w:r>
            <w:r w:rsidRPr="007B5F6B">
              <w:rPr>
                <w:vertAlign w:val="superscript"/>
              </w:rPr>
              <w:t>b</w:t>
            </w:r>
          </w:p>
        </w:tc>
        <w:tc>
          <w:tcPr>
            <w:tcW w:w="950" w:type="pct"/>
            <w:tcBorders>
              <w:top w:val="single" w:sz="4" w:space="0" w:color="auto"/>
              <w:left w:val="single" w:sz="4" w:space="0" w:color="auto"/>
              <w:bottom w:val="single" w:sz="4" w:space="0" w:color="auto"/>
              <w:right w:val="single" w:sz="4" w:space="0" w:color="auto"/>
            </w:tcBorders>
          </w:tcPr>
          <w:p w14:paraId="2094C916" w14:textId="77777777" w:rsidR="009A75FC" w:rsidRPr="00620FD6" w:rsidRDefault="009A75FC" w:rsidP="008B1C85">
            <w:pPr>
              <w:pStyle w:val="Tabletext"/>
              <w:rPr>
                <w:i/>
              </w:rPr>
            </w:pPr>
            <w:r w:rsidRPr="00620FD6">
              <w:rPr>
                <w:i/>
              </w:rPr>
              <w:t>ABS 6345.0 Wage Price Index, Australia</w:t>
            </w:r>
            <w:r w:rsidRPr="00620FD6">
              <w:rPr>
                <w:i/>
                <w:vertAlign w:val="superscript"/>
              </w:rPr>
              <w:t>b</w:t>
            </w:r>
          </w:p>
        </w:tc>
        <w:tc>
          <w:tcPr>
            <w:tcW w:w="393" w:type="pct"/>
            <w:tcBorders>
              <w:top w:val="single" w:sz="4" w:space="0" w:color="auto"/>
              <w:left w:val="single" w:sz="4" w:space="0" w:color="auto"/>
              <w:bottom w:val="single" w:sz="4" w:space="0" w:color="auto"/>
              <w:right w:val="single" w:sz="4" w:space="0" w:color="auto"/>
            </w:tcBorders>
          </w:tcPr>
          <w:p w14:paraId="06F326A4" w14:textId="77777777" w:rsidR="009A75FC" w:rsidRDefault="009A75FC" w:rsidP="008B1C85">
            <w:pPr>
              <w:pStyle w:val="Tabletext"/>
              <w:jc w:val="right"/>
            </w:pPr>
            <w:r w:rsidRPr="003739DF">
              <w:t>$11.19</w:t>
            </w:r>
          </w:p>
        </w:tc>
        <w:tc>
          <w:tcPr>
            <w:tcW w:w="378" w:type="pct"/>
            <w:tcBorders>
              <w:top w:val="single" w:sz="4" w:space="0" w:color="auto"/>
              <w:left w:val="single" w:sz="4" w:space="0" w:color="auto"/>
              <w:bottom w:val="single" w:sz="4" w:space="0" w:color="auto"/>
              <w:right w:val="single" w:sz="4" w:space="0" w:color="auto"/>
            </w:tcBorders>
          </w:tcPr>
          <w:p w14:paraId="391E064B" w14:textId="77777777" w:rsidR="009A75FC" w:rsidRDefault="009A75FC" w:rsidP="008B1C85">
            <w:pPr>
              <w:pStyle w:val="Tabletext"/>
              <w:jc w:val="right"/>
            </w:pPr>
            <w:r w:rsidRPr="003739DF">
              <w:t>$65.21</w:t>
            </w:r>
          </w:p>
        </w:tc>
      </w:tr>
      <w:tr w:rsidR="009A75FC" w14:paraId="4ACB442B" w14:textId="77777777" w:rsidTr="00501E91">
        <w:tc>
          <w:tcPr>
            <w:tcW w:w="749" w:type="pct"/>
            <w:tcBorders>
              <w:top w:val="single" w:sz="4" w:space="0" w:color="auto"/>
              <w:left w:val="single" w:sz="4" w:space="0" w:color="auto"/>
              <w:bottom w:val="single" w:sz="4" w:space="0" w:color="auto"/>
              <w:right w:val="single" w:sz="4" w:space="0" w:color="auto"/>
            </w:tcBorders>
            <w:shd w:val="clear" w:color="auto" w:fill="auto"/>
          </w:tcPr>
          <w:p w14:paraId="0340EE69" w14:textId="77777777" w:rsidR="009A75FC" w:rsidRPr="009D2509" w:rsidRDefault="009A75FC" w:rsidP="008B1C85">
            <w:pPr>
              <w:pStyle w:val="Tabletext"/>
            </w:pPr>
            <w:r>
              <w:t xml:space="preserve">Spirometer </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6D06DCED" w14:textId="77777777" w:rsidR="009A75FC" w:rsidRDefault="009A75FC" w:rsidP="008B1C85">
            <w:pPr>
              <w:pStyle w:val="Tabletext"/>
            </w:pPr>
            <w:r w:rsidRPr="009D2509">
              <w:t>$3,250</w:t>
            </w:r>
            <w:r>
              <w:t xml:space="preserve"> (ndd EasyOne Stand Alone)</w:t>
            </w:r>
            <w:r>
              <w:rPr>
                <w:vertAlign w:val="superscript"/>
              </w:rPr>
              <w:t>c</w:t>
            </w: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3B566570" w14:textId="77777777" w:rsidR="009A75FC" w:rsidRDefault="009A75FC" w:rsidP="008B1C85">
            <w:pPr>
              <w:pStyle w:val="Tabletext"/>
              <w:jc w:val="right"/>
            </w:pPr>
            <w:r>
              <w:t>$1.30</w:t>
            </w: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7C7E5579" w14:textId="77777777" w:rsidR="009A75FC" w:rsidRDefault="009A75FC" w:rsidP="008B1C85">
            <w:pPr>
              <w:pStyle w:val="Tabletext"/>
              <w:jc w:val="right"/>
            </w:pPr>
            <w:r>
              <w:t>$1.30</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15A1F05B" w14:textId="77777777" w:rsidR="009A75FC" w:rsidRDefault="009A75FC" w:rsidP="008B1C85">
            <w:pPr>
              <w:pStyle w:val="Tabletext"/>
            </w:pPr>
            <w:r w:rsidRPr="00DB5F6D">
              <w:t>$3,100 (EasyOne-line)</w:t>
            </w:r>
            <w:r>
              <w:rPr>
                <w:vertAlign w:val="superscript"/>
              </w:rPr>
              <w:t>c</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008E8E08" w14:textId="77777777" w:rsidR="009A75FC" w:rsidRPr="00620FD6" w:rsidRDefault="009A75FC" w:rsidP="008B1C85">
            <w:pPr>
              <w:pStyle w:val="Tabletext"/>
              <w:rPr>
                <w:i/>
              </w:rPr>
            </w:pPr>
            <w:r w:rsidRPr="00620FD6">
              <w:rPr>
                <w:i/>
              </w:rPr>
              <w:t>John et al (2015) NAC Spirometry Users and Buyers Guide</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77EB7A81" w14:textId="77777777" w:rsidR="009A75FC" w:rsidRDefault="009A75FC" w:rsidP="008B1C85">
            <w:pPr>
              <w:pStyle w:val="Tabletext"/>
              <w:jc w:val="right"/>
            </w:pPr>
            <w:r w:rsidRPr="00DB5F6D">
              <w:t>$1.24</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1FC7B083" w14:textId="77777777" w:rsidR="009A75FC" w:rsidRDefault="009A75FC" w:rsidP="008B1C85">
            <w:pPr>
              <w:pStyle w:val="Tabletext"/>
              <w:jc w:val="right"/>
            </w:pPr>
            <w:r w:rsidRPr="00DB5F6D">
              <w:t>$1.24</w:t>
            </w:r>
          </w:p>
        </w:tc>
      </w:tr>
      <w:tr w:rsidR="009A75FC" w14:paraId="41EFA0B4" w14:textId="77777777" w:rsidTr="009A75FC">
        <w:tc>
          <w:tcPr>
            <w:tcW w:w="749" w:type="pct"/>
            <w:tcBorders>
              <w:top w:val="single" w:sz="4" w:space="0" w:color="auto"/>
              <w:left w:val="single" w:sz="4" w:space="0" w:color="auto"/>
              <w:bottom w:val="single" w:sz="4" w:space="0" w:color="auto"/>
              <w:right w:val="single" w:sz="4" w:space="0" w:color="auto"/>
            </w:tcBorders>
          </w:tcPr>
          <w:p w14:paraId="7302F066" w14:textId="77777777" w:rsidR="009A75FC" w:rsidRPr="009D2509" w:rsidRDefault="009A75FC" w:rsidP="008B1C85">
            <w:pPr>
              <w:pStyle w:val="Tabletext"/>
            </w:pPr>
            <w:r>
              <w:t>Consumables (mouth piece)</w:t>
            </w:r>
          </w:p>
        </w:tc>
        <w:tc>
          <w:tcPr>
            <w:tcW w:w="696" w:type="pct"/>
            <w:tcBorders>
              <w:top w:val="single" w:sz="4" w:space="0" w:color="auto"/>
              <w:left w:val="single" w:sz="4" w:space="0" w:color="auto"/>
              <w:bottom w:val="single" w:sz="4" w:space="0" w:color="auto"/>
              <w:right w:val="single" w:sz="4" w:space="0" w:color="auto"/>
            </w:tcBorders>
          </w:tcPr>
          <w:p w14:paraId="52CD5D88" w14:textId="77777777" w:rsidR="009A75FC" w:rsidRDefault="00B9124C" w:rsidP="008B1C85">
            <w:pPr>
              <w:pStyle w:val="Tabletext"/>
            </w:pPr>
            <w:r>
              <w:t>Not applicable</w:t>
            </w:r>
          </w:p>
        </w:tc>
        <w:tc>
          <w:tcPr>
            <w:tcW w:w="392" w:type="pct"/>
            <w:tcBorders>
              <w:top w:val="single" w:sz="4" w:space="0" w:color="auto"/>
              <w:left w:val="single" w:sz="4" w:space="0" w:color="auto"/>
              <w:bottom w:val="single" w:sz="4" w:space="0" w:color="auto"/>
              <w:right w:val="single" w:sz="4" w:space="0" w:color="auto"/>
            </w:tcBorders>
          </w:tcPr>
          <w:p w14:paraId="2B8A1A93" w14:textId="77777777" w:rsidR="009A75FC" w:rsidRDefault="009A75FC" w:rsidP="008B1C85">
            <w:pPr>
              <w:pStyle w:val="Tabletext"/>
              <w:jc w:val="right"/>
            </w:pPr>
            <w:r>
              <w:t>$2.75</w:t>
            </w:r>
          </w:p>
        </w:tc>
        <w:tc>
          <w:tcPr>
            <w:tcW w:w="392" w:type="pct"/>
            <w:tcBorders>
              <w:top w:val="single" w:sz="4" w:space="0" w:color="auto"/>
              <w:left w:val="single" w:sz="4" w:space="0" w:color="auto"/>
              <w:bottom w:val="single" w:sz="4" w:space="0" w:color="auto"/>
              <w:right w:val="single" w:sz="4" w:space="0" w:color="auto"/>
            </w:tcBorders>
          </w:tcPr>
          <w:p w14:paraId="6C2A5004" w14:textId="77777777" w:rsidR="009A75FC" w:rsidRDefault="009A75FC" w:rsidP="008B1C85">
            <w:pPr>
              <w:pStyle w:val="Tabletext"/>
              <w:jc w:val="right"/>
            </w:pPr>
            <w:r>
              <w:t>$2.75</w:t>
            </w:r>
          </w:p>
        </w:tc>
        <w:tc>
          <w:tcPr>
            <w:tcW w:w="1051" w:type="pct"/>
            <w:tcBorders>
              <w:top w:val="single" w:sz="4" w:space="0" w:color="auto"/>
              <w:left w:val="single" w:sz="4" w:space="0" w:color="auto"/>
              <w:bottom w:val="single" w:sz="4" w:space="0" w:color="auto"/>
              <w:right w:val="single" w:sz="4" w:space="0" w:color="auto"/>
            </w:tcBorders>
          </w:tcPr>
          <w:p w14:paraId="2E4CA8C2" w14:textId="77777777" w:rsidR="009A75FC" w:rsidRDefault="009A75FC" w:rsidP="008B1C85">
            <w:pPr>
              <w:pStyle w:val="Tabletext"/>
            </w:pPr>
            <w:r w:rsidRPr="00DB5F6D">
              <w:t>$3.20 (Spirette - disposable per patient)</w:t>
            </w:r>
          </w:p>
        </w:tc>
        <w:tc>
          <w:tcPr>
            <w:tcW w:w="950" w:type="pct"/>
            <w:tcBorders>
              <w:top w:val="single" w:sz="4" w:space="0" w:color="auto"/>
              <w:left w:val="single" w:sz="4" w:space="0" w:color="auto"/>
              <w:bottom w:val="single" w:sz="4" w:space="0" w:color="auto"/>
              <w:right w:val="single" w:sz="4" w:space="0" w:color="auto"/>
            </w:tcBorders>
          </w:tcPr>
          <w:p w14:paraId="4DF2E554" w14:textId="77777777" w:rsidR="009A75FC" w:rsidRPr="00620FD6" w:rsidRDefault="009A75FC" w:rsidP="008B1C85">
            <w:pPr>
              <w:pStyle w:val="Tabletext"/>
              <w:rPr>
                <w:i/>
              </w:rPr>
            </w:pPr>
            <w:r w:rsidRPr="00620FD6">
              <w:rPr>
                <w:i/>
              </w:rPr>
              <w:t>John et al (2015) NAC Spirometry Users and Buyers Guide</w:t>
            </w:r>
          </w:p>
        </w:tc>
        <w:tc>
          <w:tcPr>
            <w:tcW w:w="393" w:type="pct"/>
            <w:tcBorders>
              <w:top w:val="single" w:sz="4" w:space="0" w:color="auto"/>
              <w:left w:val="single" w:sz="4" w:space="0" w:color="auto"/>
              <w:bottom w:val="single" w:sz="4" w:space="0" w:color="auto"/>
              <w:right w:val="single" w:sz="4" w:space="0" w:color="auto"/>
            </w:tcBorders>
          </w:tcPr>
          <w:p w14:paraId="7A54B2F6" w14:textId="77777777" w:rsidR="009A75FC" w:rsidRDefault="009A75FC" w:rsidP="008B1C85">
            <w:pPr>
              <w:pStyle w:val="Tabletext"/>
              <w:jc w:val="right"/>
            </w:pPr>
            <w:r w:rsidRPr="00DB5F6D">
              <w:t>$3.20</w:t>
            </w:r>
          </w:p>
        </w:tc>
        <w:tc>
          <w:tcPr>
            <w:tcW w:w="378" w:type="pct"/>
            <w:tcBorders>
              <w:top w:val="single" w:sz="4" w:space="0" w:color="auto"/>
              <w:left w:val="single" w:sz="4" w:space="0" w:color="auto"/>
              <w:bottom w:val="single" w:sz="4" w:space="0" w:color="auto"/>
              <w:right w:val="single" w:sz="4" w:space="0" w:color="auto"/>
            </w:tcBorders>
          </w:tcPr>
          <w:p w14:paraId="1E627357" w14:textId="77777777" w:rsidR="009A75FC" w:rsidRDefault="009A75FC" w:rsidP="008B1C85">
            <w:pPr>
              <w:pStyle w:val="Tabletext"/>
              <w:jc w:val="right"/>
            </w:pPr>
            <w:r w:rsidRPr="00DB5F6D">
              <w:t>$3.20</w:t>
            </w:r>
          </w:p>
        </w:tc>
      </w:tr>
      <w:tr w:rsidR="009A75FC" w14:paraId="0133583F" w14:textId="77777777" w:rsidTr="00501E91">
        <w:tc>
          <w:tcPr>
            <w:tcW w:w="749" w:type="pct"/>
            <w:tcBorders>
              <w:top w:val="single" w:sz="4" w:space="0" w:color="auto"/>
              <w:left w:val="single" w:sz="4" w:space="0" w:color="auto"/>
              <w:bottom w:val="single" w:sz="4" w:space="0" w:color="auto"/>
              <w:right w:val="single" w:sz="4" w:space="0" w:color="auto"/>
            </w:tcBorders>
            <w:shd w:val="clear" w:color="auto" w:fill="auto"/>
          </w:tcPr>
          <w:p w14:paraId="20F4F9E7" w14:textId="77777777" w:rsidR="009A75FC" w:rsidRPr="009D2509" w:rsidRDefault="009A75FC" w:rsidP="008B1C85">
            <w:pPr>
              <w:pStyle w:val="Tabletext"/>
            </w:pPr>
            <w:r>
              <w:t>Bronchodilator (salbutamol) (4 actuations)</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7123C498" w14:textId="77777777" w:rsidR="009A75FC" w:rsidRDefault="009A75FC" w:rsidP="008B1C85">
            <w:pPr>
              <w:pStyle w:val="Tabletext"/>
            </w:pPr>
            <w:r>
              <w:t>$16.39 each inhaler 200 meter doses per inhaler</w:t>
            </w: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0439E579" w14:textId="77777777" w:rsidR="009A75FC" w:rsidRDefault="009A75FC" w:rsidP="008B1C85">
            <w:pPr>
              <w:pStyle w:val="Tabletext"/>
              <w:jc w:val="right"/>
            </w:pPr>
            <w:r>
              <w:t>$0.33</w:t>
            </w: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3C24F5F3" w14:textId="77777777" w:rsidR="009A75FC" w:rsidRDefault="009A75FC" w:rsidP="008B1C85">
            <w:pPr>
              <w:pStyle w:val="Tabletext"/>
              <w:jc w:val="right"/>
            </w:pPr>
            <w:r>
              <w:t>$0.33</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70FC3E72" w14:textId="77777777" w:rsidR="009A75FC" w:rsidRDefault="009A75FC" w:rsidP="008B1C85">
            <w:pPr>
              <w:pStyle w:val="Tabletext"/>
            </w:pPr>
            <w:r w:rsidRPr="00DB5F6D">
              <w:t>$6.25 (Ventolin Salbutamol 100 mcg Inhalation CFC-free inhaler)</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17F48D15" w14:textId="77777777" w:rsidR="009A75FC" w:rsidRPr="00620FD6" w:rsidRDefault="009A75FC" w:rsidP="008B1C85">
            <w:pPr>
              <w:pStyle w:val="Tabletext"/>
              <w:rPr>
                <w:i/>
              </w:rPr>
            </w:pPr>
            <w:r w:rsidRPr="00620FD6">
              <w:rPr>
                <w:i/>
              </w:rPr>
              <w:t>eMedical Pharmacy Online</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1BD5273D" w14:textId="77777777" w:rsidR="009A75FC" w:rsidRDefault="009A75FC" w:rsidP="008B1C85">
            <w:pPr>
              <w:pStyle w:val="Tabletext"/>
              <w:jc w:val="right"/>
            </w:pPr>
            <w:r w:rsidRPr="00DB5F6D">
              <w:t>$0.13</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B4F0302" w14:textId="77777777" w:rsidR="009A75FC" w:rsidRDefault="009A75FC" w:rsidP="008B1C85">
            <w:pPr>
              <w:pStyle w:val="Tabletext"/>
              <w:jc w:val="right"/>
            </w:pPr>
            <w:r w:rsidRPr="00DB5F6D">
              <w:t>$0.13</w:t>
            </w:r>
          </w:p>
        </w:tc>
      </w:tr>
      <w:tr w:rsidR="009A75FC" w14:paraId="5212EBFA" w14:textId="77777777" w:rsidTr="009A75FC">
        <w:tc>
          <w:tcPr>
            <w:tcW w:w="749" w:type="pct"/>
            <w:tcBorders>
              <w:top w:val="single" w:sz="4" w:space="0" w:color="auto"/>
              <w:left w:val="single" w:sz="4" w:space="0" w:color="auto"/>
              <w:bottom w:val="single" w:sz="4" w:space="0" w:color="auto"/>
              <w:right w:val="single" w:sz="4" w:space="0" w:color="auto"/>
            </w:tcBorders>
          </w:tcPr>
          <w:p w14:paraId="29CD074F" w14:textId="77777777" w:rsidR="009A75FC" w:rsidRDefault="009A75FC" w:rsidP="008B1C85">
            <w:pPr>
              <w:pStyle w:val="Tabletext"/>
            </w:pPr>
            <w:r>
              <w:t>Volumatic spacer (single use)</w:t>
            </w:r>
          </w:p>
        </w:tc>
        <w:tc>
          <w:tcPr>
            <w:tcW w:w="696" w:type="pct"/>
            <w:tcBorders>
              <w:top w:val="single" w:sz="4" w:space="0" w:color="auto"/>
              <w:left w:val="single" w:sz="4" w:space="0" w:color="auto"/>
              <w:bottom w:val="single" w:sz="4" w:space="0" w:color="auto"/>
              <w:right w:val="single" w:sz="4" w:space="0" w:color="auto"/>
            </w:tcBorders>
          </w:tcPr>
          <w:p w14:paraId="399E31CD" w14:textId="77777777" w:rsidR="009A75FC" w:rsidRDefault="00B9124C" w:rsidP="008B1C85">
            <w:pPr>
              <w:pStyle w:val="Tabletext"/>
            </w:pPr>
            <w:r>
              <w:t>Not applicable</w:t>
            </w:r>
          </w:p>
        </w:tc>
        <w:tc>
          <w:tcPr>
            <w:tcW w:w="392" w:type="pct"/>
            <w:tcBorders>
              <w:top w:val="single" w:sz="4" w:space="0" w:color="auto"/>
              <w:left w:val="single" w:sz="4" w:space="0" w:color="auto"/>
              <w:bottom w:val="single" w:sz="4" w:space="0" w:color="auto"/>
              <w:right w:val="single" w:sz="4" w:space="0" w:color="auto"/>
            </w:tcBorders>
          </w:tcPr>
          <w:p w14:paraId="04E94B1F" w14:textId="77777777" w:rsidR="009A75FC" w:rsidRDefault="009A75FC" w:rsidP="008B1C85">
            <w:pPr>
              <w:pStyle w:val="Tabletext"/>
              <w:jc w:val="right"/>
            </w:pPr>
            <w:r>
              <w:t>$10.69</w:t>
            </w:r>
          </w:p>
        </w:tc>
        <w:tc>
          <w:tcPr>
            <w:tcW w:w="392" w:type="pct"/>
            <w:tcBorders>
              <w:top w:val="single" w:sz="4" w:space="0" w:color="auto"/>
              <w:left w:val="single" w:sz="4" w:space="0" w:color="auto"/>
              <w:bottom w:val="single" w:sz="4" w:space="0" w:color="auto"/>
              <w:right w:val="single" w:sz="4" w:space="0" w:color="auto"/>
            </w:tcBorders>
          </w:tcPr>
          <w:p w14:paraId="04F3A48E" w14:textId="77777777" w:rsidR="009A75FC" w:rsidRDefault="009A75FC" w:rsidP="008B1C85">
            <w:pPr>
              <w:pStyle w:val="Tabletext"/>
              <w:jc w:val="right"/>
            </w:pPr>
            <w:r>
              <w:t>$10.69</w:t>
            </w:r>
          </w:p>
        </w:tc>
        <w:tc>
          <w:tcPr>
            <w:tcW w:w="1051" w:type="pct"/>
            <w:tcBorders>
              <w:top w:val="single" w:sz="4" w:space="0" w:color="auto"/>
              <w:left w:val="single" w:sz="4" w:space="0" w:color="auto"/>
              <w:bottom w:val="single" w:sz="4" w:space="0" w:color="auto"/>
              <w:right w:val="single" w:sz="4" w:space="0" w:color="auto"/>
            </w:tcBorders>
          </w:tcPr>
          <w:p w14:paraId="11FC8938" w14:textId="77777777" w:rsidR="009A75FC" w:rsidRDefault="009A75FC" w:rsidP="008B1C85">
            <w:pPr>
              <w:pStyle w:val="Tabletext"/>
            </w:pPr>
            <w:r w:rsidRPr="00DB5F6D">
              <w:t>$10.69 per patient</w:t>
            </w:r>
          </w:p>
        </w:tc>
        <w:tc>
          <w:tcPr>
            <w:tcW w:w="950" w:type="pct"/>
            <w:tcBorders>
              <w:top w:val="single" w:sz="4" w:space="0" w:color="auto"/>
              <w:left w:val="single" w:sz="4" w:space="0" w:color="auto"/>
              <w:bottom w:val="single" w:sz="4" w:space="0" w:color="auto"/>
              <w:right w:val="single" w:sz="4" w:space="0" w:color="auto"/>
            </w:tcBorders>
          </w:tcPr>
          <w:p w14:paraId="2028F493" w14:textId="77777777" w:rsidR="009A75FC" w:rsidRPr="00620FD6" w:rsidRDefault="009A75FC" w:rsidP="008B1C85">
            <w:pPr>
              <w:pStyle w:val="Tabletext"/>
              <w:rPr>
                <w:i/>
              </w:rPr>
            </w:pPr>
            <w:r w:rsidRPr="00620FD6">
              <w:rPr>
                <w:i/>
              </w:rPr>
              <w:t>Chemist Warehouse</w:t>
            </w:r>
          </w:p>
        </w:tc>
        <w:tc>
          <w:tcPr>
            <w:tcW w:w="393" w:type="pct"/>
            <w:tcBorders>
              <w:top w:val="single" w:sz="4" w:space="0" w:color="auto"/>
              <w:left w:val="single" w:sz="4" w:space="0" w:color="auto"/>
              <w:bottom w:val="single" w:sz="4" w:space="0" w:color="auto"/>
              <w:right w:val="single" w:sz="4" w:space="0" w:color="auto"/>
            </w:tcBorders>
          </w:tcPr>
          <w:p w14:paraId="5E3B6CF7" w14:textId="77777777" w:rsidR="009A75FC" w:rsidRDefault="009A75FC" w:rsidP="008B1C85">
            <w:pPr>
              <w:pStyle w:val="Tabletext"/>
              <w:jc w:val="right"/>
            </w:pPr>
            <w:r w:rsidRPr="00DB5F6D">
              <w:t>$10.69</w:t>
            </w:r>
          </w:p>
        </w:tc>
        <w:tc>
          <w:tcPr>
            <w:tcW w:w="378" w:type="pct"/>
            <w:tcBorders>
              <w:top w:val="single" w:sz="4" w:space="0" w:color="auto"/>
              <w:left w:val="single" w:sz="4" w:space="0" w:color="auto"/>
              <w:bottom w:val="single" w:sz="4" w:space="0" w:color="auto"/>
              <w:right w:val="single" w:sz="4" w:space="0" w:color="auto"/>
            </w:tcBorders>
          </w:tcPr>
          <w:p w14:paraId="28D01719" w14:textId="77777777" w:rsidR="009A75FC" w:rsidRDefault="009A75FC" w:rsidP="008B1C85">
            <w:pPr>
              <w:pStyle w:val="Tabletext"/>
              <w:jc w:val="right"/>
            </w:pPr>
            <w:r w:rsidRPr="00DB5F6D">
              <w:t>$10.69</w:t>
            </w:r>
          </w:p>
        </w:tc>
      </w:tr>
      <w:tr w:rsidR="009A75FC" w14:paraId="2A00E45A" w14:textId="77777777" w:rsidTr="00501E91">
        <w:tc>
          <w:tcPr>
            <w:tcW w:w="749" w:type="pct"/>
            <w:tcBorders>
              <w:top w:val="single" w:sz="4" w:space="0" w:color="auto"/>
              <w:left w:val="single" w:sz="4" w:space="0" w:color="auto"/>
              <w:bottom w:val="single" w:sz="4" w:space="0" w:color="auto"/>
              <w:right w:val="single" w:sz="4" w:space="0" w:color="auto"/>
            </w:tcBorders>
            <w:shd w:val="clear" w:color="auto" w:fill="auto"/>
          </w:tcPr>
          <w:p w14:paraId="3AF3C41E" w14:textId="77777777" w:rsidR="009A75FC" w:rsidRDefault="009A75FC" w:rsidP="008B1C85">
            <w:pPr>
              <w:pStyle w:val="Tabletext"/>
            </w:pPr>
            <w:r>
              <w:t>Cleaning/preparation costs</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34B774C3" w14:textId="77777777" w:rsidR="009A75FC" w:rsidRDefault="009A75FC" w:rsidP="008B1C85">
            <w:pPr>
              <w:pStyle w:val="Tabletext"/>
            </w:pPr>
            <w:r>
              <w:t>$21.60 per hour, 5 minutes per test</w:t>
            </w: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7D0729B6" w14:textId="77777777" w:rsidR="009A75FC" w:rsidRDefault="009A75FC" w:rsidP="008B1C85">
            <w:pPr>
              <w:pStyle w:val="Tabletext"/>
              <w:jc w:val="right"/>
            </w:pPr>
            <w:r>
              <w:t>$1.80</w:t>
            </w: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16D83942" w14:textId="77777777" w:rsidR="009A75FC" w:rsidRDefault="009A75FC" w:rsidP="008B1C85">
            <w:pPr>
              <w:pStyle w:val="Tabletext"/>
              <w:jc w:val="right"/>
            </w:pPr>
            <w:r>
              <w:t>$1.80</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0019627C" w14:textId="77777777" w:rsidR="009A75FC" w:rsidRDefault="009A75FC" w:rsidP="008B1C85">
            <w:pPr>
              <w:pStyle w:val="Tabletext"/>
            </w:pPr>
            <w:r w:rsidRPr="00DB5F6D">
              <w:t>$29.20 per hour, 5 minutes per test</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68E3E9CA" w14:textId="77777777" w:rsidR="009A75FC" w:rsidRPr="00620FD6" w:rsidRDefault="009A75FC" w:rsidP="008B1C85">
            <w:pPr>
              <w:pStyle w:val="Tabletext"/>
              <w:rPr>
                <w:i/>
              </w:rPr>
            </w:pPr>
            <w:r w:rsidRPr="00620FD6">
              <w:rPr>
                <w:i/>
              </w:rPr>
              <w:t>Practice nurse salary cost</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0A8CD3D0" w14:textId="77777777" w:rsidR="009A75FC" w:rsidRDefault="009A75FC" w:rsidP="008B1C85">
            <w:pPr>
              <w:pStyle w:val="Tabletext"/>
              <w:jc w:val="right"/>
            </w:pPr>
            <w:r w:rsidRPr="00DB5F6D">
              <w:t>$2.43</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7A6831D" w14:textId="77777777" w:rsidR="009A75FC" w:rsidRDefault="009A75FC" w:rsidP="008B1C85">
            <w:pPr>
              <w:pStyle w:val="Tabletext"/>
              <w:jc w:val="right"/>
            </w:pPr>
            <w:r w:rsidRPr="00DB5F6D">
              <w:t>$2.43</w:t>
            </w:r>
          </w:p>
        </w:tc>
      </w:tr>
      <w:tr w:rsidR="009A75FC" w14:paraId="1F5DF3DB" w14:textId="77777777" w:rsidTr="009A75FC">
        <w:tc>
          <w:tcPr>
            <w:tcW w:w="749" w:type="pct"/>
            <w:tcBorders>
              <w:top w:val="single" w:sz="4" w:space="0" w:color="auto"/>
              <w:left w:val="single" w:sz="4" w:space="0" w:color="auto"/>
              <w:bottom w:val="single" w:sz="4" w:space="0" w:color="auto"/>
              <w:right w:val="single" w:sz="4" w:space="0" w:color="auto"/>
            </w:tcBorders>
          </w:tcPr>
          <w:p w14:paraId="7F450AFC" w14:textId="77777777" w:rsidR="009A75FC" w:rsidRDefault="009A75FC" w:rsidP="008B1C85">
            <w:pPr>
              <w:pStyle w:val="Tabletext"/>
            </w:pPr>
            <w:r>
              <w:t>GP time to report test</w:t>
            </w:r>
          </w:p>
        </w:tc>
        <w:tc>
          <w:tcPr>
            <w:tcW w:w="696" w:type="pct"/>
            <w:tcBorders>
              <w:top w:val="single" w:sz="4" w:space="0" w:color="auto"/>
              <w:left w:val="single" w:sz="4" w:space="0" w:color="auto"/>
              <w:bottom w:val="single" w:sz="4" w:space="0" w:color="auto"/>
              <w:right w:val="single" w:sz="4" w:space="0" w:color="auto"/>
            </w:tcBorders>
          </w:tcPr>
          <w:p w14:paraId="16C371E4" w14:textId="77777777" w:rsidR="009A75FC" w:rsidRDefault="009A75FC" w:rsidP="008B1C85">
            <w:pPr>
              <w:pStyle w:val="Tabletext"/>
            </w:pPr>
            <w:r>
              <w:t>125.80 per hour, 5 minutes per test</w:t>
            </w:r>
          </w:p>
        </w:tc>
        <w:tc>
          <w:tcPr>
            <w:tcW w:w="392" w:type="pct"/>
            <w:tcBorders>
              <w:top w:val="single" w:sz="4" w:space="0" w:color="auto"/>
              <w:left w:val="single" w:sz="4" w:space="0" w:color="auto"/>
              <w:bottom w:val="single" w:sz="4" w:space="0" w:color="auto"/>
              <w:right w:val="single" w:sz="4" w:space="0" w:color="auto"/>
            </w:tcBorders>
          </w:tcPr>
          <w:p w14:paraId="62F4F38B" w14:textId="77777777" w:rsidR="009A75FC" w:rsidRDefault="009A75FC" w:rsidP="008B1C85">
            <w:pPr>
              <w:pStyle w:val="Tabletext"/>
              <w:jc w:val="right"/>
            </w:pPr>
            <w:r>
              <w:t>$10.48</w:t>
            </w:r>
          </w:p>
        </w:tc>
        <w:tc>
          <w:tcPr>
            <w:tcW w:w="392" w:type="pct"/>
            <w:tcBorders>
              <w:top w:val="single" w:sz="4" w:space="0" w:color="auto"/>
              <w:left w:val="single" w:sz="4" w:space="0" w:color="auto"/>
              <w:bottom w:val="single" w:sz="4" w:space="0" w:color="auto"/>
              <w:right w:val="single" w:sz="4" w:space="0" w:color="auto"/>
            </w:tcBorders>
          </w:tcPr>
          <w:p w14:paraId="6A3012C8" w14:textId="77777777" w:rsidR="009A75FC" w:rsidRDefault="009A75FC" w:rsidP="008B1C85">
            <w:pPr>
              <w:pStyle w:val="Tabletext"/>
              <w:jc w:val="right"/>
            </w:pPr>
            <w:r>
              <w:t>$10.48</w:t>
            </w:r>
          </w:p>
        </w:tc>
        <w:tc>
          <w:tcPr>
            <w:tcW w:w="1051" w:type="pct"/>
            <w:tcBorders>
              <w:top w:val="single" w:sz="4" w:space="0" w:color="auto"/>
              <w:left w:val="single" w:sz="4" w:space="0" w:color="auto"/>
              <w:bottom w:val="single" w:sz="4" w:space="0" w:color="auto"/>
              <w:right w:val="single" w:sz="4" w:space="0" w:color="auto"/>
            </w:tcBorders>
          </w:tcPr>
          <w:p w14:paraId="514D6317" w14:textId="77777777" w:rsidR="009A75FC" w:rsidRDefault="009A75FC" w:rsidP="008B1C85">
            <w:pPr>
              <w:pStyle w:val="Tabletext"/>
            </w:pPr>
            <w:r w:rsidRPr="00DB5F6D">
              <w:t>$170.10 per hour, 5 minutes per test</w:t>
            </w:r>
          </w:p>
        </w:tc>
        <w:tc>
          <w:tcPr>
            <w:tcW w:w="950" w:type="pct"/>
            <w:tcBorders>
              <w:top w:val="single" w:sz="4" w:space="0" w:color="auto"/>
              <w:left w:val="single" w:sz="4" w:space="0" w:color="auto"/>
              <w:bottom w:val="single" w:sz="4" w:space="0" w:color="auto"/>
              <w:right w:val="single" w:sz="4" w:space="0" w:color="auto"/>
            </w:tcBorders>
          </w:tcPr>
          <w:p w14:paraId="20DF3A6E" w14:textId="77777777" w:rsidR="009A75FC" w:rsidRPr="00620FD6" w:rsidRDefault="009A75FC" w:rsidP="008B1C85">
            <w:pPr>
              <w:pStyle w:val="Tabletext"/>
              <w:rPr>
                <w:i/>
              </w:rPr>
            </w:pPr>
            <w:r w:rsidRPr="00620FD6">
              <w:rPr>
                <w:i/>
              </w:rPr>
              <w:t>GP salary cost</w:t>
            </w:r>
          </w:p>
        </w:tc>
        <w:tc>
          <w:tcPr>
            <w:tcW w:w="393" w:type="pct"/>
            <w:tcBorders>
              <w:top w:val="single" w:sz="4" w:space="0" w:color="auto"/>
              <w:left w:val="single" w:sz="4" w:space="0" w:color="auto"/>
              <w:bottom w:val="single" w:sz="4" w:space="0" w:color="auto"/>
              <w:right w:val="single" w:sz="4" w:space="0" w:color="auto"/>
            </w:tcBorders>
          </w:tcPr>
          <w:p w14:paraId="2ED155F8" w14:textId="77777777" w:rsidR="009A75FC" w:rsidRDefault="009A75FC" w:rsidP="008B1C85">
            <w:pPr>
              <w:pStyle w:val="Tabletext"/>
              <w:jc w:val="right"/>
            </w:pPr>
            <w:r w:rsidRPr="00DB5F6D">
              <w:t>$14.18</w:t>
            </w:r>
          </w:p>
        </w:tc>
        <w:tc>
          <w:tcPr>
            <w:tcW w:w="378" w:type="pct"/>
            <w:tcBorders>
              <w:top w:val="single" w:sz="4" w:space="0" w:color="auto"/>
              <w:left w:val="single" w:sz="4" w:space="0" w:color="auto"/>
              <w:bottom w:val="single" w:sz="4" w:space="0" w:color="auto"/>
              <w:right w:val="single" w:sz="4" w:space="0" w:color="auto"/>
            </w:tcBorders>
          </w:tcPr>
          <w:p w14:paraId="2FDBD3ED" w14:textId="77777777" w:rsidR="009A75FC" w:rsidRDefault="009A75FC" w:rsidP="008B1C85">
            <w:pPr>
              <w:pStyle w:val="Tabletext"/>
              <w:jc w:val="right"/>
            </w:pPr>
            <w:r w:rsidRPr="00DB5F6D">
              <w:t>$14.18</w:t>
            </w:r>
          </w:p>
        </w:tc>
      </w:tr>
      <w:tr w:rsidR="009A75FC" w14:paraId="3797E1A0" w14:textId="77777777" w:rsidTr="00501E91">
        <w:tc>
          <w:tcPr>
            <w:tcW w:w="749" w:type="pct"/>
            <w:tcBorders>
              <w:top w:val="single" w:sz="4" w:space="0" w:color="auto"/>
              <w:left w:val="single" w:sz="4" w:space="0" w:color="auto"/>
              <w:bottom w:val="single" w:sz="4" w:space="0" w:color="auto"/>
              <w:right w:val="single" w:sz="4" w:space="0" w:color="auto"/>
            </w:tcBorders>
            <w:shd w:val="clear" w:color="auto" w:fill="auto"/>
          </w:tcPr>
          <w:p w14:paraId="7260DA58" w14:textId="77777777" w:rsidR="009A75FC" w:rsidRDefault="009A75FC" w:rsidP="008B1C85">
            <w:pPr>
              <w:pStyle w:val="Tabletext"/>
            </w:pPr>
            <w:r>
              <w:t>Printer</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08A54E3E" w14:textId="77777777" w:rsidR="009A75FC" w:rsidRDefault="009A75FC" w:rsidP="008B1C85">
            <w:pPr>
              <w:pStyle w:val="Tabletext"/>
            </w:pPr>
            <w:r>
              <w:t>$88.00 (Canon Pixma iP2200)</w:t>
            </w:r>
            <w:r>
              <w:rPr>
                <w:vertAlign w:val="superscript"/>
              </w:rPr>
              <w:t>c</w:t>
            </w: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48B76622" w14:textId="77777777" w:rsidR="009A75FC" w:rsidRDefault="009A75FC" w:rsidP="008B1C85">
            <w:pPr>
              <w:pStyle w:val="Tabletext"/>
              <w:jc w:val="right"/>
            </w:pPr>
            <w:r>
              <w:t>$0.04</w:t>
            </w: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3ED5F660" w14:textId="77777777" w:rsidR="009A75FC" w:rsidRDefault="009A75FC" w:rsidP="008B1C85">
            <w:pPr>
              <w:pStyle w:val="Tabletext"/>
              <w:jc w:val="right"/>
            </w:pPr>
            <w:r>
              <w:t>$0.04</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31599A6A" w14:textId="77777777" w:rsidR="009A75FC" w:rsidRDefault="009A75FC" w:rsidP="008B1C85">
            <w:pPr>
              <w:pStyle w:val="Tabletext"/>
            </w:pPr>
            <w:r w:rsidRPr="00DB5F6D">
              <w:t>$119.00</w:t>
            </w:r>
            <w:r>
              <w:t xml:space="preserve"> (</w:t>
            </w:r>
            <w:r w:rsidRPr="00DB5F6D">
              <w:t>Cano</w:t>
            </w:r>
            <w:r>
              <w:t>n Pixma MX726 Colour Inkjet MFC)</w:t>
            </w:r>
            <w:r>
              <w:rPr>
                <w:vertAlign w:val="superscript"/>
              </w:rPr>
              <w:t>c</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5585B0AB" w14:textId="77777777" w:rsidR="009A75FC" w:rsidRPr="00620FD6" w:rsidRDefault="009A75FC" w:rsidP="008B1C85">
            <w:pPr>
              <w:pStyle w:val="Tabletext"/>
              <w:rPr>
                <w:i/>
              </w:rPr>
            </w:pPr>
            <w:r w:rsidRPr="00620FD6">
              <w:rPr>
                <w:i/>
              </w:rPr>
              <w:t>Officeworks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04D77A00" w14:textId="77777777" w:rsidR="009A75FC" w:rsidRDefault="009A75FC" w:rsidP="008B1C85">
            <w:pPr>
              <w:pStyle w:val="Tabletext"/>
              <w:jc w:val="right"/>
            </w:pPr>
            <w:r w:rsidRPr="00DB5F6D">
              <w:t>$0.05</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96FF85D" w14:textId="77777777" w:rsidR="009A75FC" w:rsidRDefault="009A75FC" w:rsidP="008B1C85">
            <w:pPr>
              <w:pStyle w:val="Tabletext"/>
              <w:jc w:val="right"/>
            </w:pPr>
            <w:r w:rsidRPr="00DB5F6D">
              <w:t>$0.05</w:t>
            </w:r>
          </w:p>
        </w:tc>
      </w:tr>
      <w:tr w:rsidR="009A75FC" w14:paraId="0B1E7FCE" w14:textId="77777777" w:rsidTr="009A75FC">
        <w:tc>
          <w:tcPr>
            <w:tcW w:w="749" w:type="pct"/>
            <w:tcBorders>
              <w:top w:val="single" w:sz="4" w:space="0" w:color="auto"/>
              <w:left w:val="single" w:sz="4" w:space="0" w:color="auto"/>
              <w:bottom w:val="single" w:sz="4" w:space="0" w:color="auto"/>
              <w:right w:val="single" w:sz="4" w:space="0" w:color="auto"/>
            </w:tcBorders>
          </w:tcPr>
          <w:p w14:paraId="58B788CC" w14:textId="77777777" w:rsidR="009A75FC" w:rsidRDefault="009A75FC" w:rsidP="008B1C85">
            <w:pPr>
              <w:pStyle w:val="Tabletext"/>
            </w:pPr>
            <w:r>
              <w:t>Printer consumables (ink cartridge, paper)</w:t>
            </w:r>
          </w:p>
        </w:tc>
        <w:tc>
          <w:tcPr>
            <w:tcW w:w="696" w:type="pct"/>
            <w:tcBorders>
              <w:top w:val="single" w:sz="4" w:space="0" w:color="auto"/>
              <w:left w:val="single" w:sz="4" w:space="0" w:color="auto"/>
              <w:bottom w:val="single" w:sz="4" w:space="0" w:color="auto"/>
              <w:right w:val="single" w:sz="4" w:space="0" w:color="auto"/>
            </w:tcBorders>
          </w:tcPr>
          <w:p w14:paraId="1407D380" w14:textId="77777777" w:rsidR="009A75FC" w:rsidRDefault="009A75FC" w:rsidP="008B1C85">
            <w:pPr>
              <w:pStyle w:val="Tabletext"/>
            </w:pPr>
            <w:r>
              <w:t>$76.75</w:t>
            </w:r>
          </w:p>
        </w:tc>
        <w:tc>
          <w:tcPr>
            <w:tcW w:w="392" w:type="pct"/>
            <w:tcBorders>
              <w:top w:val="single" w:sz="4" w:space="0" w:color="auto"/>
              <w:left w:val="single" w:sz="4" w:space="0" w:color="auto"/>
              <w:bottom w:val="single" w:sz="4" w:space="0" w:color="auto"/>
              <w:right w:val="single" w:sz="4" w:space="0" w:color="auto"/>
            </w:tcBorders>
          </w:tcPr>
          <w:p w14:paraId="0B49A3BB" w14:textId="77777777" w:rsidR="009A75FC" w:rsidRDefault="009A75FC" w:rsidP="008B1C85">
            <w:pPr>
              <w:pStyle w:val="Tabletext"/>
              <w:jc w:val="right"/>
            </w:pPr>
            <w:r>
              <w:t>$0.03</w:t>
            </w:r>
          </w:p>
        </w:tc>
        <w:tc>
          <w:tcPr>
            <w:tcW w:w="392" w:type="pct"/>
            <w:tcBorders>
              <w:top w:val="single" w:sz="4" w:space="0" w:color="auto"/>
              <w:left w:val="single" w:sz="4" w:space="0" w:color="auto"/>
              <w:bottom w:val="single" w:sz="4" w:space="0" w:color="auto"/>
              <w:right w:val="single" w:sz="4" w:space="0" w:color="auto"/>
            </w:tcBorders>
          </w:tcPr>
          <w:p w14:paraId="231AE253" w14:textId="77777777" w:rsidR="009A75FC" w:rsidRDefault="009A75FC" w:rsidP="008B1C85">
            <w:pPr>
              <w:pStyle w:val="Tabletext"/>
              <w:jc w:val="right"/>
            </w:pPr>
            <w:r>
              <w:t>$0.03</w:t>
            </w:r>
          </w:p>
        </w:tc>
        <w:tc>
          <w:tcPr>
            <w:tcW w:w="1051" w:type="pct"/>
            <w:tcBorders>
              <w:top w:val="single" w:sz="4" w:space="0" w:color="auto"/>
              <w:left w:val="single" w:sz="4" w:space="0" w:color="auto"/>
              <w:bottom w:val="single" w:sz="4" w:space="0" w:color="auto"/>
              <w:right w:val="single" w:sz="4" w:space="0" w:color="auto"/>
            </w:tcBorders>
          </w:tcPr>
          <w:p w14:paraId="59695621" w14:textId="77777777" w:rsidR="009A75FC" w:rsidRDefault="009A75FC" w:rsidP="008B1C85">
            <w:pPr>
              <w:pStyle w:val="Tabletext"/>
            </w:pPr>
            <w:r>
              <w:t>$337.00</w:t>
            </w:r>
            <w:r>
              <w:rPr>
                <w:vertAlign w:val="superscript"/>
              </w:rPr>
              <w:t xml:space="preserve"> </w:t>
            </w:r>
            <w:r w:rsidRPr="00DB5F6D">
              <w:t>(</w:t>
            </w:r>
            <w:r>
              <w:t xml:space="preserve">paper: </w:t>
            </w:r>
            <w:r w:rsidRPr="00DB5F6D">
              <w:t xml:space="preserve">5 </w:t>
            </w:r>
            <w:r>
              <w:t xml:space="preserve">x </w:t>
            </w:r>
            <w:r w:rsidRPr="00DB5F6D">
              <w:t>$4.99/</w:t>
            </w:r>
            <w:r>
              <w:t>500 sheets; i</w:t>
            </w:r>
            <w:r w:rsidRPr="00DB5F6D">
              <w:t>nk</w:t>
            </w:r>
            <w:r>
              <w:t>:</w:t>
            </w:r>
            <w:r w:rsidRPr="00DB5F6D">
              <w:t xml:space="preserve"> </w:t>
            </w:r>
            <w:r>
              <w:t xml:space="preserve">2 x $115.00, </w:t>
            </w:r>
            <w:r w:rsidRPr="00DB5F6D">
              <w:t>2 x $53.50)</w:t>
            </w:r>
          </w:p>
        </w:tc>
        <w:tc>
          <w:tcPr>
            <w:tcW w:w="950" w:type="pct"/>
            <w:tcBorders>
              <w:top w:val="single" w:sz="4" w:space="0" w:color="auto"/>
              <w:left w:val="single" w:sz="4" w:space="0" w:color="auto"/>
              <w:bottom w:val="single" w:sz="4" w:space="0" w:color="auto"/>
              <w:right w:val="single" w:sz="4" w:space="0" w:color="auto"/>
            </w:tcBorders>
          </w:tcPr>
          <w:p w14:paraId="391A10DF" w14:textId="77777777" w:rsidR="009A75FC" w:rsidRPr="00620FD6" w:rsidRDefault="009A75FC" w:rsidP="008B1C85">
            <w:pPr>
              <w:pStyle w:val="Tabletext"/>
              <w:rPr>
                <w:i/>
              </w:rPr>
            </w:pPr>
            <w:r w:rsidRPr="00620FD6">
              <w:rPr>
                <w:i/>
              </w:rPr>
              <w:t>Officeworks</w:t>
            </w:r>
          </w:p>
        </w:tc>
        <w:tc>
          <w:tcPr>
            <w:tcW w:w="393" w:type="pct"/>
            <w:tcBorders>
              <w:top w:val="single" w:sz="4" w:space="0" w:color="auto"/>
              <w:left w:val="single" w:sz="4" w:space="0" w:color="auto"/>
              <w:bottom w:val="single" w:sz="4" w:space="0" w:color="auto"/>
              <w:right w:val="single" w:sz="4" w:space="0" w:color="auto"/>
            </w:tcBorders>
          </w:tcPr>
          <w:p w14:paraId="38060F88" w14:textId="77777777" w:rsidR="009A75FC" w:rsidRDefault="009A75FC" w:rsidP="008B1C85">
            <w:pPr>
              <w:pStyle w:val="Tabletext"/>
              <w:jc w:val="right"/>
            </w:pPr>
            <w:r w:rsidRPr="00A60286">
              <w:t>$0.13</w:t>
            </w:r>
          </w:p>
        </w:tc>
        <w:tc>
          <w:tcPr>
            <w:tcW w:w="378" w:type="pct"/>
            <w:tcBorders>
              <w:top w:val="single" w:sz="4" w:space="0" w:color="auto"/>
              <w:left w:val="single" w:sz="4" w:space="0" w:color="auto"/>
              <w:bottom w:val="single" w:sz="4" w:space="0" w:color="auto"/>
              <w:right w:val="single" w:sz="4" w:space="0" w:color="auto"/>
            </w:tcBorders>
          </w:tcPr>
          <w:p w14:paraId="5B8EAA0C" w14:textId="77777777" w:rsidR="009A75FC" w:rsidRDefault="009A75FC" w:rsidP="008B1C85">
            <w:pPr>
              <w:pStyle w:val="Tabletext"/>
              <w:jc w:val="right"/>
            </w:pPr>
            <w:r w:rsidRPr="00A60286">
              <w:t>$0.13</w:t>
            </w:r>
          </w:p>
        </w:tc>
      </w:tr>
      <w:tr w:rsidR="009A75FC" w14:paraId="13B9FAA6" w14:textId="77777777" w:rsidTr="00501E91">
        <w:tc>
          <w:tcPr>
            <w:tcW w:w="749" w:type="pct"/>
            <w:tcBorders>
              <w:top w:val="single" w:sz="4" w:space="0" w:color="auto"/>
              <w:left w:val="single" w:sz="4" w:space="0" w:color="auto"/>
              <w:bottom w:val="single" w:sz="4" w:space="0" w:color="auto"/>
              <w:right w:val="single" w:sz="4" w:space="0" w:color="auto"/>
            </w:tcBorders>
            <w:shd w:val="clear" w:color="auto" w:fill="auto"/>
          </w:tcPr>
          <w:p w14:paraId="2C19B577" w14:textId="77777777" w:rsidR="009A75FC" w:rsidRDefault="009A75FC" w:rsidP="008B1C85">
            <w:pPr>
              <w:pStyle w:val="Tabletext"/>
            </w:pPr>
            <w:r w:rsidRPr="009D2509">
              <w:t>Training (time)</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71534F79" w14:textId="77777777" w:rsidR="009A75FC" w:rsidRDefault="009A75FC" w:rsidP="008B1C85">
            <w:pPr>
              <w:pStyle w:val="Tabletext"/>
            </w:pPr>
            <w:r>
              <w:t>6 hours</w:t>
            </w: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241CCC78" w14:textId="77777777" w:rsidR="009A75FC" w:rsidRDefault="009A75FC" w:rsidP="008B1C85">
            <w:pPr>
              <w:pStyle w:val="Tabletext"/>
              <w:jc w:val="right"/>
            </w:pPr>
            <w:r>
              <w:t>$0.05</w:t>
            </w: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7FDCE6A4" w14:textId="77777777" w:rsidR="009A75FC" w:rsidRDefault="009A75FC" w:rsidP="008B1C85">
            <w:pPr>
              <w:pStyle w:val="Tabletext"/>
              <w:jc w:val="right"/>
            </w:pPr>
            <w:r>
              <w:t>$0.30</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5889139E" w14:textId="77777777" w:rsidR="009A75FC" w:rsidRDefault="009A75FC" w:rsidP="008B1C85">
            <w:pPr>
              <w:pStyle w:val="Tabletext"/>
            </w:pPr>
            <w:r w:rsidRPr="00E8668A">
              <w:t>Spiro</w:t>
            </w:r>
            <w:r>
              <w:t>metry Principles and Practice' e</w:t>
            </w:r>
            <w:r w:rsidRPr="00E8668A">
              <w:t xml:space="preserve">xtensive 2-day (14 </w:t>
            </w:r>
            <w:r w:rsidRPr="00E8668A">
              <w:lastRenderedPageBreak/>
              <w:t>hour) course</w:t>
            </w:r>
            <w:r w:rsidRPr="001C1E6C">
              <w:t xml:space="preserve"> </w:t>
            </w:r>
            <w:r>
              <w:t>e</w:t>
            </w:r>
            <w:r w:rsidRPr="001C1E6C">
              <w:t>ndorsed by ANZSRS and TSANZ</w:t>
            </w: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1DC27FEC" w14:textId="77777777" w:rsidR="009A75FC" w:rsidRPr="00620FD6" w:rsidRDefault="009A75FC" w:rsidP="008B1C85">
            <w:pPr>
              <w:pStyle w:val="Tabletext"/>
              <w:rPr>
                <w:i/>
              </w:rPr>
            </w:pPr>
            <w:r w:rsidRPr="00620FD6">
              <w:rPr>
                <w:i/>
              </w:rPr>
              <w:lastRenderedPageBreak/>
              <w:t>The Lung Health Promotion Centre at The Alfred, Melbourne</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49B24D50" w14:textId="77777777" w:rsidR="009A75FC" w:rsidRDefault="009A75FC" w:rsidP="008B1C85">
            <w:pPr>
              <w:pStyle w:val="Tabletext"/>
              <w:jc w:val="right"/>
            </w:pPr>
            <w:r w:rsidRPr="00A60286">
              <w:t>$0.16</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84CC1F7" w14:textId="77777777" w:rsidR="009A75FC" w:rsidRDefault="009A75FC" w:rsidP="008B1C85">
            <w:pPr>
              <w:pStyle w:val="Tabletext"/>
              <w:jc w:val="right"/>
            </w:pPr>
            <w:r w:rsidRPr="00A60286">
              <w:t>$0.95</w:t>
            </w:r>
          </w:p>
        </w:tc>
      </w:tr>
      <w:tr w:rsidR="009A75FC" w14:paraId="14562A71" w14:textId="77777777" w:rsidTr="009A75FC">
        <w:tc>
          <w:tcPr>
            <w:tcW w:w="749" w:type="pct"/>
            <w:tcBorders>
              <w:top w:val="single" w:sz="4" w:space="0" w:color="auto"/>
              <w:left w:val="single" w:sz="4" w:space="0" w:color="auto"/>
              <w:bottom w:val="single" w:sz="4" w:space="0" w:color="auto"/>
              <w:right w:val="single" w:sz="4" w:space="0" w:color="auto"/>
            </w:tcBorders>
          </w:tcPr>
          <w:p w14:paraId="60D16494" w14:textId="77777777" w:rsidR="009A75FC" w:rsidRDefault="009A75FC" w:rsidP="008B1C85">
            <w:pPr>
              <w:pStyle w:val="Tabletext"/>
            </w:pPr>
            <w:r w:rsidRPr="009D2509">
              <w:t>Training (course cost)</w:t>
            </w:r>
          </w:p>
        </w:tc>
        <w:tc>
          <w:tcPr>
            <w:tcW w:w="696" w:type="pct"/>
            <w:tcBorders>
              <w:top w:val="single" w:sz="4" w:space="0" w:color="auto"/>
              <w:left w:val="single" w:sz="4" w:space="0" w:color="auto"/>
              <w:bottom w:val="single" w:sz="4" w:space="0" w:color="auto"/>
              <w:right w:val="single" w:sz="4" w:space="0" w:color="auto"/>
            </w:tcBorders>
          </w:tcPr>
          <w:p w14:paraId="5C0C7D65" w14:textId="77777777" w:rsidR="009A75FC" w:rsidRDefault="009A75FC" w:rsidP="008B1C85">
            <w:pPr>
              <w:pStyle w:val="Tabletext"/>
            </w:pPr>
            <w:r>
              <w:t>$650 per hour</w:t>
            </w:r>
          </w:p>
        </w:tc>
        <w:tc>
          <w:tcPr>
            <w:tcW w:w="392" w:type="pct"/>
            <w:tcBorders>
              <w:top w:val="single" w:sz="4" w:space="0" w:color="auto"/>
              <w:left w:val="single" w:sz="4" w:space="0" w:color="auto"/>
              <w:bottom w:val="single" w:sz="4" w:space="0" w:color="auto"/>
              <w:right w:val="single" w:sz="4" w:space="0" w:color="auto"/>
            </w:tcBorders>
          </w:tcPr>
          <w:p w14:paraId="663380A7" w14:textId="77777777" w:rsidR="009A75FC" w:rsidRDefault="009A75FC" w:rsidP="008B1C85">
            <w:pPr>
              <w:pStyle w:val="Tabletext"/>
              <w:jc w:val="right"/>
            </w:pPr>
            <w:r>
              <w:t>$0.26</w:t>
            </w:r>
          </w:p>
        </w:tc>
        <w:tc>
          <w:tcPr>
            <w:tcW w:w="392" w:type="pct"/>
            <w:tcBorders>
              <w:top w:val="single" w:sz="4" w:space="0" w:color="auto"/>
              <w:left w:val="single" w:sz="4" w:space="0" w:color="auto"/>
              <w:bottom w:val="single" w:sz="4" w:space="0" w:color="auto"/>
              <w:right w:val="single" w:sz="4" w:space="0" w:color="auto"/>
            </w:tcBorders>
          </w:tcPr>
          <w:p w14:paraId="60DB7543" w14:textId="77777777" w:rsidR="009A75FC" w:rsidRDefault="009A75FC" w:rsidP="008B1C85">
            <w:pPr>
              <w:pStyle w:val="Tabletext"/>
              <w:jc w:val="right"/>
            </w:pPr>
            <w:r>
              <w:t>$0.26</w:t>
            </w:r>
          </w:p>
        </w:tc>
        <w:tc>
          <w:tcPr>
            <w:tcW w:w="1051" w:type="pct"/>
            <w:tcBorders>
              <w:top w:val="single" w:sz="4" w:space="0" w:color="auto"/>
              <w:left w:val="single" w:sz="4" w:space="0" w:color="auto"/>
              <w:bottom w:val="single" w:sz="4" w:space="0" w:color="auto"/>
              <w:right w:val="single" w:sz="4" w:space="0" w:color="auto"/>
            </w:tcBorders>
          </w:tcPr>
          <w:p w14:paraId="5E2E6913" w14:textId="77777777" w:rsidR="009A75FC" w:rsidRDefault="009A75FC" w:rsidP="008B1C85">
            <w:pPr>
              <w:pStyle w:val="Tabletext"/>
            </w:pPr>
            <w:r w:rsidRPr="00E8668A">
              <w:t>$730</w:t>
            </w:r>
          </w:p>
        </w:tc>
        <w:tc>
          <w:tcPr>
            <w:tcW w:w="950" w:type="pct"/>
            <w:tcBorders>
              <w:top w:val="single" w:sz="4" w:space="0" w:color="auto"/>
              <w:left w:val="single" w:sz="4" w:space="0" w:color="auto"/>
              <w:bottom w:val="single" w:sz="4" w:space="0" w:color="auto"/>
              <w:right w:val="single" w:sz="4" w:space="0" w:color="auto"/>
            </w:tcBorders>
          </w:tcPr>
          <w:p w14:paraId="3581E0A9" w14:textId="77777777" w:rsidR="009A75FC" w:rsidRPr="00620FD6" w:rsidRDefault="009A75FC" w:rsidP="008B1C85">
            <w:pPr>
              <w:pStyle w:val="Tabletext"/>
              <w:rPr>
                <w:i/>
              </w:rPr>
            </w:pPr>
            <w:r w:rsidRPr="00620FD6">
              <w:rPr>
                <w:i/>
              </w:rPr>
              <w:t>The Lung Health Promotion Centre at The Alfred, Melbourne</w:t>
            </w:r>
          </w:p>
        </w:tc>
        <w:tc>
          <w:tcPr>
            <w:tcW w:w="393" w:type="pct"/>
            <w:tcBorders>
              <w:top w:val="single" w:sz="4" w:space="0" w:color="auto"/>
              <w:left w:val="single" w:sz="4" w:space="0" w:color="auto"/>
              <w:bottom w:val="single" w:sz="4" w:space="0" w:color="auto"/>
              <w:right w:val="single" w:sz="4" w:space="0" w:color="auto"/>
            </w:tcBorders>
          </w:tcPr>
          <w:p w14:paraId="5294764E" w14:textId="77777777" w:rsidR="009A75FC" w:rsidRDefault="009A75FC" w:rsidP="008B1C85">
            <w:pPr>
              <w:pStyle w:val="Tabletext"/>
              <w:jc w:val="right"/>
            </w:pPr>
            <w:r w:rsidRPr="00A60286">
              <w:t>$0.29</w:t>
            </w:r>
          </w:p>
        </w:tc>
        <w:tc>
          <w:tcPr>
            <w:tcW w:w="378" w:type="pct"/>
            <w:tcBorders>
              <w:top w:val="single" w:sz="4" w:space="0" w:color="auto"/>
              <w:left w:val="single" w:sz="4" w:space="0" w:color="auto"/>
              <w:bottom w:val="single" w:sz="4" w:space="0" w:color="auto"/>
              <w:right w:val="single" w:sz="4" w:space="0" w:color="auto"/>
            </w:tcBorders>
          </w:tcPr>
          <w:p w14:paraId="248B700B" w14:textId="77777777" w:rsidR="009A75FC" w:rsidRDefault="009A75FC" w:rsidP="008B1C85">
            <w:pPr>
              <w:pStyle w:val="Tabletext"/>
              <w:jc w:val="right"/>
            </w:pPr>
            <w:r w:rsidRPr="00A60286">
              <w:t>$0.29</w:t>
            </w:r>
          </w:p>
        </w:tc>
      </w:tr>
      <w:tr w:rsidR="009A75FC" w14:paraId="0C203ADE" w14:textId="77777777" w:rsidTr="009A75FC">
        <w:tc>
          <w:tcPr>
            <w:tcW w:w="749" w:type="pct"/>
            <w:tcBorders>
              <w:top w:val="single" w:sz="4" w:space="0" w:color="auto"/>
              <w:left w:val="single" w:sz="4" w:space="0" w:color="auto"/>
              <w:bottom w:val="single" w:sz="4" w:space="0" w:color="auto"/>
              <w:right w:val="single" w:sz="4" w:space="0" w:color="auto"/>
            </w:tcBorders>
          </w:tcPr>
          <w:p w14:paraId="48A6FFBA" w14:textId="77777777" w:rsidR="009A75FC" w:rsidRPr="009D2509" w:rsidRDefault="009A75FC" w:rsidP="008B1C85">
            <w:pPr>
              <w:pStyle w:val="Tabletext"/>
              <w:rPr>
                <w:b/>
              </w:rPr>
            </w:pPr>
            <w:r w:rsidRPr="009D2509">
              <w:rPr>
                <w:b/>
              </w:rPr>
              <w:t>Total cost</w:t>
            </w:r>
          </w:p>
        </w:tc>
        <w:tc>
          <w:tcPr>
            <w:tcW w:w="696" w:type="pct"/>
            <w:tcBorders>
              <w:top w:val="single" w:sz="4" w:space="0" w:color="auto"/>
              <w:left w:val="single" w:sz="4" w:space="0" w:color="auto"/>
              <w:bottom w:val="single" w:sz="4" w:space="0" w:color="auto"/>
              <w:right w:val="single" w:sz="4" w:space="0" w:color="auto"/>
            </w:tcBorders>
          </w:tcPr>
          <w:p w14:paraId="49AD51C5" w14:textId="77777777" w:rsidR="009A75FC" w:rsidRPr="009D2509" w:rsidRDefault="00B9124C" w:rsidP="008B1C85">
            <w:pPr>
              <w:pStyle w:val="Tabletext"/>
              <w:rPr>
                <w:b/>
              </w:rPr>
            </w:pPr>
            <w:r>
              <w:t>Not applicable</w:t>
            </w:r>
          </w:p>
        </w:tc>
        <w:tc>
          <w:tcPr>
            <w:tcW w:w="392" w:type="pct"/>
            <w:tcBorders>
              <w:top w:val="single" w:sz="4" w:space="0" w:color="auto"/>
              <w:left w:val="single" w:sz="4" w:space="0" w:color="auto"/>
              <w:bottom w:val="single" w:sz="4" w:space="0" w:color="auto"/>
              <w:right w:val="single" w:sz="4" w:space="0" w:color="auto"/>
            </w:tcBorders>
          </w:tcPr>
          <w:p w14:paraId="1926CC2F" w14:textId="77777777" w:rsidR="009A75FC" w:rsidRPr="009D2509" w:rsidRDefault="009A75FC" w:rsidP="008B1C85">
            <w:pPr>
              <w:pStyle w:val="Tabletext"/>
              <w:jc w:val="right"/>
              <w:rPr>
                <w:b/>
              </w:rPr>
            </w:pPr>
            <w:r>
              <w:rPr>
                <w:b/>
              </w:rPr>
              <w:t>$36.01</w:t>
            </w:r>
          </w:p>
        </w:tc>
        <w:tc>
          <w:tcPr>
            <w:tcW w:w="392" w:type="pct"/>
            <w:tcBorders>
              <w:top w:val="single" w:sz="4" w:space="0" w:color="auto"/>
              <w:left w:val="single" w:sz="4" w:space="0" w:color="auto"/>
              <w:bottom w:val="single" w:sz="4" w:space="0" w:color="auto"/>
              <w:right w:val="single" w:sz="4" w:space="0" w:color="auto"/>
            </w:tcBorders>
          </w:tcPr>
          <w:p w14:paraId="0073E3D8" w14:textId="77777777" w:rsidR="009A75FC" w:rsidRPr="009D2509" w:rsidRDefault="009A75FC" w:rsidP="008B1C85">
            <w:pPr>
              <w:pStyle w:val="Tabletext"/>
              <w:jc w:val="right"/>
              <w:rPr>
                <w:b/>
              </w:rPr>
            </w:pPr>
            <w:r>
              <w:rPr>
                <w:b/>
              </w:rPr>
              <w:t>$76.20</w:t>
            </w:r>
          </w:p>
        </w:tc>
        <w:tc>
          <w:tcPr>
            <w:tcW w:w="1051" w:type="pct"/>
            <w:tcBorders>
              <w:top w:val="single" w:sz="4" w:space="0" w:color="auto"/>
              <w:left w:val="single" w:sz="4" w:space="0" w:color="auto"/>
              <w:bottom w:val="single" w:sz="4" w:space="0" w:color="auto"/>
              <w:right w:val="single" w:sz="4" w:space="0" w:color="auto"/>
            </w:tcBorders>
          </w:tcPr>
          <w:p w14:paraId="78F894DB" w14:textId="77777777" w:rsidR="009A75FC" w:rsidRDefault="00B9124C" w:rsidP="008B1C85">
            <w:pPr>
              <w:pStyle w:val="Tabletext"/>
              <w:rPr>
                <w:b/>
              </w:rPr>
            </w:pPr>
            <w:r>
              <w:t>Not applicable</w:t>
            </w:r>
          </w:p>
        </w:tc>
        <w:tc>
          <w:tcPr>
            <w:tcW w:w="950" w:type="pct"/>
            <w:tcBorders>
              <w:top w:val="single" w:sz="4" w:space="0" w:color="auto"/>
              <w:left w:val="single" w:sz="4" w:space="0" w:color="auto"/>
              <w:bottom w:val="single" w:sz="4" w:space="0" w:color="auto"/>
              <w:right w:val="single" w:sz="4" w:space="0" w:color="auto"/>
            </w:tcBorders>
          </w:tcPr>
          <w:p w14:paraId="73738905" w14:textId="77777777" w:rsidR="009A75FC" w:rsidRPr="00620FD6" w:rsidRDefault="00B9124C" w:rsidP="008B1C85">
            <w:pPr>
              <w:pStyle w:val="Tabletext"/>
              <w:rPr>
                <w:b/>
                <w:i/>
              </w:rPr>
            </w:pPr>
            <w:r>
              <w:t>Not applicable</w:t>
            </w:r>
          </w:p>
        </w:tc>
        <w:tc>
          <w:tcPr>
            <w:tcW w:w="393" w:type="pct"/>
            <w:tcBorders>
              <w:top w:val="single" w:sz="4" w:space="0" w:color="auto"/>
              <w:left w:val="single" w:sz="4" w:space="0" w:color="auto"/>
              <w:bottom w:val="single" w:sz="4" w:space="0" w:color="auto"/>
              <w:right w:val="single" w:sz="4" w:space="0" w:color="auto"/>
            </w:tcBorders>
          </w:tcPr>
          <w:p w14:paraId="325C8D1D" w14:textId="77777777" w:rsidR="009A75FC" w:rsidRPr="006A329A" w:rsidRDefault="009A75FC" w:rsidP="008B1C85">
            <w:pPr>
              <w:pStyle w:val="Tabletext"/>
              <w:jc w:val="right"/>
              <w:rPr>
                <w:b/>
              </w:rPr>
            </w:pPr>
            <w:r w:rsidRPr="006A329A">
              <w:rPr>
                <w:b/>
              </w:rPr>
              <w:t>$43.69</w:t>
            </w:r>
          </w:p>
        </w:tc>
        <w:tc>
          <w:tcPr>
            <w:tcW w:w="378" w:type="pct"/>
            <w:tcBorders>
              <w:top w:val="single" w:sz="4" w:space="0" w:color="auto"/>
              <w:left w:val="single" w:sz="4" w:space="0" w:color="auto"/>
              <w:bottom w:val="single" w:sz="4" w:space="0" w:color="auto"/>
              <w:right w:val="single" w:sz="4" w:space="0" w:color="auto"/>
            </w:tcBorders>
          </w:tcPr>
          <w:p w14:paraId="239E5499" w14:textId="77777777" w:rsidR="009A75FC" w:rsidRPr="006A329A" w:rsidRDefault="009A75FC" w:rsidP="008B1C85">
            <w:pPr>
              <w:pStyle w:val="Tabletext"/>
              <w:jc w:val="right"/>
              <w:rPr>
                <w:b/>
              </w:rPr>
            </w:pPr>
            <w:r w:rsidRPr="006A329A">
              <w:rPr>
                <w:b/>
              </w:rPr>
              <w:t>$98.50</w:t>
            </w:r>
          </w:p>
        </w:tc>
      </w:tr>
    </w:tbl>
    <w:p w14:paraId="4B7EFC7D" w14:textId="77777777" w:rsidR="008B1C85" w:rsidRDefault="008B1C85" w:rsidP="008B1C85">
      <w:pPr>
        <w:pStyle w:val="08Tablefootnotes"/>
      </w:pPr>
      <w:r>
        <w:t>Source: Cranston et al (2006), T</w:t>
      </w:r>
      <w:r w:rsidRPr="00BB658A">
        <w:rPr>
          <w:rStyle w:val="08TablefootnotesChar"/>
        </w:rPr>
        <w:t>a</w:t>
      </w:r>
      <w:r>
        <w:t>ble 6, p63; includes updated costs for 2015 calculated for MBS Review.</w:t>
      </w:r>
    </w:p>
    <w:p w14:paraId="61A916D5" w14:textId="77777777" w:rsidR="008B1C85" w:rsidRDefault="008B1C85" w:rsidP="008B1C85">
      <w:pPr>
        <w:pStyle w:val="08Tablefootnotes"/>
      </w:pPr>
      <w:r>
        <w:t xml:space="preserve">Abbreviations: ABS, Australian Bureau of Statistics; ANZSRS, </w:t>
      </w:r>
      <w:r w:rsidRPr="00DE1561">
        <w:t>Australia and New Zealand Society of Respiratory Science</w:t>
      </w:r>
      <w:r>
        <w:t xml:space="preserve">; GP, General Practitioner; NAC, National Asthma Council Australia; PN, Practice Nurse; TSANZ, </w:t>
      </w:r>
      <w:r w:rsidRPr="00DE1561">
        <w:t>Thoracic Society of Australia and New Zealand</w:t>
      </w:r>
      <w:r>
        <w:t>.</w:t>
      </w:r>
    </w:p>
    <w:p w14:paraId="2EDDD7E6" w14:textId="77777777" w:rsidR="008B1C85" w:rsidRDefault="008B1C85" w:rsidP="008B1C85">
      <w:pPr>
        <w:pStyle w:val="08Tablefootnotes"/>
      </w:pPr>
      <w:r w:rsidRPr="00102362">
        <w:rPr>
          <w:b/>
        </w:rPr>
        <w:t>a</w:t>
      </w:r>
      <w:r>
        <w:t xml:space="preserve"> </w:t>
      </w:r>
      <w:r w:rsidRPr="00A84F45">
        <w:t>Based on a total test time of 23 minutes</w:t>
      </w:r>
    </w:p>
    <w:p w14:paraId="0FB06953" w14:textId="77777777" w:rsidR="008B1C85" w:rsidRDefault="008B1C85" w:rsidP="008B1C85">
      <w:pPr>
        <w:pStyle w:val="08Tablefootnotes"/>
      </w:pPr>
      <w:r w:rsidRPr="007B5F6B">
        <w:rPr>
          <w:b/>
        </w:rPr>
        <w:t>b</w:t>
      </w:r>
      <w:r>
        <w:t xml:space="preserve"> C</w:t>
      </w:r>
      <w:r w:rsidRPr="007B5F6B">
        <w:t>alculated using annual percentage change from Jun</w:t>
      </w:r>
      <w:r>
        <w:t>e</w:t>
      </w:r>
      <w:r w:rsidRPr="007B5F6B">
        <w:t xml:space="preserve"> 2006 to Jun</w:t>
      </w:r>
      <w:r>
        <w:t>e</w:t>
      </w:r>
      <w:r w:rsidRPr="007B5F6B">
        <w:t xml:space="preserve"> 2015</w:t>
      </w:r>
      <w:r>
        <w:t xml:space="preserve"> from ABS Wage Price Index [</w:t>
      </w:r>
      <w:r w:rsidRPr="003739DF">
        <w:t>Tabl</w:t>
      </w:r>
      <w:r>
        <w:t xml:space="preserve">e 5a. </w:t>
      </w:r>
      <w:r w:rsidRPr="003739DF">
        <w:t>Total Hourly Rates of Pay Excluding Bonuses: Sector by Industry, Original (Financial Year Index Numbe</w:t>
      </w:r>
      <w:r>
        <w:t xml:space="preserve">rs for year ended June quarter]; </w:t>
      </w:r>
      <w:r w:rsidRPr="007B5F6B">
        <w:t>Australia; Private; Total Hourly Rates of Pay Excluding Bonuses; He</w:t>
      </w:r>
      <w:r>
        <w:t>alth care and social assistance.</w:t>
      </w:r>
    </w:p>
    <w:p w14:paraId="7DC555AA" w14:textId="77777777" w:rsidR="008B1C85" w:rsidRDefault="008B1C85" w:rsidP="008B1C85">
      <w:pPr>
        <w:pStyle w:val="08Tablefootnotes"/>
      </w:pPr>
      <w:r>
        <w:rPr>
          <w:b/>
        </w:rPr>
        <w:t>c</w:t>
      </w:r>
      <w:r>
        <w:t xml:space="preserve"> </w:t>
      </w:r>
      <w:r w:rsidRPr="00A84F45">
        <w:t>Based on an effective clinically useful life of the equipment of 5 years</w:t>
      </w:r>
      <w:r>
        <w:t xml:space="preserve">, and </w:t>
      </w:r>
      <w:r w:rsidRPr="00A84F45">
        <w:t>the performance of 500 spirometry tests per year</w:t>
      </w:r>
      <w:r>
        <w:t>.</w:t>
      </w:r>
    </w:p>
    <w:p w14:paraId="167443A9" w14:textId="77777777" w:rsidR="008B1C85" w:rsidRDefault="008B1C85" w:rsidP="008B1C85">
      <w:pPr>
        <w:pStyle w:val="Heading5"/>
        <w:sectPr w:rsidR="008B1C85" w:rsidSect="008B1C85">
          <w:headerReference w:type="default" r:id="rId38"/>
          <w:footerReference w:type="default" r:id="rId39"/>
          <w:pgSz w:w="16838" w:h="11906" w:orient="landscape" w:code="9"/>
          <w:pgMar w:top="1701" w:right="1134" w:bottom="1134" w:left="1701" w:header="567" w:footer="567" w:gutter="0"/>
          <w:cols w:space="708"/>
          <w:docGrid w:linePitch="360"/>
        </w:sectPr>
      </w:pPr>
      <w:bookmarkStart w:id="409" w:name="_Ref442202092"/>
    </w:p>
    <w:p w14:paraId="05546943" w14:textId="77777777" w:rsidR="008B1C85" w:rsidRPr="00CC0824" w:rsidRDefault="00E42D4A" w:rsidP="00501E91">
      <w:pPr>
        <w:pStyle w:val="AttHeading1"/>
      </w:pPr>
      <w:r>
        <w:lastRenderedPageBreak/>
        <w:t xml:space="preserve">Appendix 10.2 </w:t>
      </w:r>
      <w:r w:rsidR="008B1C85" w:rsidRPr="00CC0824">
        <w:t>Evidence from the UK</w:t>
      </w:r>
      <w:bookmarkEnd w:id="409"/>
    </w:p>
    <w:p w14:paraId="1256F207" w14:textId="77777777" w:rsidR="008B1C85" w:rsidRPr="00FE05D1" w:rsidRDefault="008B1C85" w:rsidP="000A5A36">
      <w:r w:rsidRPr="00FE05D1">
        <w:t>The NCGC guideline on the diagnosis and monitoring of asthma in adults, children and young people (2016) contains an estimate of the unit cost of performing spirometry and bronchodilator reversibility in children. This unit cost for spirometry is presented in Table A-10.2 and the unit cost for bronchodilator reversibility is presented in Table A-10.3.</w:t>
      </w:r>
    </w:p>
    <w:p w14:paraId="2C8FC359" w14:textId="77777777" w:rsidR="008B1C85" w:rsidRDefault="008B1C85" w:rsidP="00DF3A06">
      <w:pPr>
        <w:pStyle w:val="Appcaption"/>
      </w:pPr>
      <w:r>
        <w:t>Table A-10.2</w:t>
      </w:r>
      <w:r>
        <w:tab/>
        <w:t>NCGC (2016): Cost of performing spirometry in children by practice nurse</w:t>
      </w:r>
    </w:p>
    <w:tbl>
      <w:tblPr>
        <w:tblStyle w:val="TableGrid"/>
        <w:tblW w:w="0" w:type="auto"/>
        <w:tblLook w:val="04A0" w:firstRow="1" w:lastRow="0" w:firstColumn="1" w:lastColumn="0" w:noHBand="0" w:noVBand="1"/>
        <w:tblCaption w:val="National Clinical Guideline Centre (2016)"/>
        <w:tblDescription w:val="Cost of performing spirometry in children by a practice nurse."/>
      </w:tblPr>
      <w:tblGrid>
        <w:gridCol w:w="1981"/>
        <w:gridCol w:w="1234"/>
        <w:gridCol w:w="1901"/>
        <w:gridCol w:w="1553"/>
        <w:gridCol w:w="1853"/>
      </w:tblGrid>
      <w:tr w:rsidR="009A75FC" w:rsidRPr="009A75FC" w14:paraId="6E8A3AB8" w14:textId="77777777" w:rsidTr="008A4CE9">
        <w:trPr>
          <w:tblHeader/>
        </w:trPr>
        <w:tc>
          <w:tcPr>
            <w:tcW w:w="1981" w:type="dxa"/>
            <w:tcBorders>
              <w:top w:val="single" w:sz="4" w:space="0" w:color="auto"/>
              <w:left w:val="single" w:sz="4" w:space="0" w:color="auto"/>
              <w:bottom w:val="single" w:sz="4" w:space="0" w:color="auto"/>
              <w:right w:val="single" w:sz="4" w:space="0" w:color="auto"/>
            </w:tcBorders>
          </w:tcPr>
          <w:p w14:paraId="2245E7C7" w14:textId="77777777" w:rsidR="009A75FC" w:rsidRPr="009A75FC" w:rsidRDefault="009A75FC" w:rsidP="00D53234">
            <w:pPr>
              <w:pStyle w:val="Tableheading"/>
            </w:pPr>
            <w:r w:rsidRPr="009A75FC">
              <w:t>Item</w:t>
            </w:r>
          </w:p>
        </w:tc>
        <w:tc>
          <w:tcPr>
            <w:tcW w:w="1234" w:type="dxa"/>
            <w:tcBorders>
              <w:top w:val="single" w:sz="4" w:space="0" w:color="auto"/>
              <w:left w:val="single" w:sz="4" w:space="0" w:color="auto"/>
              <w:bottom w:val="single" w:sz="4" w:space="0" w:color="auto"/>
              <w:right w:val="single" w:sz="4" w:space="0" w:color="auto"/>
            </w:tcBorders>
          </w:tcPr>
          <w:p w14:paraId="6ED98AD7" w14:textId="77777777" w:rsidR="009A75FC" w:rsidRPr="009A75FC" w:rsidRDefault="009A75FC" w:rsidP="00D53234">
            <w:pPr>
              <w:pStyle w:val="Tableheading"/>
            </w:pPr>
            <w:r w:rsidRPr="009A75FC">
              <w:t>Quantity</w:t>
            </w:r>
            <w:r w:rsidRPr="009A75FC">
              <w:rPr>
                <w:vertAlign w:val="superscript"/>
              </w:rPr>
              <w:t>c</w:t>
            </w:r>
          </w:p>
        </w:tc>
        <w:tc>
          <w:tcPr>
            <w:tcW w:w="1901" w:type="dxa"/>
            <w:tcBorders>
              <w:top w:val="single" w:sz="4" w:space="0" w:color="auto"/>
              <w:left w:val="single" w:sz="4" w:space="0" w:color="auto"/>
              <w:bottom w:val="single" w:sz="4" w:space="0" w:color="auto"/>
              <w:right w:val="single" w:sz="4" w:space="0" w:color="auto"/>
            </w:tcBorders>
          </w:tcPr>
          <w:p w14:paraId="2AB05A3C" w14:textId="77777777" w:rsidR="009A75FC" w:rsidRPr="009A75FC" w:rsidRDefault="009A75FC" w:rsidP="00D53234">
            <w:pPr>
              <w:pStyle w:val="Tableheading"/>
            </w:pPr>
            <w:r w:rsidRPr="009A75FC">
              <w:t>Unit cost</w:t>
            </w:r>
          </w:p>
        </w:tc>
        <w:tc>
          <w:tcPr>
            <w:tcW w:w="1553" w:type="dxa"/>
            <w:tcBorders>
              <w:top w:val="single" w:sz="4" w:space="0" w:color="auto"/>
              <w:left w:val="single" w:sz="4" w:space="0" w:color="auto"/>
              <w:bottom w:val="single" w:sz="4" w:space="0" w:color="auto"/>
              <w:right w:val="single" w:sz="4" w:space="0" w:color="auto"/>
            </w:tcBorders>
          </w:tcPr>
          <w:p w14:paraId="4A827AA6" w14:textId="77777777" w:rsidR="009A75FC" w:rsidRPr="009A75FC" w:rsidRDefault="009A75FC" w:rsidP="00D53234">
            <w:pPr>
              <w:pStyle w:val="Tableheading"/>
            </w:pPr>
            <w:r w:rsidRPr="009A75FC">
              <w:t>Total cost (quantity unit cost)</w:t>
            </w:r>
          </w:p>
        </w:tc>
        <w:tc>
          <w:tcPr>
            <w:tcW w:w="1853" w:type="dxa"/>
            <w:tcBorders>
              <w:top w:val="single" w:sz="4" w:space="0" w:color="auto"/>
              <w:left w:val="single" w:sz="4" w:space="0" w:color="auto"/>
              <w:bottom w:val="single" w:sz="4" w:space="0" w:color="auto"/>
              <w:right w:val="single" w:sz="4" w:space="0" w:color="auto"/>
            </w:tcBorders>
          </w:tcPr>
          <w:p w14:paraId="0AA81DC1" w14:textId="77777777" w:rsidR="009A75FC" w:rsidRPr="009A75FC" w:rsidRDefault="009A75FC" w:rsidP="00D53234">
            <w:pPr>
              <w:pStyle w:val="Tableheading"/>
            </w:pPr>
            <w:r w:rsidRPr="009A75FC">
              <w:t>Source of unit cost</w:t>
            </w:r>
          </w:p>
        </w:tc>
      </w:tr>
      <w:tr w:rsidR="008B1C85" w14:paraId="7C5C545E" w14:textId="77777777" w:rsidTr="008B1C85">
        <w:tc>
          <w:tcPr>
            <w:tcW w:w="1981" w:type="dxa"/>
            <w:tcBorders>
              <w:top w:val="single" w:sz="4" w:space="0" w:color="auto"/>
              <w:left w:val="single" w:sz="4" w:space="0" w:color="auto"/>
              <w:bottom w:val="single" w:sz="4" w:space="0" w:color="auto"/>
              <w:right w:val="single" w:sz="4" w:space="0" w:color="auto"/>
            </w:tcBorders>
          </w:tcPr>
          <w:p w14:paraId="47FB9B3B" w14:textId="77777777" w:rsidR="008B1C85" w:rsidRPr="009A2BE1" w:rsidRDefault="008B1C85" w:rsidP="008B1C85">
            <w:pPr>
              <w:pStyle w:val="Tabletext"/>
              <w:rPr>
                <w:vertAlign w:val="superscript"/>
              </w:rPr>
            </w:pPr>
            <w:r>
              <w:t>Time of GP practice nurse to conduct the test</w:t>
            </w:r>
            <w:r>
              <w:rPr>
                <w:vertAlign w:val="superscript"/>
              </w:rPr>
              <w:t>a</w:t>
            </w:r>
          </w:p>
        </w:tc>
        <w:tc>
          <w:tcPr>
            <w:tcW w:w="1234" w:type="dxa"/>
            <w:tcBorders>
              <w:top w:val="single" w:sz="4" w:space="0" w:color="auto"/>
              <w:left w:val="single" w:sz="4" w:space="0" w:color="auto"/>
              <w:bottom w:val="single" w:sz="4" w:space="0" w:color="auto"/>
              <w:right w:val="single" w:sz="4" w:space="0" w:color="auto"/>
            </w:tcBorders>
          </w:tcPr>
          <w:p w14:paraId="1A7EFFFA" w14:textId="77777777" w:rsidR="008B1C85" w:rsidRDefault="008B1C85" w:rsidP="008B1C85">
            <w:pPr>
              <w:pStyle w:val="Tabletext"/>
            </w:pPr>
            <w:r>
              <w:t>10-15 minutes</w:t>
            </w:r>
          </w:p>
        </w:tc>
        <w:tc>
          <w:tcPr>
            <w:tcW w:w="1901" w:type="dxa"/>
            <w:tcBorders>
              <w:top w:val="single" w:sz="4" w:space="0" w:color="auto"/>
              <w:left w:val="single" w:sz="4" w:space="0" w:color="auto"/>
              <w:bottom w:val="single" w:sz="4" w:space="0" w:color="auto"/>
              <w:right w:val="single" w:sz="4" w:space="0" w:color="auto"/>
            </w:tcBorders>
          </w:tcPr>
          <w:p w14:paraId="152ECF9F" w14:textId="77777777" w:rsidR="008B1C85" w:rsidRDefault="008B1C85" w:rsidP="008B1C85">
            <w:pPr>
              <w:pStyle w:val="Tabletext"/>
            </w:pPr>
            <w:r>
              <w:t>£0.73 per minute</w:t>
            </w:r>
          </w:p>
        </w:tc>
        <w:tc>
          <w:tcPr>
            <w:tcW w:w="1553" w:type="dxa"/>
            <w:tcBorders>
              <w:top w:val="single" w:sz="4" w:space="0" w:color="auto"/>
              <w:left w:val="single" w:sz="4" w:space="0" w:color="auto"/>
              <w:bottom w:val="single" w:sz="4" w:space="0" w:color="auto"/>
              <w:right w:val="single" w:sz="4" w:space="0" w:color="auto"/>
            </w:tcBorders>
          </w:tcPr>
          <w:p w14:paraId="3FDFCA46" w14:textId="77777777" w:rsidR="008B1C85" w:rsidRDefault="008B1C85" w:rsidP="008B1C85">
            <w:pPr>
              <w:pStyle w:val="Tabletext"/>
            </w:pPr>
            <w:r>
              <w:t>£7.30 - £10.95</w:t>
            </w:r>
          </w:p>
        </w:tc>
        <w:tc>
          <w:tcPr>
            <w:tcW w:w="1853" w:type="dxa"/>
            <w:tcBorders>
              <w:top w:val="single" w:sz="4" w:space="0" w:color="auto"/>
              <w:left w:val="single" w:sz="4" w:space="0" w:color="auto"/>
              <w:bottom w:val="single" w:sz="4" w:space="0" w:color="auto"/>
              <w:right w:val="single" w:sz="4" w:space="0" w:color="auto"/>
            </w:tcBorders>
          </w:tcPr>
          <w:p w14:paraId="075FAC29" w14:textId="77777777" w:rsidR="008B1C85" w:rsidRPr="00124262" w:rsidRDefault="008B1C85" w:rsidP="008B1C85">
            <w:pPr>
              <w:pStyle w:val="Tabletext"/>
            </w:pPr>
            <w:r w:rsidRPr="00124262">
              <w:t>PSSRU</w:t>
            </w:r>
            <w:bookmarkStart w:id="410" w:name="_Ref441224555"/>
            <w:r>
              <w:rPr>
                <w:rStyle w:val="FootnoteReference"/>
                <w:rFonts w:eastAsiaTheme="minorHAnsi"/>
              </w:rPr>
              <w:footnoteReference w:id="29"/>
            </w:r>
            <w:bookmarkEnd w:id="410"/>
          </w:p>
        </w:tc>
      </w:tr>
      <w:tr w:rsidR="008B1C85" w14:paraId="5D93DE5A" w14:textId="77777777" w:rsidTr="00501E91">
        <w:tc>
          <w:tcPr>
            <w:tcW w:w="1981" w:type="dxa"/>
            <w:tcBorders>
              <w:top w:val="single" w:sz="4" w:space="0" w:color="auto"/>
              <w:left w:val="single" w:sz="4" w:space="0" w:color="auto"/>
              <w:bottom w:val="single" w:sz="4" w:space="0" w:color="auto"/>
              <w:right w:val="single" w:sz="4" w:space="0" w:color="auto"/>
            </w:tcBorders>
            <w:shd w:val="clear" w:color="auto" w:fill="auto"/>
          </w:tcPr>
          <w:p w14:paraId="7D1D922E" w14:textId="77777777" w:rsidR="008B1C85" w:rsidRPr="009A2BE1" w:rsidRDefault="008B1C85" w:rsidP="008B1C85">
            <w:pPr>
              <w:pStyle w:val="Tabletext"/>
              <w:rPr>
                <w:vertAlign w:val="superscript"/>
              </w:rPr>
            </w:pPr>
            <w:r>
              <w:t>Micro-lab spirometer</w:t>
            </w:r>
            <w:r>
              <w:rPr>
                <w:vertAlign w:val="superscript"/>
              </w:rPr>
              <w:t>b</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727DEE9C" w14:textId="77777777" w:rsidR="008B1C85" w:rsidRDefault="008B1C85" w:rsidP="008B1C85">
            <w:pPr>
              <w:pStyle w:val="Tabletext"/>
            </w:pPr>
            <w:r>
              <w:t>1/1500</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437D945" w14:textId="77777777" w:rsidR="008B1C85" w:rsidRDefault="008B1C85" w:rsidP="008B1C85">
            <w:pPr>
              <w:pStyle w:val="Tabletext"/>
            </w:pPr>
            <w:r>
              <w:t>£1498.90 per spirometer</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4D971CFC" w14:textId="77777777" w:rsidR="008B1C85" w:rsidRDefault="008B1C85" w:rsidP="008B1C85">
            <w:pPr>
              <w:pStyle w:val="Tabletext"/>
            </w:pPr>
            <w:r>
              <w:t>£1.00</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393FBF1F" w14:textId="77777777" w:rsidR="008B1C85" w:rsidRPr="00124262" w:rsidRDefault="008B1C85" w:rsidP="008B1C85">
            <w:pPr>
              <w:pStyle w:val="Tabletext"/>
            </w:pPr>
            <w:r w:rsidRPr="00124262">
              <w:t>NHS supply catalogue</w:t>
            </w:r>
            <w:bookmarkStart w:id="411" w:name="_Ref441221334"/>
            <w:r>
              <w:rPr>
                <w:rStyle w:val="FootnoteReference"/>
                <w:rFonts w:eastAsiaTheme="minorHAnsi"/>
              </w:rPr>
              <w:footnoteReference w:id="30"/>
            </w:r>
            <w:bookmarkEnd w:id="411"/>
          </w:p>
        </w:tc>
      </w:tr>
      <w:tr w:rsidR="008B1C85" w14:paraId="1C6DB510" w14:textId="77777777" w:rsidTr="008B1C85">
        <w:tc>
          <w:tcPr>
            <w:tcW w:w="1981" w:type="dxa"/>
            <w:tcBorders>
              <w:top w:val="single" w:sz="4" w:space="0" w:color="auto"/>
              <w:left w:val="single" w:sz="4" w:space="0" w:color="auto"/>
              <w:bottom w:val="single" w:sz="4" w:space="0" w:color="auto"/>
              <w:right w:val="single" w:sz="4" w:space="0" w:color="auto"/>
            </w:tcBorders>
          </w:tcPr>
          <w:p w14:paraId="0CC61796" w14:textId="77777777" w:rsidR="008B1C85" w:rsidRPr="009A2BE1" w:rsidRDefault="008B1C85" w:rsidP="008B1C85">
            <w:pPr>
              <w:pStyle w:val="Tabletext"/>
              <w:rPr>
                <w:vertAlign w:val="superscript"/>
              </w:rPr>
            </w:pPr>
            <w:r>
              <w:t>Bacterial filter, 3-litre syringe for calibration</w:t>
            </w:r>
            <w:r>
              <w:rPr>
                <w:vertAlign w:val="superscript"/>
              </w:rPr>
              <w:t>b</w:t>
            </w:r>
          </w:p>
        </w:tc>
        <w:tc>
          <w:tcPr>
            <w:tcW w:w="1234" w:type="dxa"/>
            <w:tcBorders>
              <w:top w:val="single" w:sz="4" w:space="0" w:color="auto"/>
              <w:left w:val="single" w:sz="4" w:space="0" w:color="auto"/>
              <w:bottom w:val="single" w:sz="4" w:space="0" w:color="auto"/>
              <w:right w:val="single" w:sz="4" w:space="0" w:color="auto"/>
            </w:tcBorders>
          </w:tcPr>
          <w:p w14:paraId="268396C2" w14:textId="77777777" w:rsidR="008B1C85" w:rsidRDefault="008B1C85" w:rsidP="008B1C85">
            <w:pPr>
              <w:pStyle w:val="Tabletext"/>
            </w:pPr>
            <w:r>
              <w:t>1/1500</w:t>
            </w:r>
          </w:p>
        </w:tc>
        <w:tc>
          <w:tcPr>
            <w:tcW w:w="1901" w:type="dxa"/>
            <w:tcBorders>
              <w:top w:val="single" w:sz="4" w:space="0" w:color="auto"/>
              <w:left w:val="single" w:sz="4" w:space="0" w:color="auto"/>
              <w:bottom w:val="single" w:sz="4" w:space="0" w:color="auto"/>
              <w:right w:val="single" w:sz="4" w:space="0" w:color="auto"/>
            </w:tcBorders>
          </w:tcPr>
          <w:p w14:paraId="213B4BF9" w14:textId="77777777" w:rsidR="008B1C85" w:rsidRDefault="008B1C85" w:rsidP="008B1C85">
            <w:pPr>
              <w:pStyle w:val="Tabletext"/>
            </w:pPr>
            <w:r>
              <w:t>£295.77</w:t>
            </w:r>
          </w:p>
        </w:tc>
        <w:tc>
          <w:tcPr>
            <w:tcW w:w="1553" w:type="dxa"/>
            <w:tcBorders>
              <w:top w:val="single" w:sz="4" w:space="0" w:color="auto"/>
              <w:left w:val="single" w:sz="4" w:space="0" w:color="auto"/>
              <w:bottom w:val="single" w:sz="4" w:space="0" w:color="auto"/>
              <w:right w:val="single" w:sz="4" w:space="0" w:color="auto"/>
            </w:tcBorders>
          </w:tcPr>
          <w:p w14:paraId="7ADE4B79" w14:textId="77777777" w:rsidR="008B1C85" w:rsidRDefault="008B1C85" w:rsidP="008B1C85">
            <w:pPr>
              <w:pStyle w:val="Tabletext"/>
            </w:pPr>
            <w:r>
              <w:t>£0.20</w:t>
            </w:r>
          </w:p>
        </w:tc>
        <w:tc>
          <w:tcPr>
            <w:tcW w:w="1853" w:type="dxa"/>
            <w:tcBorders>
              <w:top w:val="single" w:sz="4" w:space="0" w:color="auto"/>
              <w:left w:val="single" w:sz="4" w:space="0" w:color="auto"/>
              <w:bottom w:val="single" w:sz="4" w:space="0" w:color="auto"/>
              <w:right w:val="single" w:sz="4" w:space="0" w:color="auto"/>
            </w:tcBorders>
          </w:tcPr>
          <w:p w14:paraId="3D024DC1" w14:textId="77777777" w:rsidR="008B1C85" w:rsidRPr="00124262" w:rsidRDefault="008B1C85" w:rsidP="008B1C85">
            <w:pPr>
              <w:pStyle w:val="Tabletext"/>
            </w:pPr>
            <w:r w:rsidRPr="00124262">
              <w:t>NHS supply catalogue</w:t>
            </w:r>
          </w:p>
        </w:tc>
      </w:tr>
      <w:tr w:rsidR="008B1C85" w14:paraId="4BC1D9AF" w14:textId="77777777" w:rsidTr="00501E91">
        <w:tc>
          <w:tcPr>
            <w:tcW w:w="1981" w:type="dxa"/>
            <w:tcBorders>
              <w:top w:val="single" w:sz="4" w:space="0" w:color="auto"/>
              <w:left w:val="single" w:sz="4" w:space="0" w:color="auto"/>
              <w:bottom w:val="single" w:sz="4" w:space="0" w:color="auto"/>
              <w:right w:val="single" w:sz="4" w:space="0" w:color="auto"/>
            </w:tcBorders>
            <w:shd w:val="clear" w:color="auto" w:fill="auto"/>
          </w:tcPr>
          <w:p w14:paraId="37C7F962" w14:textId="77777777" w:rsidR="008B1C85" w:rsidRDefault="008B1C85" w:rsidP="008B1C85">
            <w:pPr>
              <w:pStyle w:val="Tabletext"/>
            </w:pPr>
            <w:r>
              <w:t>Bacterial filter</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0DB704E3" w14:textId="77777777" w:rsidR="008B1C85" w:rsidRDefault="008B1C85" w:rsidP="008B1C85">
            <w:pPr>
              <w:pStyle w:val="Tabletext"/>
            </w:pPr>
            <w:r>
              <w:t>1</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1433B9A" w14:textId="77777777" w:rsidR="008B1C85" w:rsidRDefault="008B1C85" w:rsidP="008B1C85">
            <w:pPr>
              <w:pStyle w:val="Tabletext"/>
            </w:pPr>
            <w:r>
              <w:t>£0.99 per filter</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4B525331" w14:textId="77777777" w:rsidR="008B1C85" w:rsidRDefault="008B1C85" w:rsidP="008B1C85">
            <w:pPr>
              <w:pStyle w:val="Tabletext"/>
            </w:pPr>
            <w:r>
              <w:t>£0.99</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304E6D3F" w14:textId="77777777" w:rsidR="008B1C85" w:rsidRPr="00124262" w:rsidRDefault="008B1C85" w:rsidP="008B1C85">
            <w:pPr>
              <w:pStyle w:val="Tabletext"/>
            </w:pPr>
            <w:r w:rsidRPr="00124262">
              <w:t>NHS supply catalogue</w:t>
            </w:r>
          </w:p>
        </w:tc>
      </w:tr>
      <w:tr w:rsidR="008B1C85" w14:paraId="313027DC" w14:textId="77777777" w:rsidTr="008B1C85">
        <w:tc>
          <w:tcPr>
            <w:tcW w:w="1981" w:type="dxa"/>
            <w:tcBorders>
              <w:top w:val="single" w:sz="4" w:space="0" w:color="auto"/>
              <w:left w:val="single" w:sz="4" w:space="0" w:color="auto"/>
              <w:bottom w:val="single" w:sz="4" w:space="0" w:color="auto"/>
              <w:right w:val="single" w:sz="4" w:space="0" w:color="auto"/>
            </w:tcBorders>
          </w:tcPr>
          <w:p w14:paraId="66C8F992" w14:textId="77777777" w:rsidR="008B1C85" w:rsidRDefault="008B1C85" w:rsidP="008B1C85">
            <w:pPr>
              <w:pStyle w:val="05Tablebold"/>
            </w:pPr>
            <w:r>
              <w:t>Total</w:t>
            </w:r>
          </w:p>
        </w:tc>
        <w:tc>
          <w:tcPr>
            <w:tcW w:w="1234" w:type="dxa"/>
            <w:tcBorders>
              <w:top w:val="single" w:sz="4" w:space="0" w:color="auto"/>
              <w:left w:val="single" w:sz="4" w:space="0" w:color="auto"/>
              <w:bottom w:val="single" w:sz="4" w:space="0" w:color="auto"/>
              <w:right w:val="single" w:sz="4" w:space="0" w:color="auto"/>
            </w:tcBorders>
          </w:tcPr>
          <w:p w14:paraId="471B3E90" w14:textId="77777777" w:rsidR="008B1C85" w:rsidRDefault="00CB61CF" w:rsidP="008B1C85">
            <w:pPr>
              <w:pStyle w:val="Tabletext"/>
            </w:pPr>
            <w:r>
              <w:t>Not applicable</w:t>
            </w:r>
          </w:p>
        </w:tc>
        <w:tc>
          <w:tcPr>
            <w:tcW w:w="1901" w:type="dxa"/>
            <w:tcBorders>
              <w:top w:val="single" w:sz="4" w:space="0" w:color="auto"/>
              <w:left w:val="single" w:sz="4" w:space="0" w:color="auto"/>
              <w:bottom w:val="single" w:sz="4" w:space="0" w:color="auto"/>
              <w:right w:val="single" w:sz="4" w:space="0" w:color="auto"/>
            </w:tcBorders>
          </w:tcPr>
          <w:p w14:paraId="7B3C030F" w14:textId="77777777" w:rsidR="008B1C85" w:rsidRDefault="00CB61CF" w:rsidP="008B1C85">
            <w:pPr>
              <w:pStyle w:val="Tabletext"/>
            </w:pPr>
            <w:r>
              <w:t>Not applicable</w:t>
            </w:r>
          </w:p>
        </w:tc>
        <w:tc>
          <w:tcPr>
            <w:tcW w:w="1553" w:type="dxa"/>
            <w:tcBorders>
              <w:top w:val="single" w:sz="4" w:space="0" w:color="auto"/>
              <w:left w:val="single" w:sz="4" w:space="0" w:color="auto"/>
              <w:bottom w:val="single" w:sz="4" w:space="0" w:color="auto"/>
              <w:right w:val="single" w:sz="4" w:space="0" w:color="auto"/>
            </w:tcBorders>
          </w:tcPr>
          <w:p w14:paraId="484E541B" w14:textId="77777777" w:rsidR="008B1C85" w:rsidRPr="00540DB7" w:rsidRDefault="008B1C85" w:rsidP="008B1C85">
            <w:pPr>
              <w:pStyle w:val="05Tablebold"/>
            </w:pPr>
            <w:r w:rsidRPr="00540DB7">
              <w:t>£9.49 – £13.14</w:t>
            </w:r>
          </w:p>
          <w:p w14:paraId="7FFD5ACF" w14:textId="77777777" w:rsidR="008B1C85" w:rsidRPr="00540DB7" w:rsidRDefault="008B1C85" w:rsidP="008B1C85">
            <w:pPr>
              <w:pStyle w:val="Tabletext"/>
              <w:rPr>
                <w:i/>
              </w:rPr>
            </w:pPr>
            <w:r w:rsidRPr="00540DB7">
              <w:rPr>
                <w:b/>
                <w:i/>
              </w:rPr>
              <w:t>($19.59 – $27.13)</w:t>
            </w:r>
          </w:p>
        </w:tc>
        <w:tc>
          <w:tcPr>
            <w:tcW w:w="1853" w:type="dxa"/>
            <w:tcBorders>
              <w:top w:val="single" w:sz="4" w:space="0" w:color="auto"/>
              <w:left w:val="single" w:sz="4" w:space="0" w:color="auto"/>
              <w:bottom w:val="single" w:sz="4" w:space="0" w:color="auto"/>
              <w:right w:val="single" w:sz="4" w:space="0" w:color="auto"/>
            </w:tcBorders>
          </w:tcPr>
          <w:p w14:paraId="3591B096" w14:textId="77777777" w:rsidR="008B1C85" w:rsidRPr="00540DB7" w:rsidRDefault="00CB61CF" w:rsidP="008B1C85">
            <w:pPr>
              <w:pStyle w:val="Tabletext"/>
            </w:pPr>
            <w:r>
              <w:t>Not applicable</w:t>
            </w:r>
          </w:p>
        </w:tc>
      </w:tr>
    </w:tbl>
    <w:p w14:paraId="1F75F3B2" w14:textId="77777777" w:rsidR="008B1C85" w:rsidRDefault="008B1C85" w:rsidP="008B1C85">
      <w:pPr>
        <w:pStyle w:val="08Tablefootnotes"/>
      </w:pPr>
      <w:r>
        <w:t>Source: NCGC (2016), Table 25, p93; with currency converted to AUD using exchange rate at 10 February 2016.</w:t>
      </w:r>
    </w:p>
    <w:p w14:paraId="0B12C62A" w14:textId="77777777" w:rsidR="008B1C85" w:rsidRPr="00124262" w:rsidRDefault="008B1C85" w:rsidP="008B1C85">
      <w:pPr>
        <w:pStyle w:val="08Tablefootnotes"/>
      </w:pPr>
      <w:r>
        <w:t>Abbreviations: AUD, Australian dollar; GP, General Practitioner; NHS, National Health Service; PSSRU, Personal Social Services Research Unit.</w:t>
      </w:r>
    </w:p>
    <w:p w14:paraId="6A48EC35" w14:textId="77777777" w:rsidR="008B1C85" w:rsidRDefault="008B1C85" w:rsidP="008B1C85">
      <w:pPr>
        <w:pStyle w:val="08Tablefootnotes"/>
      </w:pPr>
      <w:r>
        <w:rPr>
          <w:b/>
        </w:rPr>
        <w:t>a</w:t>
      </w:r>
      <w:r>
        <w:t xml:space="preserve"> </w:t>
      </w:r>
      <w:r w:rsidRPr="009A2BE1">
        <w:t>This range reflects the differing levels of experience of the nurse conducting the test but also the age of the child. The test is likely to be conducted quicker in older children.</w:t>
      </w:r>
    </w:p>
    <w:p w14:paraId="0A9A9AE1" w14:textId="77777777" w:rsidR="008B1C85" w:rsidRDefault="008B1C85" w:rsidP="008B1C85">
      <w:pPr>
        <w:pStyle w:val="08Tablefootnotes"/>
      </w:pPr>
      <w:r>
        <w:rPr>
          <w:b/>
        </w:rPr>
        <w:t xml:space="preserve">b </w:t>
      </w:r>
      <w:r w:rsidRPr="009A2BE1">
        <w:t>To calculate the marginal cost it was assumed that the equipment lasts for 5 years and is used on average 1500 times in this period.</w:t>
      </w:r>
    </w:p>
    <w:p w14:paraId="6834533F" w14:textId="77777777" w:rsidR="00F7689F" w:rsidRDefault="008B1C85" w:rsidP="008B1C85">
      <w:pPr>
        <w:pStyle w:val="09Tablefootnoteslast-nostick"/>
      </w:pPr>
      <w:r>
        <w:rPr>
          <w:b/>
        </w:rPr>
        <w:t>c</w:t>
      </w:r>
      <w:r>
        <w:t xml:space="preserve"> </w:t>
      </w:r>
      <w:r w:rsidRPr="009A2BE1">
        <w:t>Based on GDG opinion.</w:t>
      </w:r>
      <w:r w:rsidR="00F7689F">
        <w:br w:type="page"/>
      </w:r>
    </w:p>
    <w:p w14:paraId="3A6A89DA" w14:textId="77777777" w:rsidR="008B1C85" w:rsidRDefault="008B1C85" w:rsidP="00DF3A06">
      <w:pPr>
        <w:pStyle w:val="Appcaption"/>
      </w:pPr>
      <w:r>
        <w:lastRenderedPageBreak/>
        <w:t>Table A-10.3</w:t>
      </w:r>
      <w:r>
        <w:tab/>
        <w:t>NCGC (2016): Cost of performing bronchodilator reversibility testing in children by practice nurse</w:t>
      </w:r>
    </w:p>
    <w:tbl>
      <w:tblPr>
        <w:tblStyle w:val="TableGrid"/>
        <w:tblW w:w="0" w:type="auto"/>
        <w:tblLook w:val="04A0" w:firstRow="1" w:lastRow="0" w:firstColumn="1" w:lastColumn="0" w:noHBand="0" w:noVBand="1"/>
        <w:tblCaption w:val="National Clinical Guideline Centre (2016)"/>
        <w:tblDescription w:val="Cost of performing spirometry in children by a practice nurse."/>
      </w:tblPr>
      <w:tblGrid>
        <w:gridCol w:w="1695"/>
        <w:gridCol w:w="1132"/>
        <w:gridCol w:w="1045"/>
        <w:gridCol w:w="1121"/>
        <w:gridCol w:w="1346"/>
      </w:tblGrid>
      <w:tr w:rsidR="00406EE6" w:rsidRPr="009A75FC" w14:paraId="56E7C913" w14:textId="77777777" w:rsidTr="0075170C">
        <w:trPr>
          <w:tblHeader/>
        </w:trPr>
        <w:tc>
          <w:tcPr>
            <w:tcW w:w="1695" w:type="dxa"/>
            <w:tcBorders>
              <w:top w:val="single" w:sz="4" w:space="0" w:color="auto"/>
              <w:left w:val="single" w:sz="4" w:space="0" w:color="auto"/>
              <w:bottom w:val="single" w:sz="4" w:space="0" w:color="auto"/>
              <w:right w:val="single" w:sz="4" w:space="0" w:color="auto"/>
            </w:tcBorders>
          </w:tcPr>
          <w:p w14:paraId="2437549A" w14:textId="77777777" w:rsidR="00406EE6" w:rsidRPr="009A75FC" w:rsidRDefault="00406EE6" w:rsidP="00D53234">
            <w:pPr>
              <w:pStyle w:val="Tableheading"/>
            </w:pPr>
            <w:r w:rsidRPr="009A75FC">
              <w:t>Item</w:t>
            </w:r>
          </w:p>
        </w:tc>
        <w:tc>
          <w:tcPr>
            <w:tcW w:w="1132" w:type="dxa"/>
            <w:tcBorders>
              <w:top w:val="single" w:sz="4" w:space="0" w:color="auto"/>
              <w:left w:val="single" w:sz="4" w:space="0" w:color="auto"/>
              <w:bottom w:val="single" w:sz="4" w:space="0" w:color="auto"/>
              <w:right w:val="single" w:sz="4" w:space="0" w:color="auto"/>
            </w:tcBorders>
          </w:tcPr>
          <w:p w14:paraId="79B55AB4" w14:textId="77777777" w:rsidR="00406EE6" w:rsidRPr="009A75FC" w:rsidRDefault="00406EE6" w:rsidP="00D53234">
            <w:pPr>
              <w:pStyle w:val="Tableheading"/>
            </w:pPr>
            <w:r w:rsidRPr="009A75FC">
              <w:t>Quantity</w:t>
            </w:r>
            <w:r w:rsidRPr="009A75FC">
              <w:rPr>
                <w:vertAlign w:val="superscript"/>
              </w:rPr>
              <w:t>c</w:t>
            </w:r>
          </w:p>
        </w:tc>
        <w:tc>
          <w:tcPr>
            <w:tcW w:w="984" w:type="dxa"/>
            <w:tcBorders>
              <w:top w:val="single" w:sz="4" w:space="0" w:color="auto"/>
              <w:left w:val="single" w:sz="4" w:space="0" w:color="auto"/>
              <w:bottom w:val="single" w:sz="4" w:space="0" w:color="auto"/>
              <w:right w:val="single" w:sz="4" w:space="0" w:color="auto"/>
            </w:tcBorders>
          </w:tcPr>
          <w:p w14:paraId="3D65A586" w14:textId="77777777" w:rsidR="00406EE6" w:rsidRPr="009A75FC" w:rsidRDefault="00406EE6" w:rsidP="00D53234">
            <w:pPr>
              <w:pStyle w:val="Tableheading"/>
            </w:pPr>
            <w:r w:rsidRPr="009A75FC">
              <w:t>Unit cost</w:t>
            </w:r>
          </w:p>
        </w:tc>
        <w:tc>
          <w:tcPr>
            <w:tcW w:w="1121" w:type="dxa"/>
            <w:tcBorders>
              <w:top w:val="single" w:sz="4" w:space="0" w:color="auto"/>
              <w:left w:val="single" w:sz="4" w:space="0" w:color="auto"/>
              <w:bottom w:val="single" w:sz="4" w:space="0" w:color="auto"/>
              <w:right w:val="single" w:sz="4" w:space="0" w:color="auto"/>
            </w:tcBorders>
          </w:tcPr>
          <w:p w14:paraId="7F8BE283" w14:textId="77777777" w:rsidR="00406EE6" w:rsidRPr="009A75FC" w:rsidRDefault="00406EE6" w:rsidP="00D53234">
            <w:pPr>
              <w:pStyle w:val="Tableheading"/>
            </w:pPr>
            <w:r w:rsidRPr="009A75FC">
              <w:t>Total cost (quantity unit cost)</w:t>
            </w:r>
          </w:p>
        </w:tc>
        <w:tc>
          <w:tcPr>
            <w:tcW w:w="1346" w:type="dxa"/>
            <w:tcBorders>
              <w:top w:val="single" w:sz="4" w:space="0" w:color="auto"/>
              <w:left w:val="single" w:sz="4" w:space="0" w:color="auto"/>
              <w:bottom w:val="single" w:sz="4" w:space="0" w:color="auto"/>
              <w:right w:val="single" w:sz="4" w:space="0" w:color="auto"/>
            </w:tcBorders>
          </w:tcPr>
          <w:p w14:paraId="347DBDD1" w14:textId="77777777" w:rsidR="00406EE6" w:rsidRPr="009A75FC" w:rsidRDefault="00406EE6" w:rsidP="00D53234">
            <w:pPr>
              <w:pStyle w:val="Tableheading"/>
            </w:pPr>
            <w:r w:rsidRPr="009A75FC">
              <w:t>Source of unit cost</w:t>
            </w:r>
          </w:p>
        </w:tc>
      </w:tr>
      <w:tr w:rsidR="00406EE6" w14:paraId="3E84F74B" w14:textId="77777777" w:rsidTr="0075170C">
        <w:tc>
          <w:tcPr>
            <w:tcW w:w="1695" w:type="dxa"/>
            <w:tcBorders>
              <w:top w:val="single" w:sz="4" w:space="0" w:color="auto"/>
              <w:left w:val="single" w:sz="4" w:space="0" w:color="auto"/>
              <w:bottom w:val="single" w:sz="4" w:space="0" w:color="auto"/>
              <w:right w:val="single" w:sz="4" w:space="0" w:color="auto"/>
            </w:tcBorders>
          </w:tcPr>
          <w:p w14:paraId="1519C90E" w14:textId="77777777" w:rsidR="00406EE6" w:rsidRPr="009A2BE1" w:rsidRDefault="00406EE6" w:rsidP="008B1C85">
            <w:pPr>
              <w:pStyle w:val="Tabletext"/>
              <w:rPr>
                <w:vertAlign w:val="superscript"/>
              </w:rPr>
            </w:pPr>
            <w:r>
              <w:t>Time taken to administer bronchodilator and check for reversibility</w:t>
            </w:r>
            <w:r>
              <w:rPr>
                <w:vertAlign w:val="superscript"/>
              </w:rPr>
              <w:t>a</w:t>
            </w:r>
          </w:p>
        </w:tc>
        <w:tc>
          <w:tcPr>
            <w:tcW w:w="1132" w:type="dxa"/>
            <w:tcBorders>
              <w:top w:val="single" w:sz="4" w:space="0" w:color="auto"/>
              <w:left w:val="single" w:sz="4" w:space="0" w:color="auto"/>
              <w:bottom w:val="single" w:sz="4" w:space="0" w:color="auto"/>
              <w:right w:val="single" w:sz="4" w:space="0" w:color="auto"/>
            </w:tcBorders>
          </w:tcPr>
          <w:p w14:paraId="1942C7D3" w14:textId="77777777" w:rsidR="00406EE6" w:rsidRDefault="00406EE6" w:rsidP="008B1C85">
            <w:pPr>
              <w:pStyle w:val="Tabletext"/>
            </w:pPr>
            <w:r>
              <w:t>8-17 minutes</w:t>
            </w:r>
          </w:p>
        </w:tc>
        <w:tc>
          <w:tcPr>
            <w:tcW w:w="984" w:type="dxa"/>
            <w:tcBorders>
              <w:top w:val="single" w:sz="4" w:space="0" w:color="auto"/>
              <w:left w:val="single" w:sz="4" w:space="0" w:color="auto"/>
              <w:bottom w:val="single" w:sz="4" w:space="0" w:color="auto"/>
              <w:right w:val="single" w:sz="4" w:space="0" w:color="auto"/>
            </w:tcBorders>
          </w:tcPr>
          <w:p w14:paraId="31F8A3CC" w14:textId="77777777" w:rsidR="00406EE6" w:rsidRDefault="00406EE6" w:rsidP="008B1C85">
            <w:pPr>
              <w:pStyle w:val="Tabletext"/>
            </w:pPr>
            <w:r>
              <w:t>£0.73 per minute</w:t>
            </w:r>
          </w:p>
        </w:tc>
        <w:tc>
          <w:tcPr>
            <w:tcW w:w="1121" w:type="dxa"/>
            <w:tcBorders>
              <w:top w:val="single" w:sz="4" w:space="0" w:color="auto"/>
              <w:left w:val="single" w:sz="4" w:space="0" w:color="auto"/>
              <w:bottom w:val="single" w:sz="4" w:space="0" w:color="auto"/>
              <w:right w:val="single" w:sz="4" w:space="0" w:color="auto"/>
            </w:tcBorders>
          </w:tcPr>
          <w:p w14:paraId="2AB0A127" w14:textId="77777777" w:rsidR="00406EE6" w:rsidRDefault="00406EE6" w:rsidP="008B1C85">
            <w:pPr>
              <w:pStyle w:val="Tabletext"/>
            </w:pPr>
            <w:r>
              <w:t>£5.84 - £12.41</w:t>
            </w:r>
          </w:p>
        </w:tc>
        <w:tc>
          <w:tcPr>
            <w:tcW w:w="1346" w:type="dxa"/>
            <w:tcBorders>
              <w:top w:val="single" w:sz="4" w:space="0" w:color="auto"/>
              <w:left w:val="single" w:sz="4" w:space="0" w:color="auto"/>
              <w:bottom w:val="single" w:sz="4" w:space="0" w:color="auto"/>
              <w:right w:val="single" w:sz="4" w:space="0" w:color="auto"/>
            </w:tcBorders>
          </w:tcPr>
          <w:p w14:paraId="5523190D" w14:textId="77777777" w:rsidR="00406EE6" w:rsidRPr="00124262" w:rsidRDefault="00406EE6" w:rsidP="008B1C85">
            <w:pPr>
              <w:pStyle w:val="Tabletext"/>
            </w:pPr>
            <w:r w:rsidRPr="00124262">
              <w:t>PSSRU</w:t>
            </w:r>
          </w:p>
        </w:tc>
      </w:tr>
      <w:tr w:rsidR="00406EE6" w14:paraId="1B63BC1A" w14:textId="77777777" w:rsidTr="0075170C">
        <w:tc>
          <w:tcPr>
            <w:tcW w:w="1695" w:type="dxa"/>
            <w:tcBorders>
              <w:top w:val="single" w:sz="4" w:space="0" w:color="auto"/>
              <w:left w:val="single" w:sz="4" w:space="0" w:color="auto"/>
              <w:bottom w:val="single" w:sz="4" w:space="0" w:color="auto"/>
              <w:right w:val="single" w:sz="4" w:space="0" w:color="auto"/>
            </w:tcBorders>
          </w:tcPr>
          <w:p w14:paraId="0E0FBD7C" w14:textId="77777777" w:rsidR="00406EE6" w:rsidRPr="009A2BE1" w:rsidRDefault="00406EE6" w:rsidP="008B1C85">
            <w:pPr>
              <w:pStyle w:val="Tabletext"/>
              <w:rPr>
                <w:vertAlign w:val="superscript"/>
              </w:rPr>
            </w:pPr>
            <w:r>
              <w:t>Volumatic spacer</w:t>
            </w:r>
          </w:p>
        </w:tc>
        <w:tc>
          <w:tcPr>
            <w:tcW w:w="1132" w:type="dxa"/>
            <w:tcBorders>
              <w:top w:val="single" w:sz="4" w:space="0" w:color="auto"/>
              <w:left w:val="single" w:sz="4" w:space="0" w:color="auto"/>
              <w:bottom w:val="single" w:sz="4" w:space="0" w:color="auto"/>
              <w:right w:val="single" w:sz="4" w:space="0" w:color="auto"/>
            </w:tcBorders>
          </w:tcPr>
          <w:p w14:paraId="0CE4EB3B" w14:textId="77777777" w:rsidR="00406EE6" w:rsidRDefault="00406EE6" w:rsidP="008B1C85">
            <w:pPr>
              <w:pStyle w:val="Tabletext"/>
            </w:pPr>
            <w:r>
              <w:t>1</w:t>
            </w:r>
          </w:p>
        </w:tc>
        <w:tc>
          <w:tcPr>
            <w:tcW w:w="984" w:type="dxa"/>
            <w:tcBorders>
              <w:top w:val="single" w:sz="4" w:space="0" w:color="auto"/>
              <w:left w:val="single" w:sz="4" w:space="0" w:color="auto"/>
              <w:bottom w:val="single" w:sz="4" w:space="0" w:color="auto"/>
              <w:right w:val="single" w:sz="4" w:space="0" w:color="auto"/>
            </w:tcBorders>
          </w:tcPr>
          <w:p w14:paraId="4520FE37" w14:textId="77777777" w:rsidR="00406EE6" w:rsidRDefault="00406EE6" w:rsidP="008B1C85">
            <w:pPr>
              <w:pStyle w:val="Tabletext"/>
            </w:pPr>
            <w:r>
              <w:t>£3.81 per spacer</w:t>
            </w:r>
          </w:p>
        </w:tc>
        <w:tc>
          <w:tcPr>
            <w:tcW w:w="1121" w:type="dxa"/>
            <w:tcBorders>
              <w:top w:val="single" w:sz="4" w:space="0" w:color="auto"/>
              <w:left w:val="single" w:sz="4" w:space="0" w:color="auto"/>
              <w:bottom w:val="single" w:sz="4" w:space="0" w:color="auto"/>
              <w:right w:val="single" w:sz="4" w:space="0" w:color="auto"/>
            </w:tcBorders>
          </w:tcPr>
          <w:p w14:paraId="1DC55E45" w14:textId="77777777" w:rsidR="00406EE6" w:rsidRDefault="00406EE6" w:rsidP="008B1C85">
            <w:pPr>
              <w:pStyle w:val="Tabletext"/>
            </w:pPr>
            <w:r>
              <w:t>£3.81</w:t>
            </w:r>
          </w:p>
        </w:tc>
        <w:tc>
          <w:tcPr>
            <w:tcW w:w="1346" w:type="dxa"/>
            <w:tcBorders>
              <w:top w:val="single" w:sz="4" w:space="0" w:color="auto"/>
              <w:left w:val="single" w:sz="4" w:space="0" w:color="auto"/>
              <w:bottom w:val="single" w:sz="4" w:space="0" w:color="auto"/>
              <w:right w:val="single" w:sz="4" w:space="0" w:color="auto"/>
            </w:tcBorders>
          </w:tcPr>
          <w:p w14:paraId="37BE5230" w14:textId="77777777" w:rsidR="00406EE6" w:rsidRPr="00124262" w:rsidRDefault="00406EE6" w:rsidP="008B1C85">
            <w:pPr>
              <w:pStyle w:val="Tabletext"/>
            </w:pPr>
            <w:r w:rsidRPr="00124262">
              <w:t>NHS supply catalogue</w:t>
            </w:r>
          </w:p>
        </w:tc>
      </w:tr>
      <w:tr w:rsidR="00406EE6" w14:paraId="4C835848" w14:textId="77777777" w:rsidTr="0075170C">
        <w:tc>
          <w:tcPr>
            <w:tcW w:w="1695" w:type="dxa"/>
            <w:tcBorders>
              <w:top w:val="single" w:sz="4" w:space="0" w:color="auto"/>
              <w:left w:val="single" w:sz="4" w:space="0" w:color="auto"/>
              <w:bottom w:val="single" w:sz="4" w:space="0" w:color="auto"/>
              <w:right w:val="single" w:sz="4" w:space="0" w:color="auto"/>
            </w:tcBorders>
          </w:tcPr>
          <w:p w14:paraId="5C3401EB" w14:textId="77777777" w:rsidR="00406EE6" w:rsidRPr="009A2BE1" w:rsidRDefault="00406EE6" w:rsidP="008B1C85">
            <w:pPr>
              <w:pStyle w:val="Tabletext"/>
              <w:rPr>
                <w:vertAlign w:val="superscript"/>
              </w:rPr>
            </w:pPr>
            <w:r>
              <w:t>MDI</w:t>
            </w:r>
          </w:p>
        </w:tc>
        <w:tc>
          <w:tcPr>
            <w:tcW w:w="1132" w:type="dxa"/>
            <w:tcBorders>
              <w:top w:val="single" w:sz="4" w:space="0" w:color="auto"/>
              <w:left w:val="single" w:sz="4" w:space="0" w:color="auto"/>
              <w:bottom w:val="single" w:sz="4" w:space="0" w:color="auto"/>
              <w:right w:val="single" w:sz="4" w:space="0" w:color="auto"/>
            </w:tcBorders>
          </w:tcPr>
          <w:p w14:paraId="523A715B" w14:textId="77777777" w:rsidR="00406EE6" w:rsidRDefault="00406EE6" w:rsidP="008B1C85">
            <w:pPr>
              <w:pStyle w:val="Tabletext"/>
            </w:pPr>
            <w:r>
              <w:t>1</w:t>
            </w:r>
          </w:p>
        </w:tc>
        <w:tc>
          <w:tcPr>
            <w:tcW w:w="984" w:type="dxa"/>
            <w:tcBorders>
              <w:top w:val="single" w:sz="4" w:space="0" w:color="auto"/>
              <w:left w:val="single" w:sz="4" w:space="0" w:color="auto"/>
              <w:bottom w:val="single" w:sz="4" w:space="0" w:color="auto"/>
              <w:right w:val="single" w:sz="4" w:space="0" w:color="auto"/>
            </w:tcBorders>
          </w:tcPr>
          <w:p w14:paraId="271B99DC" w14:textId="77777777" w:rsidR="00406EE6" w:rsidRDefault="00406EE6" w:rsidP="008B1C85">
            <w:pPr>
              <w:pStyle w:val="Tabletext"/>
            </w:pPr>
            <w:r>
              <w:t>£5.50 per MDI</w:t>
            </w:r>
          </w:p>
        </w:tc>
        <w:tc>
          <w:tcPr>
            <w:tcW w:w="1121" w:type="dxa"/>
            <w:tcBorders>
              <w:top w:val="single" w:sz="4" w:space="0" w:color="auto"/>
              <w:left w:val="single" w:sz="4" w:space="0" w:color="auto"/>
              <w:bottom w:val="single" w:sz="4" w:space="0" w:color="auto"/>
              <w:right w:val="single" w:sz="4" w:space="0" w:color="auto"/>
            </w:tcBorders>
          </w:tcPr>
          <w:p w14:paraId="68EA52AE" w14:textId="77777777" w:rsidR="00406EE6" w:rsidRDefault="00406EE6" w:rsidP="008B1C85">
            <w:pPr>
              <w:pStyle w:val="Tabletext"/>
            </w:pPr>
            <w:r>
              <w:t>£5.50</w:t>
            </w:r>
          </w:p>
        </w:tc>
        <w:tc>
          <w:tcPr>
            <w:tcW w:w="1346" w:type="dxa"/>
            <w:tcBorders>
              <w:top w:val="single" w:sz="4" w:space="0" w:color="auto"/>
              <w:left w:val="single" w:sz="4" w:space="0" w:color="auto"/>
              <w:bottom w:val="single" w:sz="4" w:space="0" w:color="auto"/>
              <w:right w:val="single" w:sz="4" w:space="0" w:color="auto"/>
            </w:tcBorders>
          </w:tcPr>
          <w:p w14:paraId="0072BB2D" w14:textId="77777777" w:rsidR="00406EE6" w:rsidRPr="00124262" w:rsidRDefault="00406EE6" w:rsidP="008B1C85">
            <w:pPr>
              <w:pStyle w:val="Tabletext"/>
            </w:pPr>
            <w:r w:rsidRPr="00124262">
              <w:t>NHS supply catalogue</w:t>
            </w:r>
          </w:p>
        </w:tc>
      </w:tr>
      <w:tr w:rsidR="00406EE6" w14:paraId="7BD512B2" w14:textId="77777777" w:rsidTr="0075170C">
        <w:tc>
          <w:tcPr>
            <w:tcW w:w="1695" w:type="dxa"/>
            <w:tcBorders>
              <w:top w:val="single" w:sz="4" w:space="0" w:color="auto"/>
              <w:left w:val="single" w:sz="4" w:space="0" w:color="auto"/>
              <w:bottom w:val="single" w:sz="4" w:space="0" w:color="auto"/>
              <w:right w:val="single" w:sz="4" w:space="0" w:color="auto"/>
            </w:tcBorders>
          </w:tcPr>
          <w:p w14:paraId="65DE9F11" w14:textId="77777777" w:rsidR="00406EE6" w:rsidRPr="00611ED7" w:rsidRDefault="00406EE6" w:rsidP="008B1C85">
            <w:pPr>
              <w:pStyle w:val="Tabletext"/>
            </w:pPr>
            <w:r>
              <w:t>Spirometry equipment to check for reversibility</w:t>
            </w:r>
            <w:r>
              <w:rPr>
                <w:vertAlign w:val="superscript"/>
              </w:rPr>
              <w:t>b</w:t>
            </w:r>
          </w:p>
        </w:tc>
        <w:tc>
          <w:tcPr>
            <w:tcW w:w="1132" w:type="dxa"/>
            <w:tcBorders>
              <w:top w:val="single" w:sz="4" w:space="0" w:color="auto"/>
              <w:left w:val="single" w:sz="4" w:space="0" w:color="auto"/>
              <w:bottom w:val="single" w:sz="4" w:space="0" w:color="auto"/>
              <w:right w:val="single" w:sz="4" w:space="0" w:color="auto"/>
            </w:tcBorders>
          </w:tcPr>
          <w:p w14:paraId="28893D79" w14:textId="77777777" w:rsidR="00406EE6" w:rsidRDefault="00406EE6" w:rsidP="008B1C85">
            <w:pPr>
              <w:pStyle w:val="Tabletext"/>
            </w:pPr>
            <w:r>
              <w:t>1</w:t>
            </w:r>
          </w:p>
        </w:tc>
        <w:tc>
          <w:tcPr>
            <w:tcW w:w="984" w:type="dxa"/>
            <w:tcBorders>
              <w:top w:val="single" w:sz="4" w:space="0" w:color="auto"/>
              <w:left w:val="single" w:sz="4" w:space="0" w:color="auto"/>
              <w:bottom w:val="single" w:sz="4" w:space="0" w:color="auto"/>
              <w:right w:val="single" w:sz="4" w:space="0" w:color="auto"/>
            </w:tcBorders>
          </w:tcPr>
          <w:p w14:paraId="34080CD2" w14:textId="77777777" w:rsidR="00406EE6" w:rsidRDefault="00406EE6" w:rsidP="008B1C85">
            <w:pPr>
              <w:pStyle w:val="Tabletext"/>
            </w:pPr>
            <w:r>
              <w:t>£2.20</w:t>
            </w:r>
          </w:p>
        </w:tc>
        <w:tc>
          <w:tcPr>
            <w:tcW w:w="1121" w:type="dxa"/>
            <w:tcBorders>
              <w:top w:val="single" w:sz="4" w:space="0" w:color="auto"/>
              <w:left w:val="single" w:sz="4" w:space="0" w:color="auto"/>
              <w:bottom w:val="single" w:sz="4" w:space="0" w:color="auto"/>
              <w:right w:val="single" w:sz="4" w:space="0" w:color="auto"/>
            </w:tcBorders>
          </w:tcPr>
          <w:p w14:paraId="33E0A12B" w14:textId="77777777" w:rsidR="00406EE6" w:rsidRDefault="00406EE6" w:rsidP="008B1C85">
            <w:pPr>
              <w:pStyle w:val="Tabletext"/>
            </w:pPr>
            <w:r>
              <w:t>£2.20</w:t>
            </w:r>
          </w:p>
        </w:tc>
        <w:tc>
          <w:tcPr>
            <w:tcW w:w="1346" w:type="dxa"/>
            <w:tcBorders>
              <w:top w:val="single" w:sz="4" w:space="0" w:color="auto"/>
              <w:left w:val="single" w:sz="4" w:space="0" w:color="auto"/>
              <w:bottom w:val="single" w:sz="4" w:space="0" w:color="auto"/>
              <w:right w:val="single" w:sz="4" w:space="0" w:color="auto"/>
            </w:tcBorders>
          </w:tcPr>
          <w:p w14:paraId="4B93B008" w14:textId="77777777" w:rsidR="00406EE6" w:rsidRPr="00124262" w:rsidRDefault="00406EE6" w:rsidP="008B1C85">
            <w:pPr>
              <w:pStyle w:val="Tabletext"/>
            </w:pPr>
            <w:r w:rsidRPr="00124262">
              <w:t>NHS supply catalogue</w:t>
            </w:r>
          </w:p>
        </w:tc>
      </w:tr>
      <w:tr w:rsidR="00406EE6" w14:paraId="643F0773" w14:textId="77777777" w:rsidTr="0075170C">
        <w:tc>
          <w:tcPr>
            <w:tcW w:w="1695" w:type="dxa"/>
            <w:tcBorders>
              <w:top w:val="single" w:sz="4" w:space="0" w:color="auto"/>
              <w:left w:val="single" w:sz="4" w:space="0" w:color="auto"/>
              <w:bottom w:val="single" w:sz="4" w:space="0" w:color="auto"/>
              <w:right w:val="single" w:sz="4" w:space="0" w:color="auto"/>
            </w:tcBorders>
          </w:tcPr>
          <w:p w14:paraId="383B372B" w14:textId="77777777" w:rsidR="00406EE6" w:rsidRDefault="00406EE6" w:rsidP="008B1C85">
            <w:pPr>
              <w:pStyle w:val="05Tablebold"/>
            </w:pPr>
            <w:r>
              <w:t>Total</w:t>
            </w:r>
          </w:p>
        </w:tc>
        <w:tc>
          <w:tcPr>
            <w:tcW w:w="1132" w:type="dxa"/>
            <w:tcBorders>
              <w:top w:val="single" w:sz="4" w:space="0" w:color="auto"/>
              <w:left w:val="single" w:sz="4" w:space="0" w:color="auto"/>
              <w:bottom w:val="single" w:sz="4" w:space="0" w:color="auto"/>
              <w:right w:val="single" w:sz="4" w:space="0" w:color="auto"/>
            </w:tcBorders>
          </w:tcPr>
          <w:p w14:paraId="52C033E1" w14:textId="77777777" w:rsidR="00406EE6" w:rsidRDefault="00CB61CF" w:rsidP="008B1C85">
            <w:pPr>
              <w:pStyle w:val="Tabletext"/>
            </w:pPr>
            <w:r>
              <w:t>Not applicable</w:t>
            </w:r>
          </w:p>
        </w:tc>
        <w:tc>
          <w:tcPr>
            <w:tcW w:w="984" w:type="dxa"/>
            <w:tcBorders>
              <w:top w:val="single" w:sz="4" w:space="0" w:color="auto"/>
              <w:left w:val="single" w:sz="4" w:space="0" w:color="auto"/>
              <w:bottom w:val="single" w:sz="4" w:space="0" w:color="auto"/>
              <w:right w:val="single" w:sz="4" w:space="0" w:color="auto"/>
            </w:tcBorders>
          </w:tcPr>
          <w:p w14:paraId="32930E9D" w14:textId="77777777" w:rsidR="00406EE6" w:rsidRDefault="00661D35" w:rsidP="008B1C85">
            <w:pPr>
              <w:pStyle w:val="Tabletext"/>
            </w:pPr>
            <w:r>
              <w:t>Not applicable</w:t>
            </w:r>
          </w:p>
        </w:tc>
        <w:tc>
          <w:tcPr>
            <w:tcW w:w="1121" w:type="dxa"/>
            <w:tcBorders>
              <w:top w:val="single" w:sz="4" w:space="0" w:color="auto"/>
              <w:left w:val="single" w:sz="4" w:space="0" w:color="auto"/>
              <w:bottom w:val="single" w:sz="4" w:space="0" w:color="auto"/>
              <w:right w:val="single" w:sz="4" w:space="0" w:color="auto"/>
            </w:tcBorders>
          </w:tcPr>
          <w:p w14:paraId="4EA468A3" w14:textId="77777777" w:rsidR="00406EE6" w:rsidRDefault="00406EE6" w:rsidP="00406EE6">
            <w:pPr>
              <w:pStyle w:val="05Tablebold"/>
            </w:pPr>
            <w:r>
              <w:t>£17.35 – £23.92</w:t>
            </w:r>
          </w:p>
          <w:p w14:paraId="144F199F" w14:textId="77777777" w:rsidR="00406EE6" w:rsidRDefault="00406EE6" w:rsidP="00406EE6">
            <w:pPr>
              <w:pStyle w:val="Tabletext"/>
            </w:pPr>
            <w:r w:rsidRPr="00540DB7">
              <w:rPr>
                <w:b/>
                <w:i/>
              </w:rPr>
              <w:t>($35.82 – $49.39)</w:t>
            </w:r>
          </w:p>
        </w:tc>
        <w:tc>
          <w:tcPr>
            <w:tcW w:w="1346" w:type="dxa"/>
            <w:tcBorders>
              <w:top w:val="single" w:sz="4" w:space="0" w:color="auto"/>
              <w:left w:val="single" w:sz="4" w:space="0" w:color="auto"/>
              <w:bottom w:val="single" w:sz="4" w:space="0" w:color="auto"/>
              <w:right w:val="single" w:sz="4" w:space="0" w:color="auto"/>
            </w:tcBorders>
          </w:tcPr>
          <w:p w14:paraId="3996AB86" w14:textId="77777777" w:rsidR="00406EE6" w:rsidRDefault="00661D35" w:rsidP="008B1C85">
            <w:pPr>
              <w:pStyle w:val="Tabletext"/>
            </w:pPr>
            <w:r>
              <w:t>Not applicable</w:t>
            </w:r>
          </w:p>
        </w:tc>
      </w:tr>
    </w:tbl>
    <w:p w14:paraId="610DA376" w14:textId="77777777" w:rsidR="008B1C85" w:rsidRDefault="008B1C85" w:rsidP="008B1C85">
      <w:pPr>
        <w:pStyle w:val="08Tablefootnotes"/>
      </w:pPr>
      <w:r>
        <w:t>Source: NCGC (2016), Table 29, p102; with currency converted to AUD using exchange rate at 10 February 2016.</w:t>
      </w:r>
    </w:p>
    <w:p w14:paraId="6344DA27" w14:textId="77777777" w:rsidR="008B1C85" w:rsidRPr="00124262" w:rsidRDefault="008B1C85" w:rsidP="008B1C85">
      <w:pPr>
        <w:pStyle w:val="08Tablefootnotes"/>
      </w:pPr>
      <w:r>
        <w:t>Abbreviations: AUD, Australian dollar; MDI, metered-dose inhaler; NHS, National Health Service; PSSRU, Personal Social Services Research Unit.</w:t>
      </w:r>
    </w:p>
    <w:p w14:paraId="637206C6" w14:textId="77777777" w:rsidR="008B1C85" w:rsidRDefault="008B1C85" w:rsidP="008B1C85">
      <w:pPr>
        <w:pStyle w:val="08Tablefootnotes"/>
      </w:pPr>
      <w:r>
        <w:rPr>
          <w:b/>
        </w:rPr>
        <w:t>a</w:t>
      </w:r>
      <w:r>
        <w:t xml:space="preserve"> </w:t>
      </w:r>
      <w:r w:rsidRPr="009A2BE1">
        <w:t>This range reflects the differing levels of experience of the nurse conducting the test but also the age of the child. The test is likely to be conducted quicker in older children.</w:t>
      </w:r>
    </w:p>
    <w:p w14:paraId="287AB665" w14:textId="77777777" w:rsidR="008B1C85" w:rsidRDefault="008B1C85" w:rsidP="008B1C85">
      <w:pPr>
        <w:pStyle w:val="08Tablefootnotes"/>
      </w:pPr>
      <w:r>
        <w:rPr>
          <w:b/>
        </w:rPr>
        <w:t xml:space="preserve">b </w:t>
      </w:r>
      <w:r>
        <w:t>When a bronchodilator reversibility test is being performed the first spirometry reading will have already been taken.</w:t>
      </w:r>
    </w:p>
    <w:p w14:paraId="06B3F9B7" w14:textId="77777777" w:rsidR="008B1C85" w:rsidRDefault="008B1C85" w:rsidP="008B1C85">
      <w:pPr>
        <w:pStyle w:val="09Tablefootnoteslast-nostick"/>
      </w:pPr>
      <w:r>
        <w:rPr>
          <w:b/>
        </w:rPr>
        <w:t>c</w:t>
      </w:r>
      <w:r>
        <w:t xml:space="preserve"> </w:t>
      </w:r>
      <w:r w:rsidRPr="009A2BE1">
        <w:t>Based on G</w:t>
      </w:r>
      <w:r>
        <w:t xml:space="preserve">uideline </w:t>
      </w:r>
      <w:r w:rsidRPr="009A2BE1">
        <w:t>D</w:t>
      </w:r>
      <w:r>
        <w:t xml:space="preserve">evelopment </w:t>
      </w:r>
      <w:r w:rsidRPr="009A2BE1">
        <w:t>G</w:t>
      </w:r>
      <w:r>
        <w:t>roup</w:t>
      </w:r>
      <w:r w:rsidRPr="009A2BE1">
        <w:t xml:space="preserve"> opinion.</w:t>
      </w:r>
    </w:p>
    <w:p w14:paraId="417F9DB9" w14:textId="77777777" w:rsidR="00501E91" w:rsidRDefault="00501E91">
      <w:pPr>
        <w:spacing w:before="0" w:after="0" w:line="240" w:lineRule="auto"/>
        <w:rPr>
          <w:rFonts w:eastAsiaTheme="minorHAnsi" w:cs="Arial"/>
          <w:szCs w:val="20"/>
          <w:lang w:eastAsia="en-US"/>
        </w:rPr>
      </w:pPr>
      <w:r>
        <w:rPr>
          <w:lang w:eastAsia="en-US"/>
        </w:rPr>
        <w:br w:type="page"/>
      </w:r>
    </w:p>
    <w:p w14:paraId="57D29D8B" w14:textId="77777777" w:rsidR="008B1C85" w:rsidRDefault="00501E91" w:rsidP="00501E91">
      <w:pPr>
        <w:pStyle w:val="AttHeading1"/>
      </w:pPr>
      <w:bookmarkStart w:id="412" w:name="_Ref442798678"/>
      <w:r>
        <w:lastRenderedPageBreak/>
        <w:t xml:space="preserve">Appendix 11 </w:t>
      </w:r>
      <w:r w:rsidR="008B1C85">
        <w:t xml:space="preserve">UK </w:t>
      </w:r>
      <w:r w:rsidR="008B1C85" w:rsidRPr="001636CF">
        <w:t>Quality and Outcomes Framework</w:t>
      </w:r>
      <w:bookmarkEnd w:id="412"/>
    </w:p>
    <w:p w14:paraId="45F2C772" w14:textId="77777777" w:rsidR="008B1C85" w:rsidRPr="00FE05D1" w:rsidRDefault="008B1C85" w:rsidP="000A5A36">
      <w:r w:rsidRPr="00FE05D1">
        <w:t>The QOF is the UK’s voluntary annual reward and incentive programme for GPs. The objective of the QOF is to improve the quality of care patients are given, by rewarding practices for the quality of care they provide to their patients. QOF includes performance indicators based on the best available research evidence. The QOF currently contains three domains: Clinical, Public Health; and Public Health – Additional Services. Each domain consists of a set of achievement measures, known as indicators, against which practices score points according to their level of achievement. The 2014-15 QOF measured achievement against 81 indicators; practices scored points on the basis of achievement against each indicator, up to a maximum of 559 points. The higher the score, the higher the financial reward for the practice. The final payment is adjusted to take account of surgery workload, local demographics and the prevalence of chronic conditions in the practice's local area.</w:t>
      </w:r>
    </w:p>
    <w:p w14:paraId="0DDA341D" w14:textId="77777777" w:rsidR="008B1C85" w:rsidRPr="00927D5B" w:rsidRDefault="008B1C85" w:rsidP="000A5A36">
      <w:r w:rsidRPr="00FE05D1">
        <w:t>COPD and asthma are included as two separate clinical domains within the respiratory group. The COPD domain includes six indicators (described in more detail in Table A-11.1), with spirometry related indicators (COPD002 and COPD004) allocated a total of 12 points. The asthma domain includes four indicators, with the AST002 indicator related to the diagnosis of asthma as per the BTS/SIGN guideline for the management of asthma (2014). The BTS/SIGN guideline recommends spirometry as the preferred initial test to assess the presence and severity of airflow obstruction in adults</w:t>
      </w:r>
      <w:r>
        <w:t xml:space="preserve"> (Grade of recommendation, D). The QOF asthma and COPD indicators are classified as ‘process’ indicators; there are no QOF indicators related to health outcome measures, such as reduction in exacerbation rate.</w:t>
      </w:r>
    </w:p>
    <w:p w14:paraId="070DEBE5" w14:textId="77777777" w:rsidR="008B1C85" w:rsidRDefault="008B1C85" w:rsidP="00DF3A06">
      <w:pPr>
        <w:pStyle w:val="Appcaption"/>
      </w:pPr>
      <w:r>
        <w:t>Table A-11.1</w:t>
      </w:r>
      <w:r>
        <w:tab/>
        <w:t>Current QOF COPD indicators targets for COPD and asthma, 2014-15</w:t>
      </w:r>
    </w:p>
    <w:tbl>
      <w:tblPr>
        <w:tblStyle w:val="TableGrid"/>
        <w:tblW w:w="0" w:type="auto"/>
        <w:tblLook w:val="04A0" w:firstRow="1" w:lastRow="0" w:firstColumn="1" w:lastColumn="0" w:noHBand="0" w:noVBand="1"/>
        <w:tblCaption w:val="UK Quality and Outcomes Framework"/>
        <w:tblDescription w:val="Current QOF COPD indicator targets for COPD, 2014-15."/>
      </w:tblPr>
      <w:tblGrid>
        <w:gridCol w:w="1320"/>
        <w:gridCol w:w="1627"/>
        <w:gridCol w:w="3420"/>
        <w:gridCol w:w="1335"/>
        <w:gridCol w:w="1314"/>
      </w:tblGrid>
      <w:tr w:rsidR="00F7689F" w:rsidRPr="006824D7" w14:paraId="534BA00B" w14:textId="77777777" w:rsidTr="0099709F">
        <w:trPr>
          <w:tblHeader/>
        </w:trPr>
        <w:tc>
          <w:tcPr>
            <w:tcW w:w="1320" w:type="dxa"/>
          </w:tcPr>
          <w:p w14:paraId="3C1F5BE0" w14:textId="77777777" w:rsidR="00F7689F" w:rsidRPr="006824D7" w:rsidRDefault="00F7689F" w:rsidP="00D53234">
            <w:pPr>
              <w:pStyle w:val="Tableheading"/>
            </w:pPr>
            <w:r w:rsidRPr="006824D7">
              <w:t>Indicator</w:t>
            </w:r>
          </w:p>
        </w:tc>
        <w:tc>
          <w:tcPr>
            <w:tcW w:w="1683" w:type="dxa"/>
            <w:shd w:val="clear" w:color="auto" w:fill="auto"/>
          </w:tcPr>
          <w:p w14:paraId="1A14763F" w14:textId="77777777" w:rsidR="00F7689F" w:rsidRPr="006824D7" w:rsidRDefault="00F7689F" w:rsidP="00D53234">
            <w:pPr>
              <w:pStyle w:val="Tableheading"/>
            </w:pPr>
            <w:r>
              <w:t>Code</w:t>
            </w:r>
          </w:p>
        </w:tc>
        <w:tc>
          <w:tcPr>
            <w:tcW w:w="3590" w:type="dxa"/>
            <w:shd w:val="clear" w:color="auto" w:fill="auto"/>
          </w:tcPr>
          <w:p w14:paraId="1E090882" w14:textId="77777777" w:rsidR="00F7689F" w:rsidRPr="006824D7" w:rsidRDefault="00F7689F" w:rsidP="00D53234">
            <w:pPr>
              <w:pStyle w:val="Tableheading"/>
            </w:pPr>
            <w:r w:rsidRPr="006824D7">
              <w:t>Details</w:t>
            </w:r>
          </w:p>
        </w:tc>
        <w:tc>
          <w:tcPr>
            <w:tcW w:w="1335" w:type="dxa"/>
            <w:shd w:val="clear" w:color="auto" w:fill="auto"/>
          </w:tcPr>
          <w:p w14:paraId="5B9830DA" w14:textId="77777777" w:rsidR="00F7689F" w:rsidRPr="006824D7" w:rsidRDefault="00F7689F" w:rsidP="00D53234">
            <w:pPr>
              <w:pStyle w:val="Tableheading"/>
            </w:pPr>
            <w:r w:rsidRPr="006824D7">
              <w:t>Points</w:t>
            </w:r>
          </w:p>
        </w:tc>
        <w:tc>
          <w:tcPr>
            <w:tcW w:w="1314" w:type="dxa"/>
            <w:shd w:val="clear" w:color="auto" w:fill="auto"/>
          </w:tcPr>
          <w:p w14:paraId="7896FBED" w14:textId="77777777" w:rsidR="00F7689F" w:rsidRPr="006824D7" w:rsidRDefault="00F7689F" w:rsidP="00D53234">
            <w:pPr>
              <w:pStyle w:val="Tableheading"/>
            </w:pPr>
            <w:r w:rsidRPr="006824D7">
              <w:t>Achievement thresholds</w:t>
            </w:r>
          </w:p>
        </w:tc>
      </w:tr>
      <w:tr w:rsidR="00F7689F" w14:paraId="53DEB8E2" w14:textId="77777777" w:rsidTr="0099709F">
        <w:tc>
          <w:tcPr>
            <w:tcW w:w="1320" w:type="dxa"/>
          </w:tcPr>
          <w:p w14:paraId="1747A409" w14:textId="77777777" w:rsidR="00F7689F" w:rsidRDefault="00F7689F" w:rsidP="008B1C85">
            <w:pPr>
              <w:pStyle w:val="Tabletext"/>
            </w:pPr>
            <w:r w:rsidRPr="009B7AC3">
              <w:rPr>
                <w:b/>
              </w:rPr>
              <w:t>Records</w:t>
            </w:r>
          </w:p>
        </w:tc>
        <w:tc>
          <w:tcPr>
            <w:tcW w:w="1683" w:type="dxa"/>
            <w:shd w:val="clear" w:color="auto" w:fill="auto"/>
          </w:tcPr>
          <w:p w14:paraId="326C9F2C" w14:textId="77777777" w:rsidR="00F7689F" w:rsidRDefault="00F7689F" w:rsidP="008B1C85">
            <w:pPr>
              <w:pStyle w:val="Tabletext"/>
            </w:pPr>
            <w:r>
              <w:t>COPD001</w:t>
            </w:r>
          </w:p>
        </w:tc>
        <w:tc>
          <w:tcPr>
            <w:tcW w:w="3590" w:type="dxa"/>
            <w:shd w:val="clear" w:color="auto" w:fill="auto"/>
          </w:tcPr>
          <w:p w14:paraId="0C2333C7" w14:textId="77777777" w:rsidR="00F7689F" w:rsidRDefault="00F7689F" w:rsidP="008B1C85">
            <w:pPr>
              <w:pStyle w:val="Tabletext"/>
            </w:pPr>
            <w:r>
              <w:t>The contractor est</w:t>
            </w:r>
            <w:r w:rsidRPr="00315926">
              <w:t>ablishes and maintains a register of patients with COPD</w:t>
            </w:r>
            <w:r>
              <w:t>.</w:t>
            </w:r>
          </w:p>
        </w:tc>
        <w:tc>
          <w:tcPr>
            <w:tcW w:w="1335" w:type="dxa"/>
            <w:shd w:val="clear" w:color="auto" w:fill="auto"/>
          </w:tcPr>
          <w:p w14:paraId="3D861623" w14:textId="77777777" w:rsidR="00F7689F" w:rsidRDefault="00F7689F" w:rsidP="00E90C0F">
            <w:pPr>
              <w:pStyle w:val="TableTextDecimalAlign"/>
            </w:pPr>
            <w:r>
              <w:t>3</w:t>
            </w:r>
          </w:p>
        </w:tc>
        <w:tc>
          <w:tcPr>
            <w:tcW w:w="1314" w:type="dxa"/>
            <w:shd w:val="clear" w:color="auto" w:fill="auto"/>
          </w:tcPr>
          <w:p w14:paraId="5C0C0312" w14:textId="77777777" w:rsidR="00F7689F" w:rsidRDefault="00782E5B" w:rsidP="00782E5B">
            <w:pPr>
              <w:pStyle w:val="Tabletext"/>
            </w:pPr>
            <w:r>
              <w:t>Not applicable</w:t>
            </w:r>
          </w:p>
        </w:tc>
      </w:tr>
      <w:tr w:rsidR="00F7689F" w14:paraId="593EA2F0" w14:textId="77777777" w:rsidTr="0099709F">
        <w:tc>
          <w:tcPr>
            <w:tcW w:w="1320" w:type="dxa"/>
          </w:tcPr>
          <w:p w14:paraId="22678CCC" w14:textId="77777777" w:rsidR="00F7689F" w:rsidRDefault="00F7689F" w:rsidP="008B1C85">
            <w:pPr>
              <w:pStyle w:val="Tabletext"/>
            </w:pPr>
            <w:r w:rsidRPr="009B7AC3">
              <w:rPr>
                <w:b/>
              </w:rPr>
              <w:t>Initial diagnosis</w:t>
            </w:r>
          </w:p>
        </w:tc>
        <w:tc>
          <w:tcPr>
            <w:tcW w:w="1683" w:type="dxa"/>
            <w:shd w:val="clear" w:color="auto" w:fill="auto"/>
          </w:tcPr>
          <w:p w14:paraId="799127A7" w14:textId="77777777" w:rsidR="00F7689F" w:rsidRPr="002361BA" w:rsidRDefault="00F7689F" w:rsidP="008B1C85">
            <w:pPr>
              <w:pStyle w:val="Tabletext"/>
            </w:pPr>
            <w:r>
              <w:t>COPD</w:t>
            </w:r>
            <w:r w:rsidRPr="002361BA">
              <w:t>002</w:t>
            </w:r>
          </w:p>
        </w:tc>
        <w:tc>
          <w:tcPr>
            <w:tcW w:w="3590" w:type="dxa"/>
            <w:shd w:val="clear" w:color="auto" w:fill="auto"/>
          </w:tcPr>
          <w:p w14:paraId="50AB1EB0" w14:textId="77777777" w:rsidR="00F7689F" w:rsidRPr="002361BA" w:rsidRDefault="00F7689F" w:rsidP="008B1C85">
            <w:pPr>
              <w:pStyle w:val="Tabletext"/>
            </w:pPr>
            <w:r w:rsidRPr="002361BA">
              <w:t xml:space="preserve">The percentage of patients with COPD (diagnosed on or after 1 April 2011) in whom the diagnosis has been confirmed by </w:t>
            </w:r>
            <w:r w:rsidRPr="00C56B5E">
              <w:rPr>
                <w:b/>
              </w:rPr>
              <w:t>post bronchodilator spirometry</w:t>
            </w:r>
            <w:r w:rsidRPr="002361BA">
              <w:t xml:space="preserve"> between 3 months before and 12 months after entering on to the register</w:t>
            </w:r>
            <w:r>
              <w:t>.</w:t>
            </w:r>
          </w:p>
        </w:tc>
        <w:tc>
          <w:tcPr>
            <w:tcW w:w="1335" w:type="dxa"/>
            <w:shd w:val="clear" w:color="auto" w:fill="auto"/>
          </w:tcPr>
          <w:p w14:paraId="4FC52ADE" w14:textId="77777777" w:rsidR="00F7689F" w:rsidRPr="002361BA" w:rsidRDefault="00F7689F" w:rsidP="00E90C0F">
            <w:pPr>
              <w:pStyle w:val="TableTextDecimalAlign"/>
            </w:pPr>
            <w:r w:rsidRPr="002361BA">
              <w:t>5</w:t>
            </w:r>
          </w:p>
        </w:tc>
        <w:tc>
          <w:tcPr>
            <w:tcW w:w="1314" w:type="dxa"/>
            <w:shd w:val="clear" w:color="auto" w:fill="auto"/>
          </w:tcPr>
          <w:p w14:paraId="5A0A53D3" w14:textId="77777777" w:rsidR="00F7689F" w:rsidRPr="002361BA" w:rsidRDefault="00F7689F" w:rsidP="008B1C85">
            <w:pPr>
              <w:pStyle w:val="Tabletext"/>
              <w:jc w:val="right"/>
            </w:pPr>
            <w:r>
              <w:t>45-80%</w:t>
            </w:r>
          </w:p>
        </w:tc>
      </w:tr>
      <w:tr w:rsidR="00E03A22" w14:paraId="26BA6287" w14:textId="77777777" w:rsidTr="0099709F">
        <w:tc>
          <w:tcPr>
            <w:tcW w:w="1320" w:type="dxa"/>
            <w:vMerge w:val="restart"/>
          </w:tcPr>
          <w:p w14:paraId="52FDB07F" w14:textId="77777777" w:rsidR="00E03A22" w:rsidRDefault="00E03A22" w:rsidP="008B1C85">
            <w:pPr>
              <w:pStyle w:val="Tabletext"/>
            </w:pPr>
            <w:r w:rsidRPr="009B7AC3">
              <w:rPr>
                <w:b/>
              </w:rPr>
              <w:t>Ongoing management</w:t>
            </w:r>
          </w:p>
        </w:tc>
        <w:tc>
          <w:tcPr>
            <w:tcW w:w="1683" w:type="dxa"/>
            <w:shd w:val="clear" w:color="auto" w:fill="auto"/>
          </w:tcPr>
          <w:p w14:paraId="6968D3C6" w14:textId="77777777" w:rsidR="00E03A22" w:rsidRPr="00841199" w:rsidRDefault="00E03A22" w:rsidP="008B1C85">
            <w:pPr>
              <w:pStyle w:val="Tabletext"/>
            </w:pPr>
            <w:r>
              <w:t>COPD</w:t>
            </w:r>
            <w:r w:rsidRPr="00841199">
              <w:t>003</w:t>
            </w:r>
          </w:p>
        </w:tc>
        <w:tc>
          <w:tcPr>
            <w:tcW w:w="3590" w:type="dxa"/>
            <w:shd w:val="clear" w:color="auto" w:fill="auto"/>
          </w:tcPr>
          <w:p w14:paraId="75913263" w14:textId="77777777" w:rsidR="00E03A22" w:rsidRPr="00841199" w:rsidRDefault="00E03A22" w:rsidP="008B1C85">
            <w:pPr>
              <w:pStyle w:val="Tabletext"/>
            </w:pPr>
            <w:r w:rsidRPr="00841199">
              <w:t>The percentage of patients with COPD who have had a review, undertaken by a healthcare professional, including an assessment of breathlessness using the Medical Research Council dyspnoea scale in the preceding 12 months</w:t>
            </w:r>
            <w:r>
              <w:t>.</w:t>
            </w:r>
          </w:p>
        </w:tc>
        <w:tc>
          <w:tcPr>
            <w:tcW w:w="1335" w:type="dxa"/>
            <w:shd w:val="clear" w:color="auto" w:fill="auto"/>
          </w:tcPr>
          <w:p w14:paraId="5E46E98A" w14:textId="77777777" w:rsidR="00E03A22" w:rsidRPr="00841199" w:rsidRDefault="00E03A22" w:rsidP="00E90C0F">
            <w:pPr>
              <w:pStyle w:val="TableTextDecimalAlign"/>
            </w:pPr>
            <w:r w:rsidRPr="00841199">
              <w:t>9</w:t>
            </w:r>
          </w:p>
        </w:tc>
        <w:tc>
          <w:tcPr>
            <w:tcW w:w="1314" w:type="dxa"/>
            <w:shd w:val="clear" w:color="auto" w:fill="auto"/>
          </w:tcPr>
          <w:p w14:paraId="617A2A6C" w14:textId="77777777" w:rsidR="00E03A22" w:rsidRPr="00841199" w:rsidRDefault="00E03A22" w:rsidP="008B1C85">
            <w:pPr>
              <w:pStyle w:val="Tabletext"/>
              <w:jc w:val="right"/>
            </w:pPr>
            <w:r>
              <w:t>50-90%</w:t>
            </w:r>
          </w:p>
        </w:tc>
      </w:tr>
      <w:tr w:rsidR="00E03A22" w14:paraId="608B0735" w14:textId="77777777" w:rsidTr="00250318">
        <w:tc>
          <w:tcPr>
            <w:tcW w:w="1320" w:type="dxa"/>
            <w:vMerge/>
            <w:shd w:val="clear" w:color="auto" w:fill="DBE5F1" w:themeFill="accent1" w:themeFillTint="33"/>
          </w:tcPr>
          <w:p w14:paraId="5762A118" w14:textId="77777777" w:rsidR="00E03A22" w:rsidRDefault="00E03A22" w:rsidP="008B1C85">
            <w:pPr>
              <w:pStyle w:val="Tabletext"/>
            </w:pPr>
          </w:p>
        </w:tc>
        <w:tc>
          <w:tcPr>
            <w:tcW w:w="1683" w:type="dxa"/>
            <w:shd w:val="clear" w:color="auto" w:fill="auto"/>
          </w:tcPr>
          <w:p w14:paraId="7DCAFD91" w14:textId="77777777" w:rsidR="00E03A22" w:rsidRPr="002361BA" w:rsidRDefault="00E03A22" w:rsidP="008B1C85">
            <w:pPr>
              <w:pStyle w:val="Tabletext"/>
            </w:pPr>
            <w:r>
              <w:t>COPD</w:t>
            </w:r>
            <w:r w:rsidRPr="002361BA">
              <w:t>004</w:t>
            </w:r>
          </w:p>
        </w:tc>
        <w:tc>
          <w:tcPr>
            <w:tcW w:w="3590" w:type="dxa"/>
            <w:shd w:val="clear" w:color="auto" w:fill="auto"/>
          </w:tcPr>
          <w:p w14:paraId="6F6E9A6F" w14:textId="77777777" w:rsidR="00E03A22" w:rsidRPr="002361BA" w:rsidRDefault="00E03A22" w:rsidP="008B1C85">
            <w:pPr>
              <w:pStyle w:val="Tabletext"/>
            </w:pPr>
            <w:r w:rsidRPr="002361BA">
              <w:t>The percentage of patients with COPD with a record of FEV</w:t>
            </w:r>
            <w:r w:rsidRPr="00C56B5E">
              <w:rPr>
                <w:vertAlign w:val="subscript"/>
              </w:rPr>
              <w:t>1</w:t>
            </w:r>
            <w:r w:rsidRPr="002361BA">
              <w:t xml:space="preserve"> in the preceding 12 months</w:t>
            </w:r>
            <w:r>
              <w:t>.</w:t>
            </w:r>
          </w:p>
        </w:tc>
        <w:tc>
          <w:tcPr>
            <w:tcW w:w="1335" w:type="dxa"/>
            <w:shd w:val="clear" w:color="auto" w:fill="auto"/>
          </w:tcPr>
          <w:p w14:paraId="012790C9" w14:textId="77777777" w:rsidR="00E03A22" w:rsidRPr="002361BA" w:rsidRDefault="00E03A22" w:rsidP="00E90C0F">
            <w:pPr>
              <w:pStyle w:val="TableTextDecimalAlign"/>
            </w:pPr>
            <w:r w:rsidRPr="002361BA">
              <w:t>7</w:t>
            </w:r>
          </w:p>
        </w:tc>
        <w:tc>
          <w:tcPr>
            <w:tcW w:w="1314" w:type="dxa"/>
            <w:shd w:val="clear" w:color="auto" w:fill="auto"/>
          </w:tcPr>
          <w:p w14:paraId="65EA1741" w14:textId="77777777" w:rsidR="00E03A22" w:rsidRPr="002361BA" w:rsidRDefault="00E03A22" w:rsidP="008B1C85">
            <w:pPr>
              <w:pStyle w:val="Tabletext"/>
              <w:jc w:val="right"/>
            </w:pPr>
            <w:r w:rsidRPr="002361BA">
              <w:t>40-75%</w:t>
            </w:r>
          </w:p>
        </w:tc>
      </w:tr>
      <w:tr w:rsidR="00E03A22" w14:paraId="5738DD0B" w14:textId="77777777" w:rsidTr="0099709F">
        <w:tc>
          <w:tcPr>
            <w:tcW w:w="1320" w:type="dxa"/>
            <w:vMerge/>
          </w:tcPr>
          <w:p w14:paraId="50A06574" w14:textId="77777777" w:rsidR="00E03A22" w:rsidRDefault="00E03A22" w:rsidP="008B1C85">
            <w:pPr>
              <w:pStyle w:val="Tabletext"/>
            </w:pPr>
          </w:p>
        </w:tc>
        <w:tc>
          <w:tcPr>
            <w:tcW w:w="1683" w:type="dxa"/>
            <w:shd w:val="clear" w:color="auto" w:fill="auto"/>
          </w:tcPr>
          <w:p w14:paraId="3460EDE1" w14:textId="77777777" w:rsidR="00E03A22" w:rsidRDefault="00E03A22" w:rsidP="008B1C85">
            <w:pPr>
              <w:pStyle w:val="Tabletext"/>
            </w:pPr>
            <w:r>
              <w:t>COPD005</w:t>
            </w:r>
          </w:p>
        </w:tc>
        <w:tc>
          <w:tcPr>
            <w:tcW w:w="3590" w:type="dxa"/>
            <w:shd w:val="clear" w:color="auto" w:fill="auto"/>
          </w:tcPr>
          <w:p w14:paraId="0592A94F" w14:textId="77777777" w:rsidR="00E03A22" w:rsidRPr="00841199" w:rsidRDefault="00E03A22" w:rsidP="008B1C85">
            <w:pPr>
              <w:pStyle w:val="Tabletext"/>
            </w:pPr>
            <w:r w:rsidRPr="00841199">
              <w:t xml:space="preserve">The percentage of patients with COPD and Medical Research Council </w:t>
            </w:r>
            <w:r w:rsidRPr="00841199">
              <w:lastRenderedPageBreak/>
              <w:t>dyspnoea grade ≥3 at any time in the preceding 12 months, with a record of oxygen saturation value within the preceding 12 months</w:t>
            </w:r>
            <w:r>
              <w:t>.</w:t>
            </w:r>
          </w:p>
        </w:tc>
        <w:tc>
          <w:tcPr>
            <w:tcW w:w="1335" w:type="dxa"/>
            <w:shd w:val="clear" w:color="auto" w:fill="auto"/>
          </w:tcPr>
          <w:p w14:paraId="6675E3A2" w14:textId="77777777" w:rsidR="00E03A22" w:rsidRPr="00841199" w:rsidRDefault="00E03A22" w:rsidP="00E90C0F">
            <w:pPr>
              <w:pStyle w:val="TableTextDecimalAlign"/>
            </w:pPr>
            <w:r>
              <w:lastRenderedPageBreak/>
              <w:t>5</w:t>
            </w:r>
          </w:p>
        </w:tc>
        <w:tc>
          <w:tcPr>
            <w:tcW w:w="1314" w:type="dxa"/>
            <w:shd w:val="clear" w:color="auto" w:fill="auto"/>
          </w:tcPr>
          <w:p w14:paraId="53AAB6EF" w14:textId="77777777" w:rsidR="00E03A22" w:rsidRDefault="00E03A22" w:rsidP="008B1C85">
            <w:pPr>
              <w:pStyle w:val="Tabletext"/>
              <w:jc w:val="right"/>
            </w:pPr>
            <w:r>
              <w:t>40-90%</w:t>
            </w:r>
          </w:p>
        </w:tc>
      </w:tr>
      <w:tr w:rsidR="00E03A22" w14:paraId="51C6EADC" w14:textId="77777777" w:rsidTr="00250318">
        <w:tc>
          <w:tcPr>
            <w:tcW w:w="1320" w:type="dxa"/>
            <w:vMerge/>
            <w:shd w:val="clear" w:color="auto" w:fill="DBE5F1" w:themeFill="accent1" w:themeFillTint="33"/>
          </w:tcPr>
          <w:p w14:paraId="3B84D041" w14:textId="77777777" w:rsidR="00E03A22" w:rsidRDefault="00E03A22" w:rsidP="008B1C85">
            <w:pPr>
              <w:pStyle w:val="Tabletext"/>
            </w:pPr>
          </w:p>
        </w:tc>
        <w:tc>
          <w:tcPr>
            <w:tcW w:w="1683" w:type="dxa"/>
            <w:shd w:val="clear" w:color="auto" w:fill="auto"/>
          </w:tcPr>
          <w:p w14:paraId="71361E9C" w14:textId="77777777" w:rsidR="00E03A22" w:rsidRPr="00841199" w:rsidRDefault="00E03A22" w:rsidP="008B1C85">
            <w:pPr>
              <w:pStyle w:val="Tabletext"/>
            </w:pPr>
            <w:r>
              <w:t>COPD007</w:t>
            </w:r>
          </w:p>
        </w:tc>
        <w:tc>
          <w:tcPr>
            <w:tcW w:w="3590" w:type="dxa"/>
            <w:shd w:val="clear" w:color="auto" w:fill="auto"/>
          </w:tcPr>
          <w:p w14:paraId="44412E13" w14:textId="77777777" w:rsidR="00E03A22" w:rsidRPr="00841199" w:rsidRDefault="00E03A22" w:rsidP="00661D35">
            <w:pPr>
              <w:pStyle w:val="Tabletext"/>
            </w:pPr>
            <w:r w:rsidRPr="00841199">
              <w:t xml:space="preserve">The percentage of patients with COPD who have had </w:t>
            </w:r>
            <w:r w:rsidRPr="00661D35">
              <w:t>influenza</w:t>
            </w:r>
            <w:r w:rsidRPr="00841199">
              <w:t xml:space="preserve"> immunisation in the</w:t>
            </w:r>
            <w:r>
              <w:t xml:space="preserve"> preceding 1 August to 31 March.</w:t>
            </w:r>
          </w:p>
        </w:tc>
        <w:tc>
          <w:tcPr>
            <w:tcW w:w="1335" w:type="dxa"/>
            <w:shd w:val="clear" w:color="auto" w:fill="auto"/>
          </w:tcPr>
          <w:p w14:paraId="13915BDB" w14:textId="77777777" w:rsidR="00E03A22" w:rsidRPr="00841199" w:rsidRDefault="00E03A22" w:rsidP="00E90C0F">
            <w:pPr>
              <w:pStyle w:val="TableTextDecimalAlign"/>
            </w:pPr>
            <w:r>
              <w:t>6</w:t>
            </w:r>
          </w:p>
        </w:tc>
        <w:tc>
          <w:tcPr>
            <w:tcW w:w="1314" w:type="dxa"/>
            <w:shd w:val="clear" w:color="auto" w:fill="auto"/>
          </w:tcPr>
          <w:p w14:paraId="4A7DA8F0" w14:textId="77777777" w:rsidR="00E03A22" w:rsidRDefault="00E03A22" w:rsidP="008B1C85">
            <w:pPr>
              <w:pStyle w:val="Tabletext"/>
              <w:jc w:val="right"/>
            </w:pPr>
            <w:r>
              <w:t>57-97%</w:t>
            </w:r>
          </w:p>
        </w:tc>
      </w:tr>
      <w:tr w:rsidR="00782E5B" w14:paraId="5AE58862" w14:textId="77777777" w:rsidTr="00782E5B">
        <w:tc>
          <w:tcPr>
            <w:tcW w:w="6593" w:type="dxa"/>
            <w:gridSpan w:val="3"/>
            <w:tcBorders>
              <w:bottom w:val="single" w:sz="4" w:space="0" w:color="auto"/>
            </w:tcBorders>
            <w:shd w:val="clear" w:color="auto" w:fill="auto"/>
          </w:tcPr>
          <w:p w14:paraId="572CD46F" w14:textId="77777777" w:rsidR="00782E5B" w:rsidRPr="00841199" w:rsidRDefault="00782E5B" w:rsidP="00661D35">
            <w:pPr>
              <w:pStyle w:val="Tabletext"/>
              <w:jc w:val="right"/>
            </w:pPr>
            <w:r>
              <w:t>Total</w:t>
            </w:r>
          </w:p>
        </w:tc>
        <w:tc>
          <w:tcPr>
            <w:tcW w:w="1335" w:type="dxa"/>
            <w:shd w:val="clear" w:color="auto" w:fill="auto"/>
          </w:tcPr>
          <w:p w14:paraId="6DDE9058" w14:textId="77777777" w:rsidR="00782E5B" w:rsidRDefault="00782E5B" w:rsidP="00E90C0F">
            <w:pPr>
              <w:pStyle w:val="TableTextDecimalAlign"/>
            </w:pPr>
            <w:r>
              <w:t>35</w:t>
            </w:r>
          </w:p>
        </w:tc>
        <w:tc>
          <w:tcPr>
            <w:tcW w:w="1314" w:type="dxa"/>
            <w:shd w:val="clear" w:color="auto" w:fill="auto"/>
          </w:tcPr>
          <w:p w14:paraId="0E548100" w14:textId="77777777" w:rsidR="00782E5B" w:rsidRDefault="00782E5B" w:rsidP="008B1C85">
            <w:pPr>
              <w:pStyle w:val="Tabletext"/>
              <w:jc w:val="right"/>
            </w:pPr>
            <w:r>
              <w:t>Not applicable</w:t>
            </w:r>
          </w:p>
        </w:tc>
      </w:tr>
    </w:tbl>
    <w:p w14:paraId="32ADF7F6" w14:textId="77777777" w:rsidR="00E03A22" w:rsidRDefault="00E03A22" w:rsidP="0099709F">
      <w:pPr>
        <w:pStyle w:val="08Tablefootnotes"/>
      </w:pPr>
      <w:r>
        <w:t>Abbreviations: AST, asthma; COPD, chronic obstructive pulmonary disease; FEV</w:t>
      </w:r>
      <w:r w:rsidRPr="00C56B5E">
        <w:rPr>
          <w:vertAlign w:val="subscript"/>
        </w:rPr>
        <w:t>I</w:t>
      </w:r>
      <w:r>
        <w:t xml:space="preserve">, forced </w:t>
      </w:r>
      <w:r w:rsidRPr="006A60B6">
        <w:t>expiratory volume in 1 second</w:t>
      </w:r>
      <w:r>
        <w:t xml:space="preserve">; na, not applicable; RCP, </w:t>
      </w:r>
      <w:r w:rsidRPr="00183A2B">
        <w:t>Royal College of Physicians</w:t>
      </w:r>
      <w:r>
        <w:t>.</w:t>
      </w:r>
    </w:p>
    <w:p w14:paraId="570E6278" w14:textId="77777777" w:rsidR="00E03A22" w:rsidRDefault="00E03A22" w:rsidP="0099709F">
      <w:pPr>
        <w:pStyle w:val="08Tablefootnotes"/>
      </w:pPr>
      <w:r w:rsidRPr="006A60B6">
        <w:t>FEV</w:t>
      </w:r>
      <w:r w:rsidRPr="00C56B5E">
        <w:rPr>
          <w:vertAlign w:val="subscript"/>
        </w:rPr>
        <w:t>1</w:t>
      </w:r>
      <w:r w:rsidRPr="006A60B6">
        <w:t xml:space="preserve"> is</w:t>
      </w:r>
      <w:r>
        <w:t xml:space="preserve"> a common parameter measured in spirometry </w:t>
      </w:r>
      <w:r w:rsidRPr="002765D3">
        <w:t>and is a useful measure of how quickly full lungs can be emptied.</w:t>
      </w:r>
    </w:p>
    <w:p w14:paraId="5DE48815" w14:textId="77777777" w:rsidR="00E03A22" w:rsidRDefault="00E03A22" w:rsidP="00E03A22">
      <w:pPr>
        <w:pStyle w:val="09Tablefootnoteslast-nostick"/>
      </w:pPr>
      <w:r w:rsidRPr="00C56B5E">
        <w:rPr>
          <w:b/>
        </w:rPr>
        <w:t>a</w:t>
      </w:r>
      <w:r>
        <w:t xml:space="preserve"> </w:t>
      </w:r>
      <w:r w:rsidRPr="00ED6528">
        <w:t>Further information about the diagnosis o</w:t>
      </w:r>
      <w:r>
        <w:t>f asthma is provided in the BTS/</w:t>
      </w:r>
      <w:r w:rsidRPr="00ED6528">
        <w:t>SIGN asthma guideline</w:t>
      </w:r>
      <w:r>
        <w:t>, which recommends spirometry as the preferred initial test to assess the presence and severity of airflow obstruction in adults (Grade of recom</w:t>
      </w:r>
      <w:r w:rsidRPr="00C5696D">
        <w:t>mendaton</w:t>
      </w:r>
      <w:r>
        <w:t>, D</w:t>
      </w:r>
    </w:p>
    <w:p w14:paraId="23457C73" w14:textId="77777777" w:rsidR="00E03A22" w:rsidRDefault="00E03A22" w:rsidP="00E03A22">
      <w:r>
        <w:br w:type="page"/>
      </w:r>
    </w:p>
    <w:p w14:paraId="3BC4140E" w14:textId="77777777" w:rsidR="00F7689F" w:rsidRDefault="00F7689F" w:rsidP="00F7689F">
      <w:pPr>
        <w:pStyle w:val="Appcaption"/>
      </w:pPr>
      <w:r>
        <w:lastRenderedPageBreak/>
        <w:t>Table A-11.</w:t>
      </w:r>
      <w:r w:rsidR="00661D35">
        <w:t>1 continued</w:t>
      </w:r>
      <w:r>
        <w:tab/>
        <w:t xml:space="preserve">Current QOF COPD indicators targets for </w:t>
      </w:r>
      <w:r w:rsidR="00661D35">
        <w:t xml:space="preserve">COPD and </w:t>
      </w:r>
      <w:r w:rsidR="00302AA8">
        <w:t>asthma</w:t>
      </w:r>
      <w:r>
        <w:t>, 2014-15</w:t>
      </w:r>
    </w:p>
    <w:tbl>
      <w:tblPr>
        <w:tblStyle w:val="TableGrid"/>
        <w:tblW w:w="0" w:type="auto"/>
        <w:tblLayout w:type="fixed"/>
        <w:tblLook w:val="04A0" w:firstRow="1" w:lastRow="0" w:firstColumn="1" w:lastColumn="0" w:noHBand="0" w:noVBand="1"/>
        <w:tblCaption w:val="UK Quality and Outcomes Framework"/>
        <w:tblDescription w:val="Current QOF COPD indicator targets for asthma, 2014-15."/>
      </w:tblPr>
      <w:tblGrid>
        <w:gridCol w:w="1398"/>
        <w:gridCol w:w="1714"/>
        <w:gridCol w:w="3697"/>
        <w:gridCol w:w="1335"/>
        <w:gridCol w:w="1098"/>
      </w:tblGrid>
      <w:tr w:rsidR="00F7689F" w:rsidRPr="006824D7" w14:paraId="36B4D4CB" w14:textId="77777777" w:rsidTr="00F7689F">
        <w:trPr>
          <w:tblHeader/>
        </w:trPr>
        <w:tc>
          <w:tcPr>
            <w:tcW w:w="1398" w:type="dxa"/>
          </w:tcPr>
          <w:p w14:paraId="6C42337A" w14:textId="77777777" w:rsidR="00F7689F" w:rsidRPr="006824D7" w:rsidRDefault="00F7689F" w:rsidP="0099709F">
            <w:pPr>
              <w:pStyle w:val="Tableheading"/>
            </w:pPr>
            <w:r w:rsidRPr="006824D7">
              <w:t>Indicator</w:t>
            </w:r>
          </w:p>
        </w:tc>
        <w:tc>
          <w:tcPr>
            <w:tcW w:w="1714" w:type="dxa"/>
            <w:shd w:val="clear" w:color="auto" w:fill="auto"/>
          </w:tcPr>
          <w:p w14:paraId="42BDB9B8" w14:textId="77777777" w:rsidR="00F7689F" w:rsidRPr="006824D7" w:rsidRDefault="00F7689F" w:rsidP="0099709F">
            <w:pPr>
              <w:pStyle w:val="Tableheading"/>
            </w:pPr>
            <w:r>
              <w:t>Code</w:t>
            </w:r>
          </w:p>
        </w:tc>
        <w:tc>
          <w:tcPr>
            <w:tcW w:w="3697" w:type="dxa"/>
            <w:shd w:val="clear" w:color="auto" w:fill="auto"/>
          </w:tcPr>
          <w:p w14:paraId="038A9EFD" w14:textId="77777777" w:rsidR="00F7689F" w:rsidRPr="006824D7" w:rsidRDefault="00F7689F" w:rsidP="0099709F">
            <w:pPr>
              <w:pStyle w:val="Tableheading"/>
            </w:pPr>
            <w:r w:rsidRPr="006824D7">
              <w:t>Details</w:t>
            </w:r>
          </w:p>
        </w:tc>
        <w:tc>
          <w:tcPr>
            <w:tcW w:w="1335" w:type="dxa"/>
            <w:shd w:val="clear" w:color="auto" w:fill="auto"/>
          </w:tcPr>
          <w:p w14:paraId="78020CE6" w14:textId="77777777" w:rsidR="00F7689F" w:rsidRPr="006824D7" w:rsidRDefault="00F7689F" w:rsidP="0099709F">
            <w:pPr>
              <w:pStyle w:val="Tableheading"/>
            </w:pPr>
            <w:r w:rsidRPr="006824D7">
              <w:t>Points</w:t>
            </w:r>
          </w:p>
        </w:tc>
        <w:tc>
          <w:tcPr>
            <w:tcW w:w="1098" w:type="dxa"/>
            <w:shd w:val="clear" w:color="auto" w:fill="auto"/>
          </w:tcPr>
          <w:p w14:paraId="01B5CE37" w14:textId="77777777" w:rsidR="00F7689F" w:rsidRPr="006824D7" w:rsidRDefault="00F7689F" w:rsidP="0099709F">
            <w:pPr>
              <w:pStyle w:val="Tableheading"/>
            </w:pPr>
            <w:r w:rsidRPr="006824D7">
              <w:t>Achievement thresholds</w:t>
            </w:r>
          </w:p>
        </w:tc>
      </w:tr>
      <w:tr w:rsidR="00F7689F" w14:paraId="48A27473" w14:textId="77777777" w:rsidTr="0099709F">
        <w:tc>
          <w:tcPr>
            <w:tcW w:w="1398" w:type="dxa"/>
          </w:tcPr>
          <w:p w14:paraId="52544E28" w14:textId="77777777" w:rsidR="00F7689F" w:rsidRDefault="00F7689F" w:rsidP="008B1C85">
            <w:pPr>
              <w:pStyle w:val="Tabletext"/>
            </w:pPr>
            <w:r w:rsidRPr="009B7AC3">
              <w:rPr>
                <w:b/>
              </w:rPr>
              <w:t>Records</w:t>
            </w:r>
          </w:p>
        </w:tc>
        <w:tc>
          <w:tcPr>
            <w:tcW w:w="1714" w:type="dxa"/>
            <w:shd w:val="clear" w:color="auto" w:fill="auto"/>
          </w:tcPr>
          <w:p w14:paraId="07474048" w14:textId="77777777" w:rsidR="00F7689F" w:rsidRPr="00841199" w:rsidRDefault="00F7689F" w:rsidP="008B1C85">
            <w:pPr>
              <w:pStyle w:val="Tabletext"/>
            </w:pPr>
            <w:r>
              <w:t>AST001</w:t>
            </w:r>
          </w:p>
        </w:tc>
        <w:tc>
          <w:tcPr>
            <w:tcW w:w="3697" w:type="dxa"/>
            <w:shd w:val="clear" w:color="auto" w:fill="auto"/>
          </w:tcPr>
          <w:p w14:paraId="5379C546" w14:textId="77777777" w:rsidR="00F7689F" w:rsidRPr="00841199" w:rsidRDefault="00F7689F" w:rsidP="008B1C85">
            <w:pPr>
              <w:pStyle w:val="Tabletext"/>
            </w:pPr>
            <w:r w:rsidRPr="00F27066">
              <w:t>The contractor establishes and maintains a register of patients with asthma, excluding patients with asthma who have been prescribed no asthma-related drugs in the preceding 12 months</w:t>
            </w:r>
            <w:r>
              <w:t>.</w:t>
            </w:r>
          </w:p>
        </w:tc>
        <w:tc>
          <w:tcPr>
            <w:tcW w:w="1335" w:type="dxa"/>
            <w:shd w:val="clear" w:color="auto" w:fill="auto"/>
          </w:tcPr>
          <w:p w14:paraId="0191F456" w14:textId="77777777" w:rsidR="00F7689F" w:rsidRDefault="00F7689F" w:rsidP="00E90C0F">
            <w:pPr>
              <w:pStyle w:val="TableTextDecimalAlign"/>
            </w:pPr>
            <w:r>
              <w:t>2</w:t>
            </w:r>
          </w:p>
        </w:tc>
        <w:tc>
          <w:tcPr>
            <w:tcW w:w="1098" w:type="dxa"/>
            <w:shd w:val="clear" w:color="auto" w:fill="auto"/>
          </w:tcPr>
          <w:p w14:paraId="57573BEA" w14:textId="77777777" w:rsidR="00F7689F" w:rsidRDefault="00661D35" w:rsidP="00661D35">
            <w:pPr>
              <w:pStyle w:val="Tabletext"/>
            </w:pPr>
            <w:r>
              <w:t>Not applicable</w:t>
            </w:r>
          </w:p>
        </w:tc>
      </w:tr>
      <w:tr w:rsidR="00F7689F" w14:paraId="394F91F5" w14:textId="77777777" w:rsidTr="0099709F">
        <w:tc>
          <w:tcPr>
            <w:tcW w:w="1398" w:type="dxa"/>
          </w:tcPr>
          <w:p w14:paraId="1B5A290F" w14:textId="77777777" w:rsidR="00F7689F" w:rsidRDefault="00F7689F" w:rsidP="008B1C85">
            <w:pPr>
              <w:pStyle w:val="Tabletext"/>
            </w:pPr>
            <w:r w:rsidRPr="009B7AC3">
              <w:rPr>
                <w:b/>
              </w:rPr>
              <w:t>Initial diagnosis</w:t>
            </w:r>
          </w:p>
        </w:tc>
        <w:tc>
          <w:tcPr>
            <w:tcW w:w="1714" w:type="dxa"/>
            <w:shd w:val="clear" w:color="auto" w:fill="auto"/>
          </w:tcPr>
          <w:p w14:paraId="6CE5F0A6" w14:textId="77777777" w:rsidR="00F7689F" w:rsidRDefault="00F7689F" w:rsidP="008B1C85">
            <w:pPr>
              <w:pStyle w:val="Tabletext"/>
            </w:pPr>
            <w:r>
              <w:t>AST002</w:t>
            </w:r>
          </w:p>
        </w:tc>
        <w:tc>
          <w:tcPr>
            <w:tcW w:w="3697" w:type="dxa"/>
            <w:shd w:val="clear" w:color="auto" w:fill="auto"/>
          </w:tcPr>
          <w:p w14:paraId="4C4E0617" w14:textId="77777777" w:rsidR="00F7689F" w:rsidRPr="00F27066" w:rsidRDefault="00F7689F" w:rsidP="008B1C85">
            <w:pPr>
              <w:pStyle w:val="Tabletext"/>
            </w:pPr>
            <w:r w:rsidRPr="00F27066">
              <w:t>The percentage of patients aged 8 or over with asthma (diagnosed</w:t>
            </w:r>
            <w:r>
              <w:rPr>
                <w:vertAlign w:val="superscript"/>
              </w:rPr>
              <w:t>a</w:t>
            </w:r>
            <w:r w:rsidRPr="00F27066">
              <w:t xml:space="preserve"> on or after 1 April 2006), on the register, with measures of variability or reversibility recorded between 3 months before or anytime after diagnosis</w:t>
            </w:r>
            <w:r>
              <w:t>.</w:t>
            </w:r>
          </w:p>
        </w:tc>
        <w:tc>
          <w:tcPr>
            <w:tcW w:w="1335" w:type="dxa"/>
            <w:shd w:val="clear" w:color="auto" w:fill="auto"/>
          </w:tcPr>
          <w:p w14:paraId="684C8EDF" w14:textId="77777777" w:rsidR="00F7689F" w:rsidRDefault="00F7689F" w:rsidP="00E90C0F">
            <w:pPr>
              <w:pStyle w:val="TableTextDecimalAlign"/>
            </w:pPr>
            <w:r>
              <w:t>15</w:t>
            </w:r>
          </w:p>
        </w:tc>
        <w:tc>
          <w:tcPr>
            <w:tcW w:w="1098" w:type="dxa"/>
            <w:shd w:val="clear" w:color="auto" w:fill="auto"/>
          </w:tcPr>
          <w:p w14:paraId="5C11FE24" w14:textId="77777777" w:rsidR="00F7689F" w:rsidRDefault="00F7689F" w:rsidP="008B1C85">
            <w:pPr>
              <w:pStyle w:val="Tabletext"/>
              <w:jc w:val="right"/>
            </w:pPr>
            <w:r>
              <w:t>45-80%</w:t>
            </w:r>
          </w:p>
        </w:tc>
      </w:tr>
      <w:tr w:rsidR="00E03A22" w14:paraId="5AC78E12" w14:textId="77777777" w:rsidTr="0099709F">
        <w:tc>
          <w:tcPr>
            <w:tcW w:w="1398" w:type="dxa"/>
            <w:vMerge w:val="restart"/>
          </w:tcPr>
          <w:p w14:paraId="3C9F268A" w14:textId="77777777" w:rsidR="00E03A22" w:rsidRDefault="00E03A22" w:rsidP="008B1C85">
            <w:pPr>
              <w:pStyle w:val="Tabletext"/>
            </w:pPr>
            <w:r w:rsidRPr="009B7AC3">
              <w:rPr>
                <w:b/>
              </w:rPr>
              <w:t>Ongoing management</w:t>
            </w:r>
          </w:p>
        </w:tc>
        <w:tc>
          <w:tcPr>
            <w:tcW w:w="1714" w:type="dxa"/>
            <w:shd w:val="clear" w:color="auto" w:fill="auto"/>
          </w:tcPr>
          <w:p w14:paraId="4096615C" w14:textId="77777777" w:rsidR="00E03A22" w:rsidRDefault="00E03A22" w:rsidP="008B1C85">
            <w:pPr>
              <w:pStyle w:val="Tabletext"/>
            </w:pPr>
            <w:r>
              <w:t>AST003</w:t>
            </w:r>
          </w:p>
        </w:tc>
        <w:tc>
          <w:tcPr>
            <w:tcW w:w="3697" w:type="dxa"/>
            <w:shd w:val="clear" w:color="auto" w:fill="auto"/>
          </w:tcPr>
          <w:p w14:paraId="6421EF78" w14:textId="77777777" w:rsidR="00E03A22" w:rsidRPr="00F27066" w:rsidRDefault="00E03A22" w:rsidP="008B1C85">
            <w:pPr>
              <w:pStyle w:val="Tabletext"/>
            </w:pPr>
            <w:r>
              <w:t>The percentage of patients with asthma, on the register, who have had an asthma review in the preceding 15 months that includes an assessment of asthma control using the 3 RCP questions.</w:t>
            </w:r>
          </w:p>
        </w:tc>
        <w:tc>
          <w:tcPr>
            <w:tcW w:w="1335" w:type="dxa"/>
            <w:shd w:val="clear" w:color="auto" w:fill="auto"/>
          </w:tcPr>
          <w:p w14:paraId="04ECC1C3" w14:textId="77777777" w:rsidR="00E03A22" w:rsidRDefault="00E03A22" w:rsidP="00E90C0F">
            <w:pPr>
              <w:pStyle w:val="TableTextDecimalAlign"/>
            </w:pPr>
            <w:r>
              <w:t>20</w:t>
            </w:r>
          </w:p>
        </w:tc>
        <w:tc>
          <w:tcPr>
            <w:tcW w:w="1098" w:type="dxa"/>
            <w:shd w:val="clear" w:color="auto" w:fill="auto"/>
          </w:tcPr>
          <w:p w14:paraId="09D2104A" w14:textId="77777777" w:rsidR="00E03A22" w:rsidRDefault="00E03A22" w:rsidP="008B1C85">
            <w:pPr>
              <w:pStyle w:val="Tabletext"/>
              <w:jc w:val="right"/>
            </w:pPr>
            <w:r>
              <w:t>45-70%</w:t>
            </w:r>
          </w:p>
        </w:tc>
      </w:tr>
      <w:tr w:rsidR="00E03A22" w14:paraId="5F3FA1C5" w14:textId="77777777" w:rsidTr="008D6DF0">
        <w:tc>
          <w:tcPr>
            <w:tcW w:w="1398" w:type="dxa"/>
            <w:vMerge/>
            <w:shd w:val="clear" w:color="auto" w:fill="DBE5F1" w:themeFill="accent1" w:themeFillTint="33"/>
          </w:tcPr>
          <w:p w14:paraId="34A2224E" w14:textId="77777777" w:rsidR="00E03A22" w:rsidRDefault="00E03A22" w:rsidP="008B1C85">
            <w:pPr>
              <w:pStyle w:val="Tabletext"/>
            </w:pPr>
          </w:p>
        </w:tc>
        <w:tc>
          <w:tcPr>
            <w:tcW w:w="1714" w:type="dxa"/>
            <w:shd w:val="clear" w:color="auto" w:fill="auto"/>
          </w:tcPr>
          <w:p w14:paraId="4B0AD50A" w14:textId="77777777" w:rsidR="00E03A22" w:rsidRDefault="00E03A22" w:rsidP="008B1C85">
            <w:pPr>
              <w:pStyle w:val="Tabletext"/>
            </w:pPr>
            <w:r>
              <w:t>AST004</w:t>
            </w:r>
          </w:p>
        </w:tc>
        <w:tc>
          <w:tcPr>
            <w:tcW w:w="3697" w:type="dxa"/>
            <w:shd w:val="clear" w:color="auto" w:fill="auto"/>
          </w:tcPr>
          <w:p w14:paraId="799BBE24" w14:textId="77777777" w:rsidR="00E03A22" w:rsidRDefault="00E03A22" w:rsidP="008B1C85">
            <w:pPr>
              <w:pStyle w:val="Tabletext"/>
            </w:pPr>
            <w:r w:rsidRPr="0035694A">
              <w:t>The percentage of patients with asthma aged 14 or over and who have not attained the age of 20, on the register, in whom there is a record of smoking status in the preceding 15 months</w:t>
            </w:r>
            <w:r>
              <w:t>.</w:t>
            </w:r>
          </w:p>
        </w:tc>
        <w:tc>
          <w:tcPr>
            <w:tcW w:w="1335" w:type="dxa"/>
            <w:shd w:val="clear" w:color="auto" w:fill="auto"/>
          </w:tcPr>
          <w:p w14:paraId="66DA5F4A" w14:textId="77777777" w:rsidR="00E03A22" w:rsidRDefault="00E03A22" w:rsidP="00E90C0F">
            <w:pPr>
              <w:pStyle w:val="TableTextDecimalAlign"/>
            </w:pPr>
            <w:r>
              <w:t>6</w:t>
            </w:r>
          </w:p>
        </w:tc>
        <w:tc>
          <w:tcPr>
            <w:tcW w:w="1098" w:type="dxa"/>
            <w:shd w:val="clear" w:color="auto" w:fill="auto"/>
          </w:tcPr>
          <w:p w14:paraId="62868F98" w14:textId="77777777" w:rsidR="00E03A22" w:rsidRDefault="00E03A22" w:rsidP="008B1C85">
            <w:pPr>
              <w:pStyle w:val="Tabletext"/>
              <w:jc w:val="right"/>
            </w:pPr>
            <w:r>
              <w:t>50-80%</w:t>
            </w:r>
          </w:p>
        </w:tc>
      </w:tr>
      <w:tr w:rsidR="00661D35" w14:paraId="26282C79" w14:textId="77777777" w:rsidTr="00661D35">
        <w:tc>
          <w:tcPr>
            <w:tcW w:w="6809" w:type="dxa"/>
            <w:gridSpan w:val="3"/>
            <w:tcBorders>
              <w:bottom w:val="single" w:sz="4" w:space="0" w:color="auto"/>
            </w:tcBorders>
            <w:shd w:val="clear" w:color="auto" w:fill="FFFFFF" w:themeFill="background1"/>
          </w:tcPr>
          <w:p w14:paraId="272DDD75" w14:textId="77777777" w:rsidR="00661D35" w:rsidRPr="0035694A" w:rsidRDefault="00661D35" w:rsidP="00661D35">
            <w:pPr>
              <w:pStyle w:val="Tabletext"/>
              <w:jc w:val="right"/>
            </w:pPr>
            <w:r>
              <w:t>Total</w:t>
            </w:r>
          </w:p>
        </w:tc>
        <w:tc>
          <w:tcPr>
            <w:tcW w:w="1335" w:type="dxa"/>
            <w:shd w:val="clear" w:color="auto" w:fill="FFFFFF" w:themeFill="background1"/>
          </w:tcPr>
          <w:p w14:paraId="259591A5" w14:textId="77777777" w:rsidR="00661D35" w:rsidRDefault="00661D35" w:rsidP="00E90C0F">
            <w:pPr>
              <w:pStyle w:val="TableTextDecimalAlign"/>
            </w:pPr>
            <w:r>
              <w:t>43</w:t>
            </w:r>
          </w:p>
        </w:tc>
        <w:tc>
          <w:tcPr>
            <w:tcW w:w="1098" w:type="dxa"/>
            <w:shd w:val="clear" w:color="auto" w:fill="FFFFFF" w:themeFill="background1"/>
          </w:tcPr>
          <w:p w14:paraId="76012CFF" w14:textId="77777777" w:rsidR="00661D35" w:rsidRDefault="00661D35" w:rsidP="008B1C85">
            <w:pPr>
              <w:pStyle w:val="Tabletext"/>
              <w:jc w:val="right"/>
            </w:pPr>
            <w:r>
              <w:t>Not applicable</w:t>
            </w:r>
          </w:p>
        </w:tc>
      </w:tr>
    </w:tbl>
    <w:p w14:paraId="6E3EDEEB" w14:textId="77777777" w:rsidR="008B1C85" w:rsidRDefault="008B1C85" w:rsidP="0099709F">
      <w:pPr>
        <w:pStyle w:val="08Tablefootnotes"/>
      </w:pPr>
      <w:r>
        <w:t xml:space="preserve">Source: </w:t>
      </w:r>
      <w:hyperlink r:id="rId40" w:history="1">
        <w:r w:rsidR="00F239F1" w:rsidRPr="00F239F1">
          <w:rPr>
            <w:rStyle w:val="Hyperlink"/>
          </w:rPr>
          <w:t>NICE Indicator Menu for the QOF</w:t>
        </w:r>
      </w:hyperlink>
      <w:r w:rsidR="00F239F1" w:rsidRPr="00F239F1">
        <w:t xml:space="preserve"> </w:t>
      </w:r>
    </w:p>
    <w:p w14:paraId="7CFAC9B7" w14:textId="77777777" w:rsidR="008B1C85" w:rsidRDefault="008B1C85" w:rsidP="0099709F">
      <w:pPr>
        <w:pStyle w:val="08Tablefootnotes"/>
      </w:pPr>
      <w:r>
        <w:t>Abbreviations: AST, asthma; COPD, chronic obstructive pulmonary disease; FEV</w:t>
      </w:r>
      <w:r w:rsidRPr="00C56B5E">
        <w:rPr>
          <w:vertAlign w:val="subscript"/>
        </w:rPr>
        <w:t>I</w:t>
      </w:r>
      <w:r>
        <w:t xml:space="preserve">, forced </w:t>
      </w:r>
      <w:r w:rsidRPr="006A60B6">
        <w:t>expiratory volume in 1 second</w:t>
      </w:r>
      <w:r>
        <w:t xml:space="preserve">; na, not applicable; RCP, </w:t>
      </w:r>
      <w:r w:rsidRPr="00183A2B">
        <w:t>Royal College of Physicians</w:t>
      </w:r>
      <w:r>
        <w:t>.</w:t>
      </w:r>
    </w:p>
    <w:p w14:paraId="3C19647F" w14:textId="77777777" w:rsidR="008B1C85" w:rsidRDefault="008B1C85" w:rsidP="0099709F">
      <w:pPr>
        <w:pStyle w:val="08Tablefootnotes"/>
      </w:pPr>
      <w:r w:rsidRPr="006A60B6">
        <w:t>FEV</w:t>
      </w:r>
      <w:r w:rsidRPr="00C56B5E">
        <w:rPr>
          <w:vertAlign w:val="subscript"/>
        </w:rPr>
        <w:t>1</w:t>
      </w:r>
      <w:r w:rsidRPr="006A60B6">
        <w:t xml:space="preserve"> is</w:t>
      </w:r>
      <w:r>
        <w:t xml:space="preserve"> a common parameter measured in spirometry </w:t>
      </w:r>
      <w:r w:rsidRPr="002765D3">
        <w:t>and is a useful measure of how quickly full lungs can be emptied.</w:t>
      </w:r>
    </w:p>
    <w:p w14:paraId="35312F15" w14:textId="77777777" w:rsidR="008B1C85" w:rsidRPr="00FD6CA8" w:rsidRDefault="008B1C85" w:rsidP="00330A53">
      <w:pPr>
        <w:pStyle w:val="StyleTableUnderLastBold"/>
      </w:pPr>
      <w:r w:rsidRPr="00C56B5E">
        <w:rPr>
          <w:b/>
        </w:rPr>
        <w:t>a</w:t>
      </w:r>
      <w:r>
        <w:t xml:space="preserve"> </w:t>
      </w:r>
      <w:r w:rsidRPr="00ED6528">
        <w:t>Further information about the diagnosis o</w:t>
      </w:r>
      <w:r>
        <w:t>f asthma is provided in the BTS/</w:t>
      </w:r>
      <w:r w:rsidRPr="00ED6528">
        <w:t>SIGN asthma guideline</w:t>
      </w:r>
      <w:r>
        <w:t>, which recommends spirometry as the preferred initial test to assess the presence and severity of airflow obstruction in adults (Grade of recommendation, D).</w:t>
      </w:r>
    </w:p>
    <w:p w14:paraId="3AE81564" w14:textId="77777777" w:rsidR="008B1C85" w:rsidRDefault="008B1C85" w:rsidP="000A5A36">
      <w:pPr>
        <w:sectPr w:rsidR="008B1C85" w:rsidSect="004F5FA8">
          <w:footerReference w:type="default" r:id="rId41"/>
          <w:endnotePr>
            <w:numFmt w:val="decimal"/>
          </w:endnotePr>
          <w:pgSz w:w="11906" w:h="16838" w:code="9"/>
          <w:pgMar w:top="1021" w:right="1440" w:bottom="1021" w:left="1440" w:header="567" w:footer="567" w:gutter="0"/>
          <w:paperSrc w:first="1025" w:other="1025"/>
          <w:cols w:space="720"/>
          <w:docGrid w:linePitch="326"/>
        </w:sectPr>
      </w:pPr>
      <w:r>
        <w:t>The annual QOF</w:t>
      </w:r>
      <w:r w:rsidRPr="004E3B22">
        <w:t xml:space="preserve"> </w:t>
      </w:r>
      <w:r w:rsidRPr="000A5A36">
        <w:t>d</w:t>
      </w:r>
      <w:r w:rsidRPr="004E3B22">
        <w:t xml:space="preserve">ata report published for the period between April 2014 and March 2015 found that </w:t>
      </w:r>
      <w:r w:rsidRPr="00E363C9">
        <w:t>98.7% of GP practices in the UK participated in the QOF</w:t>
      </w:r>
      <w:r w:rsidRPr="004E3B22">
        <w:t>.</w:t>
      </w:r>
      <w:r>
        <w:rPr>
          <w:rStyle w:val="FootnoteReference"/>
        </w:rPr>
        <w:footnoteReference w:id="31"/>
      </w:r>
      <w:r w:rsidRPr="004E3B22">
        <w:t xml:space="preserve"> The percentage of patients receiving the specified level of care for COPD was 96.1%.</w:t>
      </w:r>
    </w:p>
    <w:p w14:paraId="74897238" w14:textId="77777777" w:rsidR="006214F6" w:rsidRPr="008F0B2B" w:rsidRDefault="006214F6" w:rsidP="008A4CE9">
      <w:pPr>
        <w:pStyle w:val="AppendixStyle1"/>
      </w:pPr>
      <w:bookmarkStart w:id="413" w:name="_Toc458510024"/>
      <w:bookmarkStart w:id="414" w:name="_Toc458768510"/>
      <w:bookmarkStart w:id="415" w:name="_Toc458768670"/>
      <w:bookmarkStart w:id="416" w:name="_Toc478721531"/>
      <w:r w:rsidRPr="008F0B2B">
        <w:lastRenderedPageBreak/>
        <w:t>Spirometry data</w:t>
      </w:r>
      <w:bookmarkEnd w:id="413"/>
      <w:bookmarkEnd w:id="414"/>
      <w:bookmarkEnd w:id="415"/>
      <w:bookmarkEnd w:id="416"/>
    </w:p>
    <w:p w14:paraId="57EFC6D4" w14:textId="77777777" w:rsidR="006214F6" w:rsidRDefault="006214F6" w:rsidP="008A4CE9">
      <w:pPr>
        <w:pStyle w:val="AppendixStyle2"/>
      </w:pPr>
      <w:bookmarkStart w:id="417" w:name="_Toc452982151"/>
      <w:bookmarkStart w:id="418" w:name="_Toc456613629"/>
      <w:bookmarkStart w:id="419" w:name="_Toc458510025"/>
      <w:r w:rsidRPr="006214F6">
        <w:t>Data on item</w:t>
      </w:r>
      <w:r w:rsidR="00D826BE">
        <w:t xml:space="preserve"> 11503: Laboratory Respiratory F</w:t>
      </w:r>
      <w:r w:rsidRPr="006214F6">
        <w:t>unction Tests</w:t>
      </w:r>
      <w:bookmarkEnd w:id="417"/>
      <w:bookmarkEnd w:id="418"/>
      <w:bookmarkEnd w:id="419"/>
    </w:p>
    <w:p w14:paraId="24AB8FDB" w14:textId="77777777" w:rsidR="006214F6" w:rsidRPr="00E52BC8" w:rsidRDefault="008A4CE9" w:rsidP="00297C64">
      <w:pPr>
        <w:pStyle w:val="Caption"/>
      </w:pPr>
      <w:bookmarkStart w:id="420" w:name="_Toc478721567"/>
      <w:r>
        <w:rPr>
          <w:lang w:val="en-US"/>
        </w:rPr>
        <w:t>Table D1:</w:t>
      </w:r>
      <w:r>
        <w:rPr>
          <w:lang w:val="en-US"/>
        </w:rPr>
        <w:tab/>
      </w:r>
      <w:r w:rsidR="003A51C8" w:rsidRPr="003A51C8">
        <w:rPr>
          <w:lang w:val="en-US"/>
        </w:rPr>
        <w:t xml:space="preserve">Number </w:t>
      </w:r>
      <w:r w:rsidR="006214F6" w:rsidRPr="003A51C8">
        <w:rPr>
          <w:lang w:val="en-US"/>
        </w:rPr>
        <w:t xml:space="preserve">of services by age group – </w:t>
      </w:r>
      <w:r w:rsidR="003A51C8">
        <w:rPr>
          <w:lang w:val="en-US"/>
        </w:rPr>
        <w:t>item 11503</w:t>
      </w:r>
      <w:r w:rsidR="006214F6" w:rsidRPr="003A51C8">
        <w:rPr>
          <w:lang w:val="en-US"/>
        </w:rPr>
        <w:t>, 2014-15</w:t>
      </w:r>
      <w:bookmarkEnd w:id="420"/>
    </w:p>
    <w:tbl>
      <w:tblPr>
        <w:tblW w:w="9072" w:type="dxa"/>
        <w:tblBorders>
          <w:top w:val="single" w:sz="4" w:space="0" w:color="B56011"/>
          <w:bottom w:val="single" w:sz="4" w:space="0" w:color="B56011"/>
          <w:insideH w:val="single" w:sz="4" w:space="0" w:color="B56011"/>
        </w:tblBorders>
        <w:tblLayout w:type="fixed"/>
        <w:tblLook w:val="04A0" w:firstRow="1" w:lastRow="0" w:firstColumn="1" w:lastColumn="0" w:noHBand="0" w:noVBand="1"/>
        <w:tblDescription w:val="Table D1 provides the number of services for item 11503 by age group in 2014-15."/>
      </w:tblPr>
      <w:tblGrid>
        <w:gridCol w:w="3024"/>
        <w:gridCol w:w="3024"/>
        <w:gridCol w:w="3024"/>
      </w:tblGrid>
      <w:tr w:rsidR="006214F6" w:rsidRPr="00FF3267" w14:paraId="30101140" w14:textId="77777777" w:rsidTr="008A4CE9">
        <w:trPr>
          <w:trHeight w:val="175"/>
          <w:tblHeader/>
        </w:trPr>
        <w:tc>
          <w:tcPr>
            <w:tcW w:w="3024" w:type="dxa"/>
            <w:shd w:val="clear" w:color="auto" w:fill="auto"/>
            <w:hideMark/>
          </w:tcPr>
          <w:p w14:paraId="64BA7A0E" w14:textId="77777777" w:rsidR="006214F6" w:rsidRPr="00A403FC" w:rsidRDefault="006214F6" w:rsidP="00F74125">
            <w:pPr>
              <w:pStyle w:val="Tableheading"/>
              <w:jc w:val="center"/>
            </w:pPr>
            <w:r w:rsidRPr="00A403FC">
              <w:t>Age Group</w:t>
            </w:r>
          </w:p>
        </w:tc>
        <w:tc>
          <w:tcPr>
            <w:tcW w:w="3024" w:type="dxa"/>
            <w:shd w:val="clear" w:color="auto" w:fill="auto"/>
            <w:hideMark/>
          </w:tcPr>
          <w:p w14:paraId="60E95F73" w14:textId="77777777" w:rsidR="006214F6" w:rsidRPr="00A403FC" w:rsidRDefault="006214F6" w:rsidP="0089666D">
            <w:pPr>
              <w:pStyle w:val="Tableheading"/>
            </w:pPr>
            <w:r w:rsidRPr="00A403FC">
              <w:t>Number of Services</w:t>
            </w:r>
          </w:p>
        </w:tc>
        <w:tc>
          <w:tcPr>
            <w:tcW w:w="3024" w:type="dxa"/>
            <w:shd w:val="clear" w:color="auto" w:fill="auto"/>
            <w:hideMark/>
          </w:tcPr>
          <w:p w14:paraId="73FF9BFC" w14:textId="77777777" w:rsidR="006214F6" w:rsidRPr="00A403FC" w:rsidRDefault="006214F6" w:rsidP="0089666D">
            <w:pPr>
              <w:pStyle w:val="Tableheading"/>
            </w:pPr>
            <w:r w:rsidRPr="00A403FC">
              <w:t>% provided to the age group</w:t>
            </w:r>
          </w:p>
        </w:tc>
      </w:tr>
      <w:tr w:rsidR="006214F6" w:rsidRPr="00BC7AC4" w14:paraId="0BC01A04" w14:textId="77777777" w:rsidTr="008F0B2B">
        <w:trPr>
          <w:trHeight w:val="255"/>
        </w:trPr>
        <w:tc>
          <w:tcPr>
            <w:tcW w:w="3024" w:type="dxa"/>
            <w:shd w:val="clear" w:color="auto" w:fill="auto"/>
            <w:noWrap/>
            <w:hideMark/>
          </w:tcPr>
          <w:p w14:paraId="7372A415" w14:textId="77777777" w:rsidR="006214F6" w:rsidRPr="008F0B2B" w:rsidRDefault="006214F6" w:rsidP="008F0B2B">
            <w:pPr>
              <w:pStyle w:val="Tabletext"/>
              <w:spacing w:before="60"/>
              <w:jc w:val="center"/>
              <w:rPr>
                <w:szCs w:val="20"/>
              </w:rPr>
            </w:pPr>
            <w:r w:rsidRPr="008F0B2B">
              <w:rPr>
                <w:szCs w:val="20"/>
              </w:rPr>
              <w:t>0-4</w:t>
            </w:r>
          </w:p>
        </w:tc>
        <w:tc>
          <w:tcPr>
            <w:tcW w:w="3024" w:type="dxa"/>
            <w:shd w:val="clear" w:color="auto" w:fill="auto"/>
            <w:noWrap/>
            <w:hideMark/>
          </w:tcPr>
          <w:p w14:paraId="100D9FAF" w14:textId="77777777" w:rsidR="006214F6" w:rsidRPr="008F0B2B" w:rsidRDefault="006214F6" w:rsidP="008F0B2B">
            <w:pPr>
              <w:pStyle w:val="Tabletext"/>
              <w:spacing w:before="60"/>
              <w:jc w:val="center"/>
              <w:rPr>
                <w:szCs w:val="20"/>
              </w:rPr>
            </w:pPr>
            <w:r w:rsidRPr="008F0B2B">
              <w:rPr>
                <w:szCs w:val="20"/>
              </w:rPr>
              <w:t>3,422</w:t>
            </w:r>
          </w:p>
        </w:tc>
        <w:tc>
          <w:tcPr>
            <w:tcW w:w="3024" w:type="dxa"/>
            <w:shd w:val="clear" w:color="auto" w:fill="auto"/>
            <w:noWrap/>
            <w:hideMark/>
          </w:tcPr>
          <w:p w14:paraId="75B3BF55" w14:textId="77777777" w:rsidR="006214F6" w:rsidRPr="008F0B2B" w:rsidRDefault="006214F6" w:rsidP="008F0B2B">
            <w:pPr>
              <w:pStyle w:val="Tabletext"/>
              <w:spacing w:before="60"/>
              <w:jc w:val="center"/>
              <w:rPr>
                <w:rFonts w:cs="Tahoma"/>
                <w:szCs w:val="20"/>
              </w:rPr>
            </w:pPr>
            <w:r w:rsidRPr="008F0B2B">
              <w:rPr>
                <w:rFonts w:cs="Tahoma"/>
                <w:szCs w:val="20"/>
              </w:rPr>
              <w:t>1%</w:t>
            </w:r>
          </w:p>
        </w:tc>
      </w:tr>
      <w:tr w:rsidR="006214F6" w:rsidRPr="00BC7AC4" w14:paraId="77EB6E5B" w14:textId="77777777" w:rsidTr="008F0B2B">
        <w:trPr>
          <w:trHeight w:val="221"/>
        </w:trPr>
        <w:tc>
          <w:tcPr>
            <w:tcW w:w="3024" w:type="dxa"/>
            <w:shd w:val="clear" w:color="auto" w:fill="auto"/>
            <w:noWrap/>
            <w:hideMark/>
          </w:tcPr>
          <w:p w14:paraId="63B2C1ED" w14:textId="77777777" w:rsidR="006214F6" w:rsidRPr="008F0B2B" w:rsidRDefault="006214F6" w:rsidP="008F0B2B">
            <w:pPr>
              <w:pStyle w:val="Tabletext"/>
              <w:spacing w:before="60"/>
              <w:jc w:val="center"/>
              <w:rPr>
                <w:szCs w:val="20"/>
              </w:rPr>
            </w:pPr>
            <w:r w:rsidRPr="008F0B2B">
              <w:rPr>
                <w:szCs w:val="20"/>
              </w:rPr>
              <w:t>5-9</w:t>
            </w:r>
          </w:p>
        </w:tc>
        <w:tc>
          <w:tcPr>
            <w:tcW w:w="3024" w:type="dxa"/>
            <w:shd w:val="clear" w:color="auto" w:fill="auto"/>
            <w:noWrap/>
            <w:hideMark/>
          </w:tcPr>
          <w:p w14:paraId="5BC67CF5" w14:textId="77777777" w:rsidR="006214F6" w:rsidRPr="008F0B2B" w:rsidRDefault="006214F6" w:rsidP="008F0B2B">
            <w:pPr>
              <w:pStyle w:val="Tabletext"/>
              <w:spacing w:before="60"/>
              <w:jc w:val="center"/>
              <w:rPr>
                <w:szCs w:val="20"/>
              </w:rPr>
            </w:pPr>
            <w:r w:rsidRPr="008F0B2B">
              <w:rPr>
                <w:szCs w:val="20"/>
              </w:rPr>
              <w:t>2,053</w:t>
            </w:r>
          </w:p>
        </w:tc>
        <w:tc>
          <w:tcPr>
            <w:tcW w:w="3024" w:type="dxa"/>
            <w:shd w:val="clear" w:color="auto" w:fill="auto"/>
            <w:noWrap/>
            <w:hideMark/>
          </w:tcPr>
          <w:p w14:paraId="68B4B75E" w14:textId="77777777" w:rsidR="006214F6" w:rsidRPr="008F0B2B" w:rsidRDefault="006214F6" w:rsidP="008F0B2B">
            <w:pPr>
              <w:pStyle w:val="Tabletext"/>
              <w:spacing w:before="60"/>
              <w:jc w:val="center"/>
              <w:rPr>
                <w:rFonts w:cs="Tahoma"/>
                <w:szCs w:val="20"/>
              </w:rPr>
            </w:pPr>
            <w:r w:rsidRPr="008F0B2B">
              <w:rPr>
                <w:rFonts w:cs="Tahoma"/>
                <w:szCs w:val="20"/>
              </w:rPr>
              <w:t>1%</w:t>
            </w:r>
          </w:p>
        </w:tc>
      </w:tr>
      <w:tr w:rsidR="006214F6" w:rsidRPr="00BC7AC4" w14:paraId="6E3EB7E4" w14:textId="77777777" w:rsidTr="008F0B2B">
        <w:trPr>
          <w:trHeight w:val="255"/>
        </w:trPr>
        <w:tc>
          <w:tcPr>
            <w:tcW w:w="3024" w:type="dxa"/>
            <w:shd w:val="clear" w:color="auto" w:fill="auto"/>
            <w:noWrap/>
            <w:hideMark/>
          </w:tcPr>
          <w:p w14:paraId="1DF597C4" w14:textId="77777777" w:rsidR="006214F6" w:rsidRPr="008F0B2B" w:rsidRDefault="006214F6" w:rsidP="008F0B2B">
            <w:pPr>
              <w:pStyle w:val="Tabletext"/>
              <w:spacing w:before="60"/>
              <w:jc w:val="center"/>
              <w:rPr>
                <w:szCs w:val="20"/>
              </w:rPr>
            </w:pPr>
            <w:r w:rsidRPr="008F0B2B">
              <w:rPr>
                <w:szCs w:val="20"/>
              </w:rPr>
              <w:t>10-14</w:t>
            </w:r>
          </w:p>
        </w:tc>
        <w:tc>
          <w:tcPr>
            <w:tcW w:w="3024" w:type="dxa"/>
            <w:shd w:val="clear" w:color="auto" w:fill="auto"/>
            <w:noWrap/>
            <w:hideMark/>
          </w:tcPr>
          <w:p w14:paraId="71CBF3AC" w14:textId="77777777" w:rsidR="006214F6" w:rsidRPr="008F0B2B" w:rsidRDefault="006214F6" w:rsidP="008F0B2B">
            <w:pPr>
              <w:pStyle w:val="Tabletext"/>
              <w:spacing w:before="60"/>
              <w:jc w:val="center"/>
              <w:rPr>
                <w:szCs w:val="20"/>
              </w:rPr>
            </w:pPr>
            <w:r w:rsidRPr="008F0B2B">
              <w:rPr>
                <w:szCs w:val="20"/>
              </w:rPr>
              <w:t>2,934</w:t>
            </w:r>
          </w:p>
        </w:tc>
        <w:tc>
          <w:tcPr>
            <w:tcW w:w="3024" w:type="dxa"/>
            <w:shd w:val="clear" w:color="auto" w:fill="auto"/>
            <w:noWrap/>
            <w:hideMark/>
          </w:tcPr>
          <w:p w14:paraId="384FF38A" w14:textId="77777777" w:rsidR="006214F6" w:rsidRPr="008F0B2B" w:rsidRDefault="006214F6" w:rsidP="008F0B2B">
            <w:pPr>
              <w:pStyle w:val="Tabletext"/>
              <w:spacing w:before="60"/>
              <w:jc w:val="center"/>
              <w:rPr>
                <w:rFonts w:cs="Tahoma"/>
                <w:szCs w:val="20"/>
              </w:rPr>
            </w:pPr>
            <w:r w:rsidRPr="008F0B2B">
              <w:rPr>
                <w:rFonts w:cs="Tahoma"/>
                <w:szCs w:val="20"/>
              </w:rPr>
              <w:t>1%</w:t>
            </w:r>
          </w:p>
        </w:tc>
      </w:tr>
      <w:tr w:rsidR="006214F6" w:rsidRPr="00BC7AC4" w14:paraId="7D8E0CFB" w14:textId="77777777" w:rsidTr="008F0B2B">
        <w:trPr>
          <w:trHeight w:val="143"/>
        </w:trPr>
        <w:tc>
          <w:tcPr>
            <w:tcW w:w="3024" w:type="dxa"/>
            <w:shd w:val="clear" w:color="auto" w:fill="auto"/>
            <w:noWrap/>
            <w:hideMark/>
          </w:tcPr>
          <w:p w14:paraId="77219FF5" w14:textId="77777777" w:rsidR="006214F6" w:rsidRPr="008F0B2B" w:rsidRDefault="006214F6" w:rsidP="008F0B2B">
            <w:pPr>
              <w:pStyle w:val="Tabletext"/>
              <w:spacing w:before="60"/>
              <w:jc w:val="center"/>
              <w:rPr>
                <w:szCs w:val="20"/>
              </w:rPr>
            </w:pPr>
            <w:r w:rsidRPr="008F0B2B">
              <w:rPr>
                <w:szCs w:val="20"/>
              </w:rPr>
              <w:t>15-19</w:t>
            </w:r>
          </w:p>
        </w:tc>
        <w:tc>
          <w:tcPr>
            <w:tcW w:w="3024" w:type="dxa"/>
            <w:shd w:val="clear" w:color="auto" w:fill="auto"/>
            <w:noWrap/>
            <w:hideMark/>
          </w:tcPr>
          <w:p w14:paraId="60027D34" w14:textId="77777777" w:rsidR="006214F6" w:rsidRPr="008F0B2B" w:rsidRDefault="006214F6" w:rsidP="008F0B2B">
            <w:pPr>
              <w:pStyle w:val="Tabletext"/>
              <w:spacing w:before="60"/>
              <w:jc w:val="center"/>
              <w:rPr>
                <w:szCs w:val="20"/>
              </w:rPr>
            </w:pPr>
            <w:r w:rsidRPr="008F0B2B">
              <w:rPr>
                <w:szCs w:val="20"/>
              </w:rPr>
              <w:t>4,430</w:t>
            </w:r>
          </w:p>
        </w:tc>
        <w:tc>
          <w:tcPr>
            <w:tcW w:w="3024" w:type="dxa"/>
            <w:shd w:val="clear" w:color="auto" w:fill="auto"/>
            <w:noWrap/>
            <w:hideMark/>
          </w:tcPr>
          <w:p w14:paraId="5A8A0FD4" w14:textId="77777777" w:rsidR="006214F6" w:rsidRPr="008F0B2B" w:rsidRDefault="006214F6" w:rsidP="008F0B2B">
            <w:pPr>
              <w:pStyle w:val="Tabletext"/>
              <w:spacing w:before="60"/>
              <w:jc w:val="center"/>
              <w:rPr>
                <w:rFonts w:cs="Tahoma"/>
                <w:szCs w:val="20"/>
              </w:rPr>
            </w:pPr>
            <w:r w:rsidRPr="008F0B2B">
              <w:rPr>
                <w:rFonts w:cs="Tahoma"/>
                <w:szCs w:val="20"/>
              </w:rPr>
              <w:t>2%</w:t>
            </w:r>
          </w:p>
        </w:tc>
      </w:tr>
      <w:tr w:rsidR="006214F6" w:rsidRPr="00BC7AC4" w14:paraId="3ACFBA66" w14:textId="77777777" w:rsidTr="008F0B2B">
        <w:trPr>
          <w:trHeight w:val="255"/>
        </w:trPr>
        <w:tc>
          <w:tcPr>
            <w:tcW w:w="3024" w:type="dxa"/>
            <w:shd w:val="clear" w:color="auto" w:fill="auto"/>
            <w:noWrap/>
            <w:hideMark/>
          </w:tcPr>
          <w:p w14:paraId="4D94F8A3" w14:textId="77777777" w:rsidR="006214F6" w:rsidRPr="008F0B2B" w:rsidRDefault="006214F6" w:rsidP="008F0B2B">
            <w:pPr>
              <w:pStyle w:val="Tabletext"/>
              <w:spacing w:before="60"/>
              <w:jc w:val="center"/>
              <w:rPr>
                <w:szCs w:val="20"/>
              </w:rPr>
            </w:pPr>
            <w:r w:rsidRPr="008F0B2B">
              <w:rPr>
                <w:szCs w:val="20"/>
              </w:rPr>
              <w:t>20-24</w:t>
            </w:r>
          </w:p>
        </w:tc>
        <w:tc>
          <w:tcPr>
            <w:tcW w:w="3024" w:type="dxa"/>
            <w:shd w:val="clear" w:color="auto" w:fill="auto"/>
            <w:noWrap/>
            <w:hideMark/>
          </w:tcPr>
          <w:p w14:paraId="67135E01" w14:textId="77777777" w:rsidR="006214F6" w:rsidRPr="008F0B2B" w:rsidRDefault="006214F6" w:rsidP="008F0B2B">
            <w:pPr>
              <w:pStyle w:val="Tabletext"/>
              <w:spacing w:before="60"/>
              <w:jc w:val="center"/>
              <w:rPr>
                <w:szCs w:val="20"/>
              </w:rPr>
            </w:pPr>
            <w:r w:rsidRPr="008F0B2B">
              <w:rPr>
                <w:szCs w:val="20"/>
              </w:rPr>
              <w:t>4,503</w:t>
            </w:r>
          </w:p>
        </w:tc>
        <w:tc>
          <w:tcPr>
            <w:tcW w:w="3024" w:type="dxa"/>
            <w:shd w:val="clear" w:color="auto" w:fill="auto"/>
            <w:noWrap/>
            <w:hideMark/>
          </w:tcPr>
          <w:p w14:paraId="6D0A2F91" w14:textId="77777777" w:rsidR="006214F6" w:rsidRPr="008F0B2B" w:rsidRDefault="006214F6" w:rsidP="008F0B2B">
            <w:pPr>
              <w:pStyle w:val="Tabletext"/>
              <w:spacing w:before="60"/>
              <w:jc w:val="center"/>
              <w:rPr>
                <w:rFonts w:cs="Tahoma"/>
                <w:szCs w:val="20"/>
              </w:rPr>
            </w:pPr>
            <w:r w:rsidRPr="008F0B2B">
              <w:rPr>
                <w:rFonts w:cs="Tahoma"/>
                <w:szCs w:val="20"/>
              </w:rPr>
              <w:t>2%</w:t>
            </w:r>
          </w:p>
        </w:tc>
      </w:tr>
      <w:tr w:rsidR="006214F6" w:rsidRPr="00BC7AC4" w14:paraId="4C627EBA" w14:textId="77777777" w:rsidTr="008F0B2B">
        <w:trPr>
          <w:trHeight w:val="193"/>
        </w:trPr>
        <w:tc>
          <w:tcPr>
            <w:tcW w:w="3024" w:type="dxa"/>
            <w:shd w:val="clear" w:color="auto" w:fill="auto"/>
            <w:noWrap/>
            <w:hideMark/>
          </w:tcPr>
          <w:p w14:paraId="4E2EA41C" w14:textId="77777777" w:rsidR="006214F6" w:rsidRPr="008F0B2B" w:rsidRDefault="006214F6" w:rsidP="008F0B2B">
            <w:pPr>
              <w:pStyle w:val="Tabletext"/>
              <w:spacing w:before="60"/>
              <w:jc w:val="center"/>
              <w:rPr>
                <w:szCs w:val="20"/>
              </w:rPr>
            </w:pPr>
            <w:r w:rsidRPr="008F0B2B">
              <w:rPr>
                <w:szCs w:val="20"/>
              </w:rPr>
              <w:t>25-29</w:t>
            </w:r>
          </w:p>
        </w:tc>
        <w:tc>
          <w:tcPr>
            <w:tcW w:w="3024" w:type="dxa"/>
            <w:shd w:val="clear" w:color="auto" w:fill="auto"/>
            <w:noWrap/>
            <w:hideMark/>
          </w:tcPr>
          <w:p w14:paraId="6E5AA3D4" w14:textId="77777777" w:rsidR="006214F6" w:rsidRPr="008F0B2B" w:rsidRDefault="006214F6" w:rsidP="008F0B2B">
            <w:pPr>
              <w:pStyle w:val="Tabletext"/>
              <w:spacing w:before="60"/>
              <w:jc w:val="center"/>
              <w:rPr>
                <w:szCs w:val="20"/>
              </w:rPr>
            </w:pPr>
            <w:r w:rsidRPr="008F0B2B">
              <w:rPr>
                <w:szCs w:val="20"/>
              </w:rPr>
              <w:t>5,630</w:t>
            </w:r>
          </w:p>
        </w:tc>
        <w:tc>
          <w:tcPr>
            <w:tcW w:w="3024" w:type="dxa"/>
            <w:shd w:val="clear" w:color="auto" w:fill="auto"/>
            <w:noWrap/>
            <w:hideMark/>
          </w:tcPr>
          <w:p w14:paraId="264BFE2B" w14:textId="77777777" w:rsidR="006214F6" w:rsidRPr="008F0B2B" w:rsidRDefault="006214F6" w:rsidP="008F0B2B">
            <w:pPr>
              <w:pStyle w:val="Tabletext"/>
              <w:spacing w:before="60"/>
              <w:jc w:val="center"/>
              <w:rPr>
                <w:rFonts w:cs="Tahoma"/>
                <w:szCs w:val="20"/>
              </w:rPr>
            </w:pPr>
            <w:r w:rsidRPr="008F0B2B">
              <w:rPr>
                <w:rFonts w:cs="Tahoma"/>
                <w:szCs w:val="20"/>
              </w:rPr>
              <w:t>2%</w:t>
            </w:r>
          </w:p>
        </w:tc>
      </w:tr>
      <w:tr w:rsidR="006214F6" w:rsidRPr="00BC7AC4" w14:paraId="260417A8" w14:textId="77777777" w:rsidTr="008F0B2B">
        <w:trPr>
          <w:trHeight w:val="255"/>
        </w:trPr>
        <w:tc>
          <w:tcPr>
            <w:tcW w:w="3024" w:type="dxa"/>
            <w:shd w:val="clear" w:color="auto" w:fill="auto"/>
            <w:noWrap/>
            <w:hideMark/>
          </w:tcPr>
          <w:p w14:paraId="79A48DDE" w14:textId="77777777" w:rsidR="006214F6" w:rsidRPr="008F0B2B" w:rsidRDefault="006214F6" w:rsidP="008F0B2B">
            <w:pPr>
              <w:pStyle w:val="Tabletext"/>
              <w:spacing w:before="60"/>
              <w:jc w:val="center"/>
              <w:rPr>
                <w:szCs w:val="20"/>
              </w:rPr>
            </w:pPr>
            <w:r w:rsidRPr="008F0B2B">
              <w:rPr>
                <w:szCs w:val="20"/>
              </w:rPr>
              <w:t>30-34</w:t>
            </w:r>
          </w:p>
        </w:tc>
        <w:tc>
          <w:tcPr>
            <w:tcW w:w="3024" w:type="dxa"/>
            <w:shd w:val="clear" w:color="auto" w:fill="auto"/>
            <w:noWrap/>
            <w:hideMark/>
          </w:tcPr>
          <w:p w14:paraId="38E377DB" w14:textId="77777777" w:rsidR="006214F6" w:rsidRPr="008F0B2B" w:rsidRDefault="006214F6" w:rsidP="008F0B2B">
            <w:pPr>
              <w:pStyle w:val="Tabletext"/>
              <w:spacing w:before="60"/>
              <w:jc w:val="center"/>
              <w:rPr>
                <w:szCs w:val="20"/>
              </w:rPr>
            </w:pPr>
            <w:r w:rsidRPr="008F0B2B">
              <w:rPr>
                <w:szCs w:val="20"/>
              </w:rPr>
              <w:t>7,437</w:t>
            </w:r>
          </w:p>
        </w:tc>
        <w:tc>
          <w:tcPr>
            <w:tcW w:w="3024" w:type="dxa"/>
            <w:shd w:val="clear" w:color="auto" w:fill="auto"/>
            <w:noWrap/>
            <w:hideMark/>
          </w:tcPr>
          <w:p w14:paraId="0979F04B" w14:textId="77777777" w:rsidR="006214F6" w:rsidRPr="008F0B2B" w:rsidRDefault="006214F6" w:rsidP="008F0B2B">
            <w:pPr>
              <w:pStyle w:val="Tabletext"/>
              <w:spacing w:before="60"/>
              <w:jc w:val="center"/>
              <w:rPr>
                <w:rFonts w:cs="Tahoma"/>
                <w:szCs w:val="20"/>
              </w:rPr>
            </w:pPr>
            <w:r w:rsidRPr="008F0B2B">
              <w:rPr>
                <w:rFonts w:cs="Tahoma"/>
                <w:szCs w:val="20"/>
              </w:rPr>
              <w:t>3%</w:t>
            </w:r>
          </w:p>
        </w:tc>
      </w:tr>
      <w:tr w:rsidR="006214F6" w:rsidRPr="00BC7AC4" w14:paraId="7C77A915" w14:textId="77777777" w:rsidTr="008F0B2B">
        <w:trPr>
          <w:trHeight w:val="255"/>
        </w:trPr>
        <w:tc>
          <w:tcPr>
            <w:tcW w:w="3024" w:type="dxa"/>
            <w:shd w:val="clear" w:color="auto" w:fill="auto"/>
            <w:noWrap/>
            <w:hideMark/>
          </w:tcPr>
          <w:p w14:paraId="060C5A88" w14:textId="77777777" w:rsidR="006214F6" w:rsidRPr="008F0B2B" w:rsidRDefault="006214F6" w:rsidP="008F0B2B">
            <w:pPr>
              <w:pStyle w:val="Tabletext"/>
              <w:spacing w:before="60"/>
              <w:jc w:val="center"/>
              <w:rPr>
                <w:szCs w:val="20"/>
              </w:rPr>
            </w:pPr>
            <w:r w:rsidRPr="008F0B2B">
              <w:rPr>
                <w:szCs w:val="20"/>
              </w:rPr>
              <w:t>35-39</w:t>
            </w:r>
          </w:p>
        </w:tc>
        <w:tc>
          <w:tcPr>
            <w:tcW w:w="3024" w:type="dxa"/>
            <w:shd w:val="clear" w:color="auto" w:fill="auto"/>
            <w:noWrap/>
            <w:hideMark/>
          </w:tcPr>
          <w:p w14:paraId="22F9C65C" w14:textId="77777777" w:rsidR="006214F6" w:rsidRPr="008F0B2B" w:rsidRDefault="006214F6" w:rsidP="008F0B2B">
            <w:pPr>
              <w:pStyle w:val="Tabletext"/>
              <w:spacing w:before="60"/>
              <w:jc w:val="center"/>
              <w:rPr>
                <w:szCs w:val="20"/>
              </w:rPr>
            </w:pPr>
            <w:r w:rsidRPr="008F0B2B">
              <w:rPr>
                <w:szCs w:val="20"/>
              </w:rPr>
              <w:t>9,500</w:t>
            </w:r>
          </w:p>
        </w:tc>
        <w:tc>
          <w:tcPr>
            <w:tcW w:w="3024" w:type="dxa"/>
            <w:shd w:val="clear" w:color="auto" w:fill="auto"/>
            <w:noWrap/>
            <w:hideMark/>
          </w:tcPr>
          <w:p w14:paraId="633B7EAD" w14:textId="77777777" w:rsidR="006214F6" w:rsidRPr="008F0B2B" w:rsidRDefault="006214F6" w:rsidP="008F0B2B">
            <w:pPr>
              <w:pStyle w:val="Tabletext"/>
              <w:spacing w:before="60"/>
              <w:jc w:val="center"/>
              <w:rPr>
                <w:rFonts w:cs="Tahoma"/>
                <w:szCs w:val="20"/>
              </w:rPr>
            </w:pPr>
            <w:r w:rsidRPr="008F0B2B">
              <w:rPr>
                <w:rFonts w:cs="Tahoma"/>
                <w:szCs w:val="20"/>
              </w:rPr>
              <w:t>4%</w:t>
            </w:r>
          </w:p>
        </w:tc>
      </w:tr>
      <w:tr w:rsidR="006214F6" w:rsidRPr="00BC7AC4" w14:paraId="03EE3D21" w14:textId="77777777" w:rsidTr="008F0B2B">
        <w:trPr>
          <w:trHeight w:val="255"/>
        </w:trPr>
        <w:tc>
          <w:tcPr>
            <w:tcW w:w="3024" w:type="dxa"/>
            <w:shd w:val="clear" w:color="auto" w:fill="auto"/>
            <w:noWrap/>
            <w:hideMark/>
          </w:tcPr>
          <w:p w14:paraId="159E7C99" w14:textId="77777777" w:rsidR="006214F6" w:rsidRPr="008F0B2B" w:rsidRDefault="006214F6" w:rsidP="008F0B2B">
            <w:pPr>
              <w:pStyle w:val="Tabletext"/>
              <w:spacing w:before="60"/>
              <w:jc w:val="center"/>
              <w:rPr>
                <w:szCs w:val="20"/>
              </w:rPr>
            </w:pPr>
            <w:r w:rsidRPr="008F0B2B">
              <w:rPr>
                <w:szCs w:val="20"/>
              </w:rPr>
              <w:t>40-44</w:t>
            </w:r>
          </w:p>
        </w:tc>
        <w:tc>
          <w:tcPr>
            <w:tcW w:w="3024" w:type="dxa"/>
            <w:shd w:val="clear" w:color="auto" w:fill="auto"/>
            <w:noWrap/>
            <w:hideMark/>
          </w:tcPr>
          <w:p w14:paraId="7C1EB7B2" w14:textId="77777777" w:rsidR="006214F6" w:rsidRPr="008F0B2B" w:rsidRDefault="006214F6" w:rsidP="008F0B2B">
            <w:pPr>
              <w:pStyle w:val="Tabletext"/>
              <w:spacing w:before="60"/>
              <w:jc w:val="center"/>
              <w:rPr>
                <w:szCs w:val="20"/>
              </w:rPr>
            </w:pPr>
            <w:r w:rsidRPr="008F0B2B">
              <w:rPr>
                <w:szCs w:val="20"/>
              </w:rPr>
              <w:t>13,074</w:t>
            </w:r>
          </w:p>
        </w:tc>
        <w:tc>
          <w:tcPr>
            <w:tcW w:w="3024" w:type="dxa"/>
            <w:shd w:val="clear" w:color="auto" w:fill="auto"/>
            <w:noWrap/>
            <w:hideMark/>
          </w:tcPr>
          <w:p w14:paraId="417A17C2" w14:textId="77777777" w:rsidR="006214F6" w:rsidRPr="008F0B2B" w:rsidRDefault="006214F6" w:rsidP="008F0B2B">
            <w:pPr>
              <w:pStyle w:val="Tabletext"/>
              <w:spacing w:before="60"/>
              <w:jc w:val="center"/>
              <w:rPr>
                <w:rFonts w:cs="Tahoma"/>
                <w:szCs w:val="20"/>
              </w:rPr>
            </w:pPr>
            <w:r w:rsidRPr="008F0B2B">
              <w:rPr>
                <w:rFonts w:cs="Tahoma"/>
                <w:szCs w:val="20"/>
              </w:rPr>
              <w:t>5%</w:t>
            </w:r>
          </w:p>
        </w:tc>
      </w:tr>
      <w:tr w:rsidR="006214F6" w:rsidRPr="00BC7AC4" w14:paraId="59BBB4A4" w14:textId="77777777" w:rsidTr="008F0B2B">
        <w:trPr>
          <w:trHeight w:val="255"/>
        </w:trPr>
        <w:tc>
          <w:tcPr>
            <w:tcW w:w="3024" w:type="dxa"/>
            <w:shd w:val="clear" w:color="auto" w:fill="auto"/>
            <w:noWrap/>
            <w:hideMark/>
          </w:tcPr>
          <w:p w14:paraId="65ABD1AF" w14:textId="77777777" w:rsidR="006214F6" w:rsidRPr="008F0B2B" w:rsidRDefault="006214F6" w:rsidP="008F0B2B">
            <w:pPr>
              <w:pStyle w:val="Tabletext"/>
              <w:spacing w:before="60"/>
              <w:jc w:val="center"/>
              <w:rPr>
                <w:szCs w:val="20"/>
              </w:rPr>
            </w:pPr>
            <w:r w:rsidRPr="008F0B2B">
              <w:rPr>
                <w:szCs w:val="20"/>
              </w:rPr>
              <w:t>45-49</w:t>
            </w:r>
          </w:p>
        </w:tc>
        <w:tc>
          <w:tcPr>
            <w:tcW w:w="3024" w:type="dxa"/>
            <w:shd w:val="clear" w:color="auto" w:fill="auto"/>
            <w:noWrap/>
            <w:hideMark/>
          </w:tcPr>
          <w:p w14:paraId="0B981758" w14:textId="77777777" w:rsidR="006214F6" w:rsidRPr="008F0B2B" w:rsidRDefault="006214F6" w:rsidP="008F0B2B">
            <w:pPr>
              <w:pStyle w:val="Tabletext"/>
              <w:spacing w:before="60"/>
              <w:jc w:val="center"/>
              <w:rPr>
                <w:szCs w:val="20"/>
              </w:rPr>
            </w:pPr>
            <w:r w:rsidRPr="008F0B2B">
              <w:rPr>
                <w:szCs w:val="20"/>
              </w:rPr>
              <w:t>15,609</w:t>
            </w:r>
          </w:p>
        </w:tc>
        <w:tc>
          <w:tcPr>
            <w:tcW w:w="3024" w:type="dxa"/>
            <w:shd w:val="clear" w:color="auto" w:fill="auto"/>
            <w:noWrap/>
            <w:hideMark/>
          </w:tcPr>
          <w:p w14:paraId="64C44C9B" w14:textId="77777777" w:rsidR="006214F6" w:rsidRPr="008F0B2B" w:rsidRDefault="006214F6" w:rsidP="008F0B2B">
            <w:pPr>
              <w:pStyle w:val="Tabletext"/>
              <w:spacing w:before="60"/>
              <w:jc w:val="center"/>
              <w:rPr>
                <w:rFonts w:cs="Tahoma"/>
                <w:szCs w:val="20"/>
              </w:rPr>
            </w:pPr>
            <w:r w:rsidRPr="008F0B2B">
              <w:rPr>
                <w:rFonts w:cs="Tahoma"/>
                <w:szCs w:val="20"/>
              </w:rPr>
              <w:t>6%</w:t>
            </w:r>
          </w:p>
        </w:tc>
      </w:tr>
      <w:tr w:rsidR="006214F6" w:rsidRPr="00BC7AC4" w14:paraId="1BE0E1DD" w14:textId="77777777" w:rsidTr="008F0B2B">
        <w:trPr>
          <w:trHeight w:val="255"/>
        </w:trPr>
        <w:tc>
          <w:tcPr>
            <w:tcW w:w="3024" w:type="dxa"/>
            <w:shd w:val="clear" w:color="auto" w:fill="auto"/>
            <w:noWrap/>
            <w:hideMark/>
          </w:tcPr>
          <w:p w14:paraId="110DEBB8" w14:textId="77777777" w:rsidR="006214F6" w:rsidRPr="008F0B2B" w:rsidRDefault="006214F6" w:rsidP="008F0B2B">
            <w:pPr>
              <w:pStyle w:val="Tabletext"/>
              <w:spacing w:before="60"/>
              <w:jc w:val="center"/>
              <w:rPr>
                <w:szCs w:val="20"/>
              </w:rPr>
            </w:pPr>
            <w:r w:rsidRPr="008F0B2B">
              <w:rPr>
                <w:szCs w:val="20"/>
              </w:rPr>
              <w:t>50-54</w:t>
            </w:r>
          </w:p>
        </w:tc>
        <w:tc>
          <w:tcPr>
            <w:tcW w:w="3024" w:type="dxa"/>
            <w:shd w:val="clear" w:color="auto" w:fill="auto"/>
            <w:noWrap/>
            <w:hideMark/>
          </w:tcPr>
          <w:p w14:paraId="5E18BA26" w14:textId="77777777" w:rsidR="006214F6" w:rsidRPr="008F0B2B" w:rsidRDefault="006214F6" w:rsidP="008F0B2B">
            <w:pPr>
              <w:pStyle w:val="Tabletext"/>
              <w:spacing w:before="60"/>
              <w:jc w:val="center"/>
              <w:rPr>
                <w:szCs w:val="20"/>
              </w:rPr>
            </w:pPr>
            <w:r w:rsidRPr="008F0B2B">
              <w:rPr>
                <w:szCs w:val="20"/>
              </w:rPr>
              <w:t>20,678</w:t>
            </w:r>
          </w:p>
        </w:tc>
        <w:tc>
          <w:tcPr>
            <w:tcW w:w="3024" w:type="dxa"/>
            <w:shd w:val="clear" w:color="auto" w:fill="auto"/>
            <w:noWrap/>
            <w:hideMark/>
          </w:tcPr>
          <w:p w14:paraId="75AA2881" w14:textId="77777777" w:rsidR="006214F6" w:rsidRPr="008F0B2B" w:rsidRDefault="006214F6" w:rsidP="008F0B2B">
            <w:pPr>
              <w:pStyle w:val="Tabletext"/>
              <w:spacing w:before="60"/>
              <w:jc w:val="center"/>
              <w:rPr>
                <w:rFonts w:cs="Tahoma"/>
                <w:szCs w:val="20"/>
              </w:rPr>
            </w:pPr>
            <w:r w:rsidRPr="008F0B2B">
              <w:rPr>
                <w:rFonts w:cs="Tahoma"/>
                <w:szCs w:val="20"/>
              </w:rPr>
              <w:t>8%</w:t>
            </w:r>
          </w:p>
        </w:tc>
      </w:tr>
      <w:tr w:rsidR="006214F6" w:rsidRPr="00BC7AC4" w14:paraId="49FCC865" w14:textId="77777777" w:rsidTr="008F0B2B">
        <w:trPr>
          <w:trHeight w:val="255"/>
        </w:trPr>
        <w:tc>
          <w:tcPr>
            <w:tcW w:w="3024" w:type="dxa"/>
            <w:shd w:val="clear" w:color="auto" w:fill="auto"/>
            <w:noWrap/>
            <w:hideMark/>
          </w:tcPr>
          <w:p w14:paraId="1D459EA6" w14:textId="77777777" w:rsidR="006214F6" w:rsidRPr="008F0B2B" w:rsidRDefault="006214F6" w:rsidP="008F0B2B">
            <w:pPr>
              <w:pStyle w:val="Tabletext"/>
              <w:spacing w:before="60"/>
              <w:jc w:val="center"/>
              <w:rPr>
                <w:szCs w:val="20"/>
              </w:rPr>
            </w:pPr>
            <w:r w:rsidRPr="008F0B2B">
              <w:rPr>
                <w:szCs w:val="20"/>
              </w:rPr>
              <w:t>55-59</w:t>
            </w:r>
          </w:p>
        </w:tc>
        <w:tc>
          <w:tcPr>
            <w:tcW w:w="3024" w:type="dxa"/>
            <w:shd w:val="clear" w:color="auto" w:fill="auto"/>
            <w:noWrap/>
            <w:hideMark/>
          </w:tcPr>
          <w:p w14:paraId="12E40519" w14:textId="77777777" w:rsidR="006214F6" w:rsidRPr="008F0B2B" w:rsidRDefault="006214F6" w:rsidP="008F0B2B">
            <w:pPr>
              <w:pStyle w:val="Tabletext"/>
              <w:spacing w:before="60"/>
              <w:jc w:val="center"/>
              <w:rPr>
                <w:szCs w:val="20"/>
              </w:rPr>
            </w:pPr>
            <w:r w:rsidRPr="008F0B2B">
              <w:rPr>
                <w:szCs w:val="20"/>
              </w:rPr>
              <w:t>25,129</w:t>
            </w:r>
          </w:p>
        </w:tc>
        <w:tc>
          <w:tcPr>
            <w:tcW w:w="3024" w:type="dxa"/>
            <w:shd w:val="clear" w:color="auto" w:fill="auto"/>
            <w:noWrap/>
            <w:hideMark/>
          </w:tcPr>
          <w:p w14:paraId="50A44BCD" w14:textId="77777777" w:rsidR="006214F6" w:rsidRPr="008F0B2B" w:rsidRDefault="006214F6" w:rsidP="008F0B2B">
            <w:pPr>
              <w:pStyle w:val="Tabletext"/>
              <w:spacing w:before="60"/>
              <w:jc w:val="center"/>
              <w:rPr>
                <w:rFonts w:cs="Tahoma"/>
                <w:szCs w:val="20"/>
              </w:rPr>
            </w:pPr>
            <w:r w:rsidRPr="008F0B2B">
              <w:rPr>
                <w:rFonts w:cs="Tahoma"/>
                <w:szCs w:val="20"/>
              </w:rPr>
              <w:t>9%</w:t>
            </w:r>
          </w:p>
        </w:tc>
      </w:tr>
      <w:tr w:rsidR="006214F6" w:rsidRPr="00BC7AC4" w14:paraId="7D2E4F99" w14:textId="77777777" w:rsidTr="008F0B2B">
        <w:trPr>
          <w:trHeight w:val="255"/>
        </w:trPr>
        <w:tc>
          <w:tcPr>
            <w:tcW w:w="3024" w:type="dxa"/>
            <w:shd w:val="clear" w:color="auto" w:fill="auto"/>
            <w:noWrap/>
            <w:hideMark/>
          </w:tcPr>
          <w:p w14:paraId="01A0AB21" w14:textId="77777777" w:rsidR="006214F6" w:rsidRPr="008F0B2B" w:rsidRDefault="006214F6" w:rsidP="008F0B2B">
            <w:pPr>
              <w:pStyle w:val="Tabletext"/>
              <w:spacing w:before="60"/>
              <w:jc w:val="center"/>
              <w:rPr>
                <w:szCs w:val="20"/>
              </w:rPr>
            </w:pPr>
            <w:r w:rsidRPr="008F0B2B">
              <w:rPr>
                <w:szCs w:val="20"/>
              </w:rPr>
              <w:t>60-64</w:t>
            </w:r>
          </w:p>
        </w:tc>
        <w:tc>
          <w:tcPr>
            <w:tcW w:w="3024" w:type="dxa"/>
            <w:shd w:val="clear" w:color="auto" w:fill="auto"/>
            <w:noWrap/>
            <w:hideMark/>
          </w:tcPr>
          <w:p w14:paraId="0BD1BBB3" w14:textId="77777777" w:rsidR="006214F6" w:rsidRPr="008F0B2B" w:rsidRDefault="006214F6" w:rsidP="008F0B2B">
            <w:pPr>
              <w:pStyle w:val="Tabletext"/>
              <w:spacing w:before="60"/>
              <w:jc w:val="center"/>
              <w:rPr>
                <w:szCs w:val="20"/>
              </w:rPr>
            </w:pPr>
            <w:r w:rsidRPr="008F0B2B">
              <w:rPr>
                <w:szCs w:val="20"/>
              </w:rPr>
              <w:t>30,307</w:t>
            </w:r>
          </w:p>
        </w:tc>
        <w:tc>
          <w:tcPr>
            <w:tcW w:w="3024" w:type="dxa"/>
            <w:shd w:val="clear" w:color="auto" w:fill="auto"/>
            <w:noWrap/>
            <w:hideMark/>
          </w:tcPr>
          <w:p w14:paraId="081A8A0A" w14:textId="77777777" w:rsidR="006214F6" w:rsidRPr="008F0B2B" w:rsidRDefault="006214F6" w:rsidP="008F0B2B">
            <w:pPr>
              <w:pStyle w:val="Tabletext"/>
              <w:spacing w:before="60"/>
              <w:jc w:val="center"/>
              <w:rPr>
                <w:rFonts w:cs="Tahoma"/>
                <w:szCs w:val="20"/>
              </w:rPr>
            </w:pPr>
            <w:r w:rsidRPr="008F0B2B">
              <w:rPr>
                <w:rFonts w:cs="Tahoma"/>
                <w:szCs w:val="20"/>
              </w:rPr>
              <w:t>11%</w:t>
            </w:r>
          </w:p>
        </w:tc>
      </w:tr>
      <w:tr w:rsidR="006214F6" w:rsidRPr="00BC7AC4" w14:paraId="0724B7A5" w14:textId="77777777" w:rsidTr="008F0B2B">
        <w:trPr>
          <w:trHeight w:val="255"/>
        </w:trPr>
        <w:tc>
          <w:tcPr>
            <w:tcW w:w="3024" w:type="dxa"/>
            <w:shd w:val="clear" w:color="auto" w:fill="auto"/>
            <w:noWrap/>
            <w:hideMark/>
          </w:tcPr>
          <w:p w14:paraId="74B09E59" w14:textId="77777777" w:rsidR="006214F6" w:rsidRPr="008F0B2B" w:rsidRDefault="006214F6" w:rsidP="008F0B2B">
            <w:pPr>
              <w:pStyle w:val="Tabletext"/>
              <w:spacing w:before="60"/>
              <w:jc w:val="center"/>
              <w:rPr>
                <w:szCs w:val="20"/>
              </w:rPr>
            </w:pPr>
            <w:r w:rsidRPr="008F0B2B">
              <w:rPr>
                <w:szCs w:val="20"/>
              </w:rPr>
              <w:t>65-69</w:t>
            </w:r>
          </w:p>
        </w:tc>
        <w:tc>
          <w:tcPr>
            <w:tcW w:w="3024" w:type="dxa"/>
            <w:shd w:val="clear" w:color="auto" w:fill="auto"/>
            <w:noWrap/>
            <w:hideMark/>
          </w:tcPr>
          <w:p w14:paraId="36B7A502" w14:textId="77777777" w:rsidR="006214F6" w:rsidRPr="008F0B2B" w:rsidRDefault="006214F6" w:rsidP="008F0B2B">
            <w:pPr>
              <w:pStyle w:val="Tabletext"/>
              <w:spacing w:before="60"/>
              <w:jc w:val="center"/>
              <w:rPr>
                <w:szCs w:val="20"/>
              </w:rPr>
            </w:pPr>
            <w:r w:rsidRPr="008F0B2B">
              <w:rPr>
                <w:szCs w:val="20"/>
              </w:rPr>
              <w:t>36,444</w:t>
            </w:r>
          </w:p>
        </w:tc>
        <w:tc>
          <w:tcPr>
            <w:tcW w:w="3024" w:type="dxa"/>
            <w:shd w:val="clear" w:color="auto" w:fill="auto"/>
            <w:noWrap/>
            <w:hideMark/>
          </w:tcPr>
          <w:p w14:paraId="3E420E20" w14:textId="77777777" w:rsidR="006214F6" w:rsidRPr="008F0B2B" w:rsidRDefault="006214F6" w:rsidP="008F0B2B">
            <w:pPr>
              <w:pStyle w:val="Tabletext"/>
              <w:spacing w:before="60"/>
              <w:jc w:val="center"/>
              <w:rPr>
                <w:rFonts w:cs="Tahoma"/>
                <w:szCs w:val="20"/>
              </w:rPr>
            </w:pPr>
            <w:r w:rsidRPr="008F0B2B">
              <w:rPr>
                <w:rFonts w:cs="Tahoma"/>
                <w:szCs w:val="20"/>
              </w:rPr>
              <w:t>14%</w:t>
            </w:r>
          </w:p>
        </w:tc>
      </w:tr>
      <w:tr w:rsidR="006214F6" w:rsidRPr="00BC7AC4" w14:paraId="3D135408" w14:textId="77777777" w:rsidTr="008F0B2B">
        <w:trPr>
          <w:trHeight w:val="255"/>
        </w:trPr>
        <w:tc>
          <w:tcPr>
            <w:tcW w:w="3024" w:type="dxa"/>
            <w:shd w:val="clear" w:color="auto" w:fill="auto"/>
            <w:noWrap/>
            <w:hideMark/>
          </w:tcPr>
          <w:p w14:paraId="26A5FC80" w14:textId="77777777" w:rsidR="006214F6" w:rsidRPr="008F0B2B" w:rsidRDefault="006214F6" w:rsidP="008F0B2B">
            <w:pPr>
              <w:pStyle w:val="Tabletext"/>
              <w:spacing w:before="60"/>
              <w:jc w:val="center"/>
              <w:rPr>
                <w:szCs w:val="20"/>
              </w:rPr>
            </w:pPr>
            <w:r w:rsidRPr="008F0B2B">
              <w:rPr>
                <w:szCs w:val="20"/>
              </w:rPr>
              <w:t>70-74</w:t>
            </w:r>
          </w:p>
        </w:tc>
        <w:tc>
          <w:tcPr>
            <w:tcW w:w="3024" w:type="dxa"/>
            <w:shd w:val="clear" w:color="auto" w:fill="auto"/>
            <w:noWrap/>
            <w:hideMark/>
          </w:tcPr>
          <w:p w14:paraId="48D47FE2" w14:textId="77777777" w:rsidR="006214F6" w:rsidRPr="008F0B2B" w:rsidRDefault="006214F6" w:rsidP="008F0B2B">
            <w:pPr>
              <w:pStyle w:val="Tabletext"/>
              <w:spacing w:before="60"/>
              <w:jc w:val="center"/>
              <w:rPr>
                <w:szCs w:val="20"/>
              </w:rPr>
            </w:pPr>
            <w:r w:rsidRPr="008F0B2B">
              <w:rPr>
                <w:szCs w:val="20"/>
              </w:rPr>
              <w:t>33,136</w:t>
            </w:r>
          </w:p>
        </w:tc>
        <w:tc>
          <w:tcPr>
            <w:tcW w:w="3024" w:type="dxa"/>
            <w:shd w:val="clear" w:color="auto" w:fill="auto"/>
            <w:noWrap/>
            <w:hideMark/>
          </w:tcPr>
          <w:p w14:paraId="1B3AE296" w14:textId="77777777" w:rsidR="006214F6" w:rsidRPr="008F0B2B" w:rsidRDefault="006214F6" w:rsidP="008F0B2B">
            <w:pPr>
              <w:pStyle w:val="Tabletext"/>
              <w:spacing w:before="60"/>
              <w:jc w:val="center"/>
              <w:rPr>
                <w:rFonts w:cs="Tahoma"/>
                <w:szCs w:val="20"/>
              </w:rPr>
            </w:pPr>
            <w:r w:rsidRPr="008F0B2B">
              <w:rPr>
                <w:rFonts w:cs="Tahoma"/>
                <w:szCs w:val="20"/>
              </w:rPr>
              <w:t>12%</w:t>
            </w:r>
          </w:p>
        </w:tc>
      </w:tr>
      <w:tr w:rsidR="006214F6" w:rsidRPr="00BC7AC4" w14:paraId="252E4A94" w14:textId="77777777" w:rsidTr="008F0B2B">
        <w:trPr>
          <w:trHeight w:val="255"/>
        </w:trPr>
        <w:tc>
          <w:tcPr>
            <w:tcW w:w="3024" w:type="dxa"/>
            <w:shd w:val="clear" w:color="auto" w:fill="auto"/>
            <w:noWrap/>
            <w:hideMark/>
          </w:tcPr>
          <w:p w14:paraId="298B91F2" w14:textId="77777777" w:rsidR="006214F6" w:rsidRPr="008F0B2B" w:rsidRDefault="006214F6" w:rsidP="008F0B2B">
            <w:pPr>
              <w:pStyle w:val="Tabletext"/>
              <w:spacing w:before="60"/>
              <w:jc w:val="center"/>
              <w:rPr>
                <w:szCs w:val="20"/>
              </w:rPr>
            </w:pPr>
            <w:r w:rsidRPr="008F0B2B">
              <w:rPr>
                <w:szCs w:val="20"/>
              </w:rPr>
              <w:t>75-79</w:t>
            </w:r>
          </w:p>
        </w:tc>
        <w:tc>
          <w:tcPr>
            <w:tcW w:w="3024" w:type="dxa"/>
            <w:shd w:val="clear" w:color="auto" w:fill="auto"/>
            <w:noWrap/>
            <w:hideMark/>
          </w:tcPr>
          <w:p w14:paraId="6A6ABEFD" w14:textId="77777777" w:rsidR="006214F6" w:rsidRPr="008F0B2B" w:rsidRDefault="006214F6" w:rsidP="008F0B2B">
            <w:pPr>
              <w:pStyle w:val="Tabletext"/>
              <w:spacing w:before="60"/>
              <w:jc w:val="center"/>
              <w:rPr>
                <w:szCs w:val="20"/>
              </w:rPr>
            </w:pPr>
            <w:r w:rsidRPr="008F0B2B">
              <w:rPr>
                <w:szCs w:val="20"/>
              </w:rPr>
              <w:t>27,426</w:t>
            </w:r>
          </w:p>
        </w:tc>
        <w:tc>
          <w:tcPr>
            <w:tcW w:w="3024" w:type="dxa"/>
            <w:shd w:val="clear" w:color="auto" w:fill="auto"/>
            <w:noWrap/>
            <w:hideMark/>
          </w:tcPr>
          <w:p w14:paraId="1C2DD417" w14:textId="77777777" w:rsidR="006214F6" w:rsidRPr="008F0B2B" w:rsidRDefault="006214F6" w:rsidP="008F0B2B">
            <w:pPr>
              <w:pStyle w:val="Tabletext"/>
              <w:spacing w:before="60"/>
              <w:jc w:val="center"/>
              <w:rPr>
                <w:rFonts w:cs="Tahoma"/>
                <w:szCs w:val="20"/>
              </w:rPr>
            </w:pPr>
            <w:r w:rsidRPr="008F0B2B">
              <w:rPr>
                <w:rFonts w:cs="Tahoma"/>
                <w:szCs w:val="20"/>
              </w:rPr>
              <w:t>10%</w:t>
            </w:r>
          </w:p>
        </w:tc>
      </w:tr>
      <w:tr w:rsidR="006214F6" w:rsidRPr="00BC7AC4" w14:paraId="7B8E8C95" w14:textId="77777777" w:rsidTr="0099709F">
        <w:trPr>
          <w:trHeight w:val="255"/>
        </w:trPr>
        <w:tc>
          <w:tcPr>
            <w:tcW w:w="3024" w:type="dxa"/>
            <w:tcBorders>
              <w:bottom w:val="single" w:sz="4" w:space="0" w:color="B56011"/>
            </w:tcBorders>
            <w:shd w:val="clear" w:color="auto" w:fill="auto"/>
            <w:noWrap/>
            <w:hideMark/>
          </w:tcPr>
          <w:p w14:paraId="7BEFC988" w14:textId="77777777" w:rsidR="006214F6" w:rsidRPr="008F0B2B" w:rsidRDefault="006214F6" w:rsidP="008F0B2B">
            <w:pPr>
              <w:pStyle w:val="Tabletext"/>
              <w:spacing w:before="60"/>
              <w:jc w:val="center"/>
              <w:rPr>
                <w:szCs w:val="20"/>
              </w:rPr>
            </w:pPr>
            <w:r w:rsidRPr="008F0B2B">
              <w:rPr>
                <w:szCs w:val="20"/>
              </w:rPr>
              <w:t>80-84</w:t>
            </w:r>
          </w:p>
        </w:tc>
        <w:tc>
          <w:tcPr>
            <w:tcW w:w="3024" w:type="dxa"/>
            <w:tcBorders>
              <w:bottom w:val="single" w:sz="4" w:space="0" w:color="B56011"/>
            </w:tcBorders>
            <w:shd w:val="clear" w:color="auto" w:fill="auto"/>
            <w:noWrap/>
            <w:hideMark/>
          </w:tcPr>
          <w:p w14:paraId="39136855" w14:textId="77777777" w:rsidR="006214F6" w:rsidRPr="008F0B2B" w:rsidRDefault="006214F6" w:rsidP="008F0B2B">
            <w:pPr>
              <w:pStyle w:val="Tabletext"/>
              <w:spacing w:before="60"/>
              <w:jc w:val="center"/>
              <w:rPr>
                <w:szCs w:val="20"/>
              </w:rPr>
            </w:pPr>
            <w:r w:rsidRPr="008F0B2B">
              <w:rPr>
                <w:szCs w:val="20"/>
              </w:rPr>
              <w:t>17,595</w:t>
            </w:r>
          </w:p>
        </w:tc>
        <w:tc>
          <w:tcPr>
            <w:tcW w:w="3024" w:type="dxa"/>
            <w:tcBorders>
              <w:bottom w:val="single" w:sz="4" w:space="0" w:color="B56011"/>
            </w:tcBorders>
            <w:shd w:val="clear" w:color="auto" w:fill="auto"/>
            <w:noWrap/>
            <w:hideMark/>
          </w:tcPr>
          <w:p w14:paraId="38965D85" w14:textId="77777777" w:rsidR="006214F6" w:rsidRPr="008F0B2B" w:rsidRDefault="006214F6" w:rsidP="008F0B2B">
            <w:pPr>
              <w:pStyle w:val="Tabletext"/>
              <w:spacing w:before="60"/>
              <w:jc w:val="center"/>
              <w:rPr>
                <w:rFonts w:cs="Tahoma"/>
                <w:szCs w:val="20"/>
              </w:rPr>
            </w:pPr>
            <w:r w:rsidRPr="008F0B2B">
              <w:rPr>
                <w:rFonts w:cs="Tahoma"/>
                <w:szCs w:val="20"/>
              </w:rPr>
              <w:t>7%</w:t>
            </w:r>
          </w:p>
        </w:tc>
      </w:tr>
      <w:tr w:rsidR="006214F6" w:rsidRPr="00BC7AC4" w14:paraId="2F1300BD" w14:textId="77777777" w:rsidTr="008F0B2B">
        <w:trPr>
          <w:trHeight w:val="97"/>
        </w:trPr>
        <w:tc>
          <w:tcPr>
            <w:tcW w:w="3024" w:type="dxa"/>
            <w:shd w:val="clear" w:color="auto" w:fill="auto"/>
            <w:noWrap/>
            <w:hideMark/>
          </w:tcPr>
          <w:p w14:paraId="26B42518" w14:textId="77777777" w:rsidR="006214F6" w:rsidRPr="008F0B2B" w:rsidRDefault="006214F6" w:rsidP="008F0B2B">
            <w:pPr>
              <w:pStyle w:val="Tabletext"/>
              <w:spacing w:before="60"/>
              <w:jc w:val="center"/>
              <w:rPr>
                <w:szCs w:val="20"/>
              </w:rPr>
            </w:pPr>
            <w:r w:rsidRPr="008F0B2B">
              <w:rPr>
                <w:szCs w:val="20"/>
              </w:rPr>
              <w:t>&gt;=85</w:t>
            </w:r>
          </w:p>
        </w:tc>
        <w:tc>
          <w:tcPr>
            <w:tcW w:w="3024" w:type="dxa"/>
            <w:shd w:val="clear" w:color="auto" w:fill="auto"/>
            <w:noWrap/>
            <w:hideMark/>
          </w:tcPr>
          <w:p w14:paraId="67FFD206" w14:textId="77777777" w:rsidR="006214F6" w:rsidRPr="008F0B2B" w:rsidRDefault="006214F6" w:rsidP="008F0B2B">
            <w:pPr>
              <w:pStyle w:val="Tabletext"/>
              <w:spacing w:before="60"/>
              <w:jc w:val="center"/>
              <w:rPr>
                <w:szCs w:val="20"/>
              </w:rPr>
            </w:pPr>
            <w:r w:rsidRPr="008F0B2B">
              <w:rPr>
                <w:szCs w:val="20"/>
              </w:rPr>
              <w:t>8,381</w:t>
            </w:r>
          </w:p>
        </w:tc>
        <w:tc>
          <w:tcPr>
            <w:tcW w:w="3024" w:type="dxa"/>
            <w:shd w:val="clear" w:color="auto" w:fill="auto"/>
            <w:noWrap/>
            <w:hideMark/>
          </w:tcPr>
          <w:p w14:paraId="5C2914E2" w14:textId="77777777" w:rsidR="006214F6" w:rsidRPr="008F0B2B" w:rsidRDefault="006214F6" w:rsidP="008F0B2B">
            <w:pPr>
              <w:pStyle w:val="Tabletext"/>
              <w:spacing w:before="60"/>
              <w:jc w:val="center"/>
              <w:rPr>
                <w:rFonts w:cs="Tahoma"/>
                <w:szCs w:val="20"/>
              </w:rPr>
            </w:pPr>
            <w:r w:rsidRPr="008F0B2B">
              <w:rPr>
                <w:rFonts w:cs="Tahoma"/>
                <w:szCs w:val="20"/>
              </w:rPr>
              <w:t>3%</w:t>
            </w:r>
          </w:p>
        </w:tc>
      </w:tr>
    </w:tbl>
    <w:p w14:paraId="071015F3" w14:textId="77777777" w:rsidR="004A278B" w:rsidRDefault="005B4074" w:rsidP="0099709F">
      <w:pPr>
        <w:pStyle w:val="TableUnder"/>
      </w:pPr>
      <w:r w:rsidRPr="00DA5B19">
        <w:t>Unpublished data (</w:t>
      </w:r>
      <w:r w:rsidRPr="008F23CC">
        <w:t>Department</w:t>
      </w:r>
      <w:r w:rsidRPr="00DA5B19">
        <w:t xml:space="preserve"> of Health)</w:t>
      </w:r>
    </w:p>
    <w:p w14:paraId="0F26C31A" w14:textId="77777777" w:rsidR="00D93CF8" w:rsidRPr="00DA5B19" w:rsidRDefault="00D93CF8" w:rsidP="00592370">
      <w:pPr>
        <w:pStyle w:val="TableUnderLast"/>
        <w:spacing w:after="0"/>
      </w:pPr>
      <w:r>
        <w:t>Note: Total number of services is 267,688.</w:t>
      </w:r>
    </w:p>
    <w:p w14:paraId="5D177C48" w14:textId="77777777" w:rsidR="006214F6" w:rsidRDefault="006214F6" w:rsidP="00592370">
      <w:pPr>
        <w:spacing w:before="120" w:after="0"/>
        <w:rPr>
          <w:b/>
        </w:rPr>
      </w:pPr>
      <w:r w:rsidRPr="0075170C">
        <w:rPr>
          <w:noProof/>
        </w:rPr>
        <w:drawing>
          <wp:inline distT="0" distB="0" distL="0" distR="0" wp14:anchorId="43C98AD3" wp14:editId="25DF9EEA">
            <wp:extent cx="5637475" cy="2687541"/>
            <wp:effectExtent l="0" t="0" r="20955" b="17780"/>
            <wp:docPr id="3" name="Chart 3" descr="Figure D1 is a grouped bar chart show an increasing number of services offor item number11503 between 2009-10 and 2014-15 in New South Wales, Victoria, Queensland and, to a lesser extext Western Australia. In the other states and territories the numbers have been more stable."/>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907CD11" w14:textId="77777777" w:rsidR="00592370" w:rsidRDefault="004A278B" w:rsidP="00592370">
      <w:pPr>
        <w:pStyle w:val="TableUnderLast"/>
        <w:spacing w:after="120"/>
      </w:pPr>
      <w:r w:rsidRPr="00DA5B19">
        <w:t>Public data (Department of Human Services website)</w:t>
      </w:r>
    </w:p>
    <w:p w14:paraId="6B52E921" w14:textId="77777777" w:rsidR="002C15D0" w:rsidRDefault="002C15D0" w:rsidP="00592370">
      <w:pPr>
        <w:pStyle w:val="TableUnderLast"/>
        <w:spacing w:after="0"/>
      </w:pPr>
      <w:r>
        <w:t>Figure D1:</w:t>
      </w:r>
      <w:r>
        <w:tab/>
      </w:r>
      <w:r w:rsidRPr="002C15D0">
        <w:t>Number of services by state, 2009-10 to 2014-15, item 11503</w:t>
      </w:r>
    </w:p>
    <w:p w14:paraId="66C67CAA" w14:textId="77777777" w:rsidR="006214F6" w:rsidRPr="008C479D" w:rsidRDefault="008A4CE9" w:rsidP="008A4CE9">
      <w:pPr>
        <w:pStyle w:val="Caption"/>
        <w:rPr>
          <w:lang w:val="en-US"/>
        </w:rPr>
      </w:pPr>
      <w:bookmarkStart w:id="421" w:name="_Toc478721568"/>
      <w:r>
        <w:rPr>
          <w:lang w:val="en-US"/>
        </w:rPr>
        <w:lastRenderedPageBreak/>
        <w:t>Table D</w:t>
      </w:r>
      <w:r w:rsidR="002C15D0">
        <w:rPr>
          <w:lang w:val="en-US"/>
        </w:rPr>
        <w:t>2</w:t>
      </w:r>
      <w:r>
        <w:rPr>
          <w:lang w:val="en-US"/>
        </w:rPr>
        <w:t>:</w:t>
      </w:r>
      <w:r>
        <w:rPr>
          <w:lang w:val="en-US"/>
        </w:rPr>
        <w:tab/>
      </w:r>
      <w:r w:rsidR="008C479D" w:rsidRPr="008C479D">
        <w:rPr>
          <w:lang w:val="en-US"/>
        </w:rPr>
        <w:t xml:space="preserve">Top </w:t>
      </w:r>
      <w:r w:rsidR="006214F6" w:rsidRPr="008C479D">
        <w:rPr>
          <w:lang w:val="en-US"/>
        </w:rPr>
        <w:t>10 same day item combinations - item 11503 with other MBS items, 2014-15</w:t>
      </w:r>
      <w:bookmarkEnd w:id="421"/>
    </w:p>
    <w:tbl>
      <w:tblPr>
        <w:tblW w:w="9106" w:type="dxa"/>
        <w:tblInd w:w="-34" w:type="dxa"/>
        <w:tblBorders>
          <w:top w:val="single" w:sz="4" w:space="0" w:color="B56011"/>
          <w:bottom w:val="single" w:sz="4" w:space="0" w:color="B56011"/>
          <w:insideH w:val="single" w:sz="4" w:space="0" w:color="B56011"/>
        </w:tblBorders>
        <w:tblLayout w:type="fixed"/>
        <w:tblLook w:val="04A0" w:firstRow="1" w:lastRow="0" w:firstColumn="1" w:lastColumn="0" w:noHBand="0" w:noVBand="1"/>
        <w:tblDescription w:val="Table D3 provides the number of episodes, the number of services, the percentage of total episodes and a description of the episode for the top 10 same day item combinations that included item 11503 in 2014-15."/>
      </w:tblPr>
      <w:tblGrid>
        <w:gridCol w:w="1277"/>
        <w:gridCol w:w="1007"/>
        <w:gridCol w:w="1126"/>
        <w:gridCol w:w="1127"/>
        <w:gridCol w:w="4569"/>
      </w:tblGrid>
      <w:tr w:rsidR="008F0B2B" w:rsidRPr="008F0B2B" w14:paraId="3E392843" w14:textId="77777777" w:rsidTr="00A2664E">
        <w:trPr>
          <w:trHeight w:val="676"/>
          <w:tblHeader/>
        </w:trPr>
        <w:tc>
          <w:tcPr>
            <w:tcW w:w="701" w:type="pct"/>
            <w:shd w:val="clear" w:color="auto" w:fill="auto"/>
            <w:hideMark/>
          </w:tcPr>
          <w:p w14:paraId="67A97254" w14:textId="77777777" w:rsidR="006214F6" w:rsidRPr="008F0B2B" w:rsidRDefault="006214F6" w:rsidP="0089666D">
            <w:pPr>
              <w:pStyle w:val="Tableheading"/>
            </w:pPr>
            <w:r w:rsidRPr="008F0B2B">
              <w:t>Item combination</w:t>
            </w:r>
          </w:p>
        </w:tc>
        <w:tc>
          <w:tcPr>
            <w:tcW w:w="553" w:type="pct"/>
            <w:shd w:val="clear" w:color="auto" w:fill="auto"/>
            <w:hideMark/>
          </w:tcPr>
          <w:p w14:paraId="6A93E1EC" w14:textId="77777777" w:rsidR="006214F6" w:rsidRPr="008F0B2B" w:rsidRDefault="006214F6" w:rsidP="003C25D3">
            <w:pPr>
              <w:pStyle w:val="Tableheading"/>
              <w:jc w:val="center"/>
            </w:pPr>
            <w:r w:rsidRPr="008F0B2B">
              <w:t>Number of Episodes</w:t>
            </w:r>
          </w:p>
        </w:tc>
        <w:tc>
          <w:tcPr>
            <w:tcW w:w="618" w:type="pct"/>
            <w:shd w:val="clear" w:color="auto" w:fill="auto"/>
            <w:hideMark/>
          </w:tcPr>
          <w:p w14:paraId="464EF9AB" w14:textId="77777777" w:rsidR="006214F6" w:rsidRPr="008F0B2B" w:rsidRDefault="006214F6" w:rsidP="003C25D3">
            <w:pPr>
              <w:pStyle w:val="Tableheading"/>
              <w:jc w:val="center"/>
            </w:pPr>
            <w:r w:rsidRPr="008F0B2B">
              <w:t>Number of services</w:t>
            </w:r>
          </w:p>
        </w:tc>
        <w:tc>
          <w:tcPr>
            <w:tcW w:w="619" w:type="pct"/>
            <w:shd w:val="clear" w:color="auto" w:fill="auto"/>
            <w:hideMark/>
          </w:tcPr>
          <w:p w14:paraId="5ECCF447" w14:textId="77777777" w:rsidR="006214F6" w:rsidRPr="008F0B2B" w:rsidRDefault="006214F6" w:rsidP="003C25D3">
            <w:pPr>
              <w:pStyle w:val="Tableheading"/>
              <w:jc w:val="center"/>
            </w:pPr>
            <w:r w:rsidRPr="008F0B2B">
              <w:t>% of total episodes</w:t>
            </w:r>
          </w:p>
        </w:tc>
        <w:tc>
          <w:tcPr>
            <w:tcW w:w="2509" w:type="pct"/>
            <w:shd w:val="clear" w:color="auto" w:fill="auto"/>
            <w:hideMark/>
          </w:tcPr>
          <w:p w14:paraId="77C43BDB" w14:textId="77777777" w:rsidR="006214F6" w:rsidRPr="008F0B2B" w:rsidRDefault="006214F6" w:rsidP="0089666D">
            <w:pPr>
              <w:pStyle w:val="Tableheading"/>
            </w:pPr>
            <w:r w:rsidRPr="008F0B2B">
              <w:t>Description of episodes</w:t>
            </w:r>
          </w:p>
        </w:tc>
      </w:tr>
      <w:tr w:rsidR="008F0B2B" w:rsidRPr="00FE05D1" w14:paraId="15D658C9" w14:textId="77777777" w:rsidTr="00A2664E">
        <w:trPr>
          <w:trHeight w:val="276"/>
        </w:trPr>
        <w:tc>
          <w:tcPr>
            <w:tcW w:w="701" w:type="pct"/>
            <w:shd w:val="clear" w:color="auto" w:fill="auto"/>
          </w:tcPr>
          <w:p w14:paraId="31CA54CD" w14:textId="77777777" w:rsidR="006214F6" w:rsidRPr="003C25D3" w:rsidRDefault="006214F6" w:rsidP="003C25D3">
            <w:pPr>
              <w:pStyle w:val="Tabletext"/>
            </w:pPr>
            <w:r w:rsidRPr="003C25D3">
              <w:t>11503</w:t>
            </w:r>
          </w:p>
        </w:tc>
        <w:tc>
          <w:tcPr>
            <w:tcW w:w="553" w:type="pct"/>
            <w:shd w:val="clear" w:color="auto" w:fill="auto"/>
          </w:tcPr>
          <w:p w14:paraId="3A241ABC" w14:textId="77777777" w:rsidR="006214F6" w:rsidRPr="003C25D3" w:rsidRDefault="006214F6" w:rsidP="003C25D3">
            <w:pPr>
              <w:pStyle w:val="TableTextDecimalAlign"/>
            </w:pPr>
            <w:r w:rsidRPr="003C25D3">
              <w:t>395,485</w:t>
            </w:r>
          </w:p>
        </w:tc>
        <w:tc>
          <w:tcPr>
            <w:tcW w:w="618" w:type="pct"/>
            <w:shd w:val="clear" w:color="auto" w:fill="auto"/>
          </w:tcPr>
          <w:p w14:paraId="1622651B" w14:textId="77777777" w:rsidR="006214F6" w:rsidRPr="003C25D3" w:rsidRDefault="006214F6" w:rsidP="003C25D3">
            <w:pPr>
              <w:pStyle w:val="TableTextDecimalAlign"/>
            </w:pPr>
            <w:r w:rsidRPr="003C25D3">
              <w:t>395,532</w:t>
            </w:r>
          </w:p>
        </w:tc>
        <w:tc>
          <w:tcPr>
            <w:tcW w:w="619" w:type="pct"/>
            <w:shd w:val="clear" w:color="auto" w:fill="auto"/>
          </w:tcPr>
          <w:p w14:paraId="408D893C" w14:textId="77777777" w:rsidR="006214F6" w:rsidRPr="003C25D3" w:rsidRDefault="006214F6" w:rsidP="003C25D3">
            <w:pPr>
              <w:pStyle w:val="TableTextDecimalAlign"/>
            </w:pPr>
            <w:r w:rsidRPr="003C25D3">
              <w:t>75%</w:t>
            </w:r>
          </w:p>
        </w:tc>
        <w:tc>
          <w:tcPr>
            <w:tcW w:w="2509" w:type="pct"/>
            <w:shd w:val="clear" w:color="auto" w:fill="auto"/>
          </w:tcPr>
          <w:p w14:paraId="10D6A721" w14:textId="77777777" w:rsidR="006214F6" w:rsidRPr="003C25D3" w:rsidRDefault="006214F6" w:rsidP="003C25D3">
            <w:pPr>
              <w:pStyle w:val="Tabletext"/>
            </w:pPr>
            <w:r w:rsidRPr="003C25D3">
              <w:t>Various respiratory function tests only</w:t>
            </w:r>
          </w:p>
        </w:tc>
      </w:tr>
      <w:tr w:rsidR="008F0B2B" w:rsidRPr="00FE05D1" w14:paraId="6EF3E503" w14:textId="77777777" w:rsidTr="00A2664E">
        <w:trPr>
          <w:trHeight w:val="472"/>
        </w:trPr>
        <w:tc>
          <w:tcPr>
            <w:tcW w:w="701" w:type="pct"/>
            <w:shd w:val="clear" w:color="auto" w:fill="auto"/>
          </w:tcPr>
          <w:p w14:paraId="5B18C88C" w14:textId="77777777" w:rsidR="006214F6" w:rsidRPr="003C25D3" w:rsidRDefault="006214F6" w:rsidP="003C25D3">
            <w:pPr>
              <w:pStyle w:val="Tabletext"/>
            </w:pPr>
            <w:r w:rsidRPr="003C25D3">
              <w:t>11503, 00116</w:t>
            </w:r>
          </w:p>
        </w:tc>
        <w:tc>
          <w:tcPr>
            <w:tcW w:w="553" w:type="pct"/>
            <w:shd w:val="clear" w:color="auto" w:fill="auto"/>
          </w:tcPr>
          <w:p w14:paraId="60D27F2B" w14:textId="77777777" w:rsidR="006214F6" w:rsidRPr="003C25D3" w:rsidRDefault="006214F6" w:rsidP="003C25D3">
            <w:pPr>
              <w:pStyle w:val="TableTextDecimalAlign"/>
            </w:pPr>
            <w:r w:rsidRPr="003C25D3">
              <w:t>32,416</w:t>
            </w:r>
          </w:p>
        </w:tc>
        <w:tc>
          <w:tcPr>
            <w:tcW w:w="618" w:type="pct"/>
            <w:shd w:val="clear" w:color="auto" w:fill="auto"/>
          </w:tcPr>
          <w:p w14:paraId="06658C6F" w14:textId="77777777" w:rsidR="006214F6" w:rsidRPr="003C25D3" w:rsidRDefault="006214F6" w:rsidP="003C25D3">
            <w:pPr>
              <w:pStyle w:val="TableTextDecimalAlign"/>
            </w:pPr>
            <w:r w:rsidRPr="003C25D3">
              <w:t>64,927</w:t>
            </w:r>
          </w:p>
        </w:tc>
        <w:tc>
          <w:tcPr>
            <w:tcW w:w="619" w:type="pct"/>
            <w:shd w:val="clear" w:color="auto" w:fill="auto"/>
          </w:tcPr>
          <w:p w14:paraId="00C942D0" w14:textId="77777777" w:rsidR="006214F6" w:rsidRPr="003C25D3" w:rsidRDefault="006214F6" w:rsidP="003C25D3">
            <w:pPr>
              <w:pStyle w:val="TableTextDecimalAlign"/>
            </w:pPr>
            <w:r w:rsidRPr="003C25D3">
              <w:t>6%</w:t>
            </w:r>
          </w:p>
        </w:tc>
        <w:tc>
          <w:tcPr>
            <w:tcW w:w="2509" w:type="pct"/>
            <w:shd w:val="clear" w:color="auto" w:fill="auto"/>
          </w:tcPr>
          <w:p w14:paraId="4414D9CA" w14:textId="77777777" w:rsidR="006214F6" w:rsidRPr="003C25D3" w:rsidRDefault="006214F6" w:rsidP="003C25D3">
            <w:pPr>
              <w:pStyle w:val="Tabletext"/>
            </w:pPr>
            <w:r w:rsidRPr="003C25D3">
              <w:t>Various respiratory function tests</w:t>
            </w:r>
            <w:r w:rsidRPr="003C25D3">
              <w:rPr>
                <w:rFonts w:eastAsiaTheme="minorHAnsi"/>
              </w:rPr>
              <w:t xml:space="preserve"> and subsequent consultant physician consultation</w:t>
            </w:r>
          </w:p>
        </w:tc>
      </w:tr>
      <w:tr w:rsidR="008F0B2B" w:rsidRPr="00FE05D1" w14:paraId="0DE7A2ED" w14:textId="77777777" w:rsidTr="00A2664E">
        <w:trPr>
          <w:trHeight w:val="469"/>
        </w:trPr>
        <w:tc>
          <w:tcPr>
            <w:tcW w:w="701" w:type="pct"/>
            <w:shd w:val="clear" w:color="auto" w:fill="auto"/>
          </w:tcPr>
          <w:p w14:paraId="1DA58619" w14:textId="77777777" w:rsidR="006214F6" w:rsidRPr="003C25D3" w:rsidRDefault="006214F6" w:rsidP="003C25D3">
            <w:pPr>
              <w:pStyle w:val="Tabletext"/>
            </w:pPr>
            <w:r w:rsidRPr="003C25D3">
              <w:t>12203, 11503</w:t>
            </w:r>
          </w:p>
        </w:tc>
        <w:tc>
          <w:tcPr>
            <w:tcW w:w="553" w:type="pct"/>
            <w:shd w:val="clear" w:color="auto" w:fill="auto"/>
          </w:tcPr>
          <w:p w14:paraId="72163709" w14:textId="77777777" w:rsidR="006214F6" w:rsidRPr="003C25D3" w:rsidRDefault="006214F6" w:rsidP="003C25D3">
            <w:pPr>
              <w:pStyle w:val="TableTextDecimalAlign"/>
            </w:pPr>
            <w:r w:rsidRPr="003C25D3">
              <w:t>26,479</w:t>
            </w:r>
          </w:p>
        </w:tc>
        <w:tc>
          <w:tcPr>
            <w:tcW w:w="618" w:type="pct"/>
            <w:shd w:val="clear" w:color="auto" w:fill="auto"/>
          </w:tcPr>
          <w:p w14:paraId="594A38D2" w14:textId="77777777" w:rsidR="006214F6" w:rsidRPr="003C25D3" w:rsidRDefault="006214F6" w:rsidP="003C25D3">
            <w:pPr>
              <w:pStyle w:val="TableTextDecimalAlign"/>
            </w:pPr>
            <w:r w:rsidRPr="003C25D3">
              <w:t>52,962</w:t>
            </w:r>
          </w:p>
        </w:tc>
        <w:tc>
          <w:tcPr>
            <w:tcW w:w="619" w:type="pct"/>
            <w:shd w:val="clear" w:color="auto" w:fill="auto"/>
          </w:tcPr>
          <w:p w14:paraId="0F72C781" w14:textId="77777777" w:rsidR="006214F6" w:rsidRPr="003C25D3" w:rsidRDefault="006214F6" w:rsidP="003C25D3">
            <w:pPr>
              <w:pStyle w:val="TableTextDecimalAlign"/>
            </w:pPr>
            <w:r w:rsidRPr="003C25D3">
              <w:t>5%</w:t>
            </w:r>
          </w:p>
        </w:tc>
        <w:tc>
          <w:tcPr>
            <w:tcW w:w="2509" w:type="pct"/>
            <w:shd w:val="clear" w:color="auto" w:fill="auto"/>
          </w:tcPr>
          <w:p w14:paraId="415C52F7" w14:textId="77777777" w:rsidR="006214F6" w:rsidRPr="003C25D3" w:rsidRDefault="006214F6" w:rsidP="003C25D3">
            <w:pPr>
              <w:pStyle w:val="Tabletext"/>
            </w:pPr>
            <w:r w:rsidRPr="003C25D3">
              <w:t>Various respiratory function tests and overnight sleep study over 18 years</w:t>
            </w:r>
          </w:p>
        </w:tc>
      </w:tr>
      <w:tr w:rsidR="008F0B2B" w:rsidRPr="00FE05D1" w14:paraId="33F94FDC" w14:textId="77777777" w:rsidTr="00A2664E">
        <w:trPr>
          <w:trHeight w:val="676"/>
        </w:trPr>
        <w:tc>
          <w:tcPr>
            <w:tcW w:w="701" w:type="pct"/>
            <w:shd w:val="clear" w:color="auto" w:fill="auto"/>
          </w:tcPr>
          <w:p w14:paraId="0A6225BC" w14:textId="77777777" w:rsidR="006214F6" w:rsidRPr="003C25D3" w:rsidRDefault="006214F6" w:rsidP="003C25D3">
            <w:pPr>
              <w:pStyle w:val="Tabletext"/>
            </w:pPr>
            <w:r w:rsidRPr="003C25D3">
              <w:t>73802, 11503</w:t>
            </w:r>
          </w:p>
        </w:tc>
        <w:tc>
          <w:tcPr>
            <w:tcW w:w="553" w:type="pct"/>
            <w:shd w:val="clear" w:color="auto" w:fill="auto"/>
          </w:tcPr>
          <w:p w14:paraId="724E4348" w14:textId="77777777" w:rsidR="006214F6" w:rsidRPr="003C25D3" w:rsidRDefault="006214F6" w:rsidP="003C25D3">
            <w:pPr>
              <w:pStyle w:val="TableTextDecimalAlign"/>
            </w:pPr>
            <w:r w:rsidRPr="003C25D3">
              <w:t>21,067</w:t>
            </w:r>
          </w:p>
        </w:tc>
        <w:tc>
          <w:tcPr>
            <w:tcW w:w="618" w:type="pct"/>
            <w:shd w:val="clear" w:color="auto" w:fill="auto"/>
          </w:tcPr>
          <w:p w14:paraId="3F7824E1" w14:textId="77777777" w:rsidR="006214F6" w:rsidRPr="003C25D3" w:rsidRDefault="006214F6" w:rsidP="003C25D3">
            <w:pPr>
              <w:pStyle w:val="TableTextDecimalAlign"/>
            </w:pPr>
            <w:r w:rsidRPr="003C25D3">
              <w:t>42,136</w:t>
            </w:r>
          </w:p>
        </w:tc>
        <w:tc>
          <w:tcPr>
            <w:tcW w:w="619" w:type="pct"/>
            <w:shd w:val="clear" w:color="auto" w:fill="auto"/>
          </w:tcPr>
          <w:p w14:paraId="7F2BB229" w14:textId="77777777" w:rsidR="006214F6" w:rsidRPr="003C25D3" w:rsidRDefault="006214F6" w:rsidP="003C25D3">
            <w:pPr>
              <w:pStyle w:val="TableTextDecimalAlign"/>
            </w:pPr>
            <w:r w:rsidRPr="003C25D3">
              <w:t>4%</w:t>
            </w:r>
          </w:p>
        </w:tc>
        <w:tc>
          <w:tcPr>
            <w:tcW w:w="2509" w:type="pct"/>
            <w:shd w:val="clear" w:color="auto" w:fill="auto"/>
          </w:tcPr>
          <w:p w14:paraId="4A5EDAB6" w14:textId="77777777" w:rsidR="006214F6" w:rsidRPr="003C25D3" w:rsidRDefault="006214F6" w:rsidP="003C25D3">
            <w:pPr>
              <w:pStyle w:val="Tabletext"/>
            </w:pPr>
            <w:r w:rsidRPr="003C25D3">
              <w:t>Various respiratory function tests and simple pathology test - Leucocyte count, erythrocyte sedimentation rate, examination of blood film (including differential leucocyte count), haemoglobin, haematocrit or erythrocyte count - 1 test</w:t>
            </w:r>
          </w:p>
        </w:tc>
      </w:tr>
      <w:tr w:rsidR="008F0B2B" w:rsidRPr="00FE05D1" w14:paraId="2F13650D" w14:textId="77777777" w:rsidTr="00A2664E">
        <w:trPr>
          <w:trHeight w:val="431"/>
        </w:trPr>
        <w:tc>
          <w:tcPr>
            <w:tcW w:w="701" w:type="pct"/>
            <w:shd w:val="clear" w:color="auto" w:fill="auto"/>
          </w:tcPr>
          <w:p w14:paraId="7E79794B" w14:textId="77777777" w:rsidR="006214F6" w:rsidRPr="003C25D3" w:rsidRDefault="006214F6" w:rsidP="003C25D3">
            <w:pPr>
              <w:pStyle w:val="Tabletext"/>
            </w:pPr>
            <w:r w:rsidRPr="003C25D3">
              <w:t>11503, 00110</w:t>
            </w:r>
          </w:p>
        </w:tc>
        <w:tc>
          <w:tcPr>
            <w:tcW w:w="553" w:type="pct"/>
            <w:shd w:val="clear" w:color="auto" w:fill="auto"/>
          </w:tcPr>
          <w:p w14:paraId="152F324D" w14:textId="77777777" w:rsidR="006214F6" w:rsidRPr="003C25D3" w:rsidRDefault="006214F6" w:rsidP="003C25D3">
            <w:pPr>
              <w:pStyle w:val="TableTextDecimalAlign"/>
            </w:pPr>
            <w:r w:rsidRPr="003C25D3">
              <w:t>17,656</w:t>
            </w:r>
          </w:p>
        </w:tc>
        <w:tc>
          <w:tcPr>
            <w:tcW w:w="618" w:type="pct"/>
            <w:shd w:val="clear" w:color="auto" w:fill="auto"/>
          </w:tcPr>
          <w:p w14:paraId="4EA977C8" w14:textId="77777777" w:rsidR="006214F6" w:rsidRPr="003C25D3" w:rsidRDefault="006214F6" w:rsidP="003C25D3">
            <w:pPr>
              <w:pStyle w:val="TableTextDecimalAlign"/>
            </w:pPr>
            <w:r w:rsidRPr="003C25D3">
              <w:t>35,316</w:t>
            </w:r>
          </w:p>
        </w:tc>
        <w:tc>
          <w:tcPr>
            <w:tcW w:w="619" w:type="pct"/>
            <w:shd w:val="clear" w:color="auto" w:fill="auto"/>
          </w:tcPr>
          <w:p w14:paraId="56651C41" w14:textId="77777777" w:rsidR="006214F6" w:rsidRPr="003C25D3" w:rsidRDefault="006214F6" w:rsidP="003C25D3">
            <w:pPr>
              <w:pStyle w:val="TableTextDecimalAlign"/>
            </w:pPr>
            <w:r w:rsidRPr="003C25D3">
              <w:t>3%</w:t>
            </w:r>
          </w:p>
        </w:tc>
        <w:tc>
          <w:tcPr>
            <w:tcW w:w="2509" w:type="pct"/>
            <w:shd w:val="clear" w:color="auto" w:fill="auto"/>
          </w:tcPr>
          <w:p w14:paraId="7FF9D954" w14:textId="77777777" w:rsidR="006214F6" w:rsidRPr="003C25D3" w:rsidRDefault="006214F6" w:rsidP="003C25D3">
            <w:pPr>
              <w:pStyle w:val="Tabletext"/>
            </w:pPr>
            <w:r w:rsidRPr="003C25D3">
              <w:t>Various respiratory function tests</w:t>
            </w:r>
            <w:r w:rsidRPr="003C25D3">
              <w:rPr>
                <w:rFonts w:eastAsiaTheme="minorHAnsi"/>
              </w:rPr>
              <w:t xml:space="preserve"> and initial consultant physician consultation</w:t>
            </w:r>
          </w:p>
        </w:tc>
      </w:tr>
      <w:tr w:rsidR="008F0B2B" w:rsidRPr="00FE05D1" w14:paraId="696BC547" w14:textId="77777777" w:rsidTr="00A2664E">
        <w:trPr>
          <w:trHeight w:val="465"/>
        </w:trPr>
        <w:tc>
          <w:tcPr>
            <w:tcW w:w="701" w:type="pct"/>
            <w:shd w:val="clear" w:color="auto" w:fill="auto"/>
          </w:tcPr>
          <w:p w14:paraId="16186F2E" w14:textId="77777777" w:rsidR="006214F6" w:rsidRPr="003C25D3" w:rsidRDefault="006214F6" w:rsidP="003C25D3">
            <w:pPr>
              <w:pStyle w:val="Tabletext"/>
            </w:pPr>
            <w:r w:rsidRPr="003C25D3">
              <w:t>11503, 00132</w:t>
            </w:r>
          </w:p>
        </w:tc>
        <w:tc>
          <w:tcPr>
            <w:tcW w:w="553" w:type="pct"/>
            <w:shd w:val="clear" w:color="auto" w:fill="auto"/>
          </w:tcPr>
          <w:p w14:paraId="426DE7D1" w14:textId="77777777" w:rsidR="006214F6" w:rsidRPr="003C25D3" w:rsidRDefault="006214F6" w:rsidP="003C25D3">
            <w:pPr>
              <w:pStyle w:val="TableTextDecimalAlign"/>
            </w:pPr>
            <w:r w:rsidRPr="003C25D3">
              <w:t>9,310</w:t>
            </w:r>
          </w:p>
        </w:tc>
        <w:tc>
          <w:tcPr>
            <w:tcW w:w="618" w:type="pct"/>
            <w:shd w:val="clear" w:color="auto" w:fill="auto"/>
          </w:tcPr>
          <w:p w14:paraId="0D6307EF" w14:textId="77777777" w:rsidR="006214F6" w:rsidRPr="003C25D3" w:rsidRDefault="006214F6" w:rsidP="003C25D3">
            <w:pPr>
              <w:pStyle w:val="TableTextDecimalAlign"/>
            </w:pPr>
            <w:r w:rsidRPr="003C25D3">
              <w:t>18,624</w:t>
            </w:r>
          </w:p>
        </w:tc>
        <w:tc>
          <w:tcPr>
            <w:tcW w:w="619" w:type="pct"/>
            <w:shd w:val="clear" w:color="auto" w:fill="auto"/>
          </w:tcPr>
          <w:p w14:paraId="2B34087C" w14:textId="77777777" w:rsidR="006214F6" w:rsidRPr="003C25D3" w:rsidRDefault="006214F6" w:rsidP="003C25D3">
            <w:pPr>
              <w:pStyle w:val="TableTextDecimalAlign"/>
            </w:pPr>
            <w:r w:rsidRPr="003C25D3">
              <w:t>2%</w:t>
            </w:r>
          </w:p>
        </w:tc>
        <w:tc>
          <w:tcPr>
            <w:tcW w:w="2509" w:type="pct"/>
            <w:shd w:val="clear" w:color="auto" w:fill="auto"/>
          </w:tcPr>
          <w:p w14:paraId="06363A6B" w14:textId="77777777" w:rsidR="006214F6" w:rsidRPr="003C25D3" w:rsidRDefault="006214F6" w:rsidP="003C25D3">
            <w:pPr>
              <w:pStyle w:val="Tabletext"/>
            </w:pPr>
            <w:r w:rsidRPr="003C25D3">
              <w:t xml:space="preserve">Various respiratory function tests </w:t>
            </w:r>
            <w:r w:rsidRPr="003C25D3">
              <w:rPr>
                <w:rFonts w:eastAsiaTheme="minorHAnsi"/>
              </w:rPr>
              <w:t>and consultant physician treatment and management plan</w:t>
            </w:r>
          </w:p>
        </w:tc>
      </w:tr>
      <w:tr w:rsidR="008F0B2B" w:rsidRPr="00FE05D1" w14:paraId="0270AC40" w14:textId="77777777" w:rsidTr="00A2664E">
        <w:trPr>
          <w:trHeight w:val="341"/>
        </w:trPr>
        <w:tc>
          <w:tcPr>
            <w:tcW w:w="701" w:type="pct"/>
            <w:shd w:val="clear" w:color="auto" w:fill="auto"/>
          </w:tcPr>
          <w:p w14:paraId="667C2DA6" w14:textId="77777777" w:rsidR="006214F6" w:rsidRPr="003C25D3" w:rsidRDefault="006214F6" w:rsidP="003C25D3">
            <w:pPr>
              <w:pStyle w:val="Tabletext"/>
            </w:pPr>
            <w:r w:rsidRPr="003C25D3">
              <w:t>13882, 11503</w:t>
            </w:r>
          </w:p>
        </w:tc>
        <w:tc>
          <w:tcPr>
            <w:tcW w:w="553" w:type="pct"/>
            <w:shd w:val="clear" w:color="auto" w:fill="auto"/>
          </w:tcPr>
          <w:p w14:paraId="44F038FC" w14:textId="77777777" w:rsidR="006214F6" w:rsidRPr="003C25D3" w:rsidRDefault="006214F6" w:rsidP="003C25D3">
            <w:pPr>
              <w:pStyle w:val="TableTextDecimalAlign"/>
            </w:pPr>
            <w:r w:rsidRPr="003C25D3">
              <w:t>4,558</w:t>
            </w:r>
          </w:p>
        </w:tc>
        <w:tc>
          <w:tcPr>
            <w:tcW w:w="618" w:type="pct"/>
            <w:shd w:val="clear" w:color="auto" w:fill="auto"/>
          </w:tcPr>
          <w:p w14:paraId="4EC6E2CE" w14:textId="77777777" w:rsidR="006214F6" w:rsidRPr="003C25D3" w:rsidRDefault="006214F6" w:rsidP="003C25D3">
            <w:pPr>
              <w:pStyle w:val="TableTextDecimalAlign"/>
            </w:pPr>
            <w:r w:rsidRPr="003C25D3">
              <w:t>9,118</w:t>
            </w:r>
          </w:p>
        </w:tc>
        <w:tc>
          <w:tcPr>
            <w:tcW w:w="619" w:type="pct"/>
            <w:shd w:val="clear" w:color="auto" w:fill="auto"/>
          </w:tcPr>
          <w:p w14:paraId="3EF7C8B6" w14:textId="77777777" w:rsidR="006214F6" w:rsidRPr="003C25D3" w:rsidRDefault="006214F6" w:rsidP="003C25D3">
            <w:pPr>
              <w:pStyle w:val="TableTextDecimalAlign"/>
            </w:pPr>
            <w:r w:rsidRPr="003C25D3">
              <w:t>1%</w:t>
            </w:r>
          </w:p>
        </w:tc>
        <w:tc>
          <w:tcPr>
            <w:tcW w:w="2509" w:type="pct"/>
            <w:shd w:val="clear" w:color="auto" w:fill="auto"/>
          </w:tcPr>
          <w:p w14:paraId="42DBB9B8" w14:textId="77777777" w:rsidR="006214F6" w:rsidRPr="003C25D3" w:rsidRDefault="006214F6" w:rsidP="003C25D3">
            <w:pPr>
              <w:pStyle w:val="Tabletext"/>
            </w:pPr>
            <w:r w:rsidRPr="003C25D3">
              <w:t>Various respiratory function tests and ventilatory support in a ICU</w:t>
            </w:r>
          </w:p>
        </w:tc>
      </w:tr>
      <w:tr w:rsidR="008F0B2B" w:rsidRPr="00FE05D1" w14:paraId="1F0E065E" w14:textId="77777777" w:rsidTr="00A2664E">
        <w:trPr>
          <w:trHeight w:val="453"/>
        </w:trPr>
        <w:tc>
          <w:tcPr>
            <w:tcW w:w="701" w:type="pct"/>
            <w:shd w:val="clear" w:color="auto" w:fill="auto"/>
          </w:tcPr>
          <w:p w14:paraId="378CD603" w14:textId="77777777" w:rsidR="006214F6" w:rsidRPr="003C25D3" w:rsidRDefault="006214F6" w:rsidP="003C25D3">
            <w:pPr>
              <w:pStyle w:val="Tabletext"/>
            </w:pPr>
            <w:r w:rsidRPr="003C25D3">
              <w:t>11503, 00133</w:t>
            </w:r>
          </w:p>
        </w:tc>
        <w:tc>
          <w:tcPr>
            <w:tcW w:w="553" w:type="pct"/>
            <w:shd w:val="clear" w:color="auto" w:fill="auto"/>
          </w:tcPr>
          <w:p w14:paraId="30FB04DD" w14:textId="77777777" w:rsidR="006214F6" w:rsidRPr="003C25D3" w:rsidRDefault="006214F6" w:rsidP="003C25D3">
            <w:pPr>
              <w:pStyle w:val="TableTextDecimalAlign"/>
            </w:pPr>
            <w:r w:rsidRPr="003C25D3">
              <w:t>4,536</w:t>
            </w:r>
          </w:p>
        </w:tc>
        <w:tc>
          <w:tcPr>
            <w:tcW w:w="618" w:type="pct"/>
            <w:shd w:val="clear" w:color="auto" w:fill="auto"/>
          </w:tcPr>
          <w:p w14:paraId="28F65F9D" w14:textId="77777777" w:rsidR="006214F6" w:rsidRPr="003C25D3" w:rsidRDefault="006214F6" w:rsidP="003C25D3">
            <w:pPr>
              <w:pStyle w:val="TableTextDecimalAlign"/>
            </w:pPr>
            <w:r w:rsidRPr="003C25D3">
              <w:t>9,072</w:t>
            </w:r>
          </w:p>
        </w:tc>
        <w:tc>
          <w:tcPr>
            <w:tcW w:w="619" w:type="pct"/>
            <w:shd w:val="clear" w:color="auto" w:fill="auto"/>
          </w:tcPr>
          <w:p w14:paraId="0EBECEE6" w14:textId="77777777" w:rsidR="006214F6" w:rsidRPr="003C25D3" w:rsidRDefault="006214F6" w:rsidP="003C25D3">
            <w:pPr>
              <w:pStyle w:val="TableTextDecimalAlign"/>
            </w:pPr>
            <w:r w:rsidRPr="003C25D3">
              <w:t>1%</w:t>
            </w:r>
          </w:p>
        </w:tc>
        <w:tc>
          <w:tcPr>
            <w:tcW w:w="2509" w:type="pct"/>
            <w:shd w:val="clear" w:color="auto" w:fill="auto"/>
          </w:tcPr>
          <w:p w14:paraId="4913FE42" w14:textId="77777777" w:rsidR="006214F6" w:rsidRPr="003C25D3" w:rsidRDefault="006214F6" w:rsidP="003C25D3">
            <w:pPr>
              <w:pStyle w:val="Tabletext"/>
            </w:pPr>
            <w:r w:rsidRPr="003C25D3">
              <w:t xml:space="preserve">Various respiratory function tests &amp; </w:t>
            </w:r>
            <w:r w:rsidRPr="003C25D3">
              <w:rPr>
                <w:rFonts w:eastAsiaTheme="minorHAnsi"/>
              </w:rPr>
              <w:t>consultant physician review of treatment and management plan</w:t>
            </w:r>
          </w:p>
        </w:tc>
      </w:tr>
      <w:tr w:rsidR="008F0B2B" w:rsidRPr="00FE05D1" w14:paraId="7AEE0D2F" w14:textId="77777777" w:rsidTr="00A2664E">
        <w:trPr>
          <w:trHeight w:val="80"/>
        </w:trPr>
        <w:tc>
          <w:tcPr>
            <w:tcW w:w="701" w:type="pct"/>
            <w:shd w:val="clear" w:color="auto" w:fill="auto"/>
          </w:tcPr>
          <w:p w14:paraId="7816F633" w14:textId="77777777" w:rsidR="006214F6" w:rsidRPr="003C25D3" w:rsidRDefault="006214F6" w:rsidP="003C25D3">
            <w:pPr>
              <w:pStyle w:val="Tabletext"/>
            </w:pPr>
            <w:r w:rsidRPr="003C25D3">
              <w:t>73802, 11503, 00116</w:t>
            </w:r>
          </w:p>
        </w:tc>
        <w:tc>
          <w:tcPr>
            <w:tcW w:w="553" w:type="pct"/>
            <w:shd w:val="clear" w:color="auto" w:fill="auto"/>
          </w:tcPr>
          <w:p w14:paraId="23EFE942" w14:textId="77777777" w:rsidR="006214F6" w:rsidRPr="003C25D3" w:rsidRDefault="006214F6" w:rsidP="003C25D3">
            <w:pPr>
              <w:pStyle w:val="TableTextDecimalAlign"/>
            </w:pPr>
            <w:r w:rsidRPr="003C25D3">
              <w:t>3,857</w:t>
            </w:r>
          </w:p>
        </w:tc>
        <w:tc>
          <w:tcPr>
            <w:tcW w:w="618" w:type="pct"/>
            <w:shd w:val="clear" w:color="auto" w:fill="auto"/>
          </w:tcPr>
          <w:p w14:paraId="45D43DA7" w14:textId="77777777" w:rsidR="006214F6" w:rsidRPr="003C25D3" w:rsidRDefault="006214F6" w:rsidP="003C25D3">
            <w:pPr>
              <w:pStyle w:val="TableTextDecimalAlign"/>
            </w:pPr>
            <w:r w:rsidRPr="003C25D3">
              <w:t>11,573</w:t>
            </w:r>
          </w:p>
        </w:tc>
        <w:tc>
          <w:tcPr>
            <w:tcW w:w="619" w:type="pct"/>
            <w:shd w:val="clear" w:color="auto" w:fill="auto"/>
          </w:tcPr>
          <w:p w14:paraId="7A4DFDBD" w14:textId="77777777" w:rsidR="006214F6" w:rsidRPr="003C25D3" w:rsidRDefault="006214F6" w:rsidP="003C25D3">
            <w:pPr>
              <w:pStyle w:val="TableTextDecimalAlign"/>
            </w:pPr>
            <w:r w:rsidRPr="003C25D3">
              <w:t>1%</w:t>
            </w:r>
          </w:p>
        </w:tc>
        <w:tc>
          <w:tcPr>
            <w:tcW w:w="2509" w:type="pct"/>
            <w:shd w:val="clear" w:color="auto" w:fill="auto"/>
          </w:tcPr>
          <w:p w14:paraId="1D0C4634" w14:textId="77777777" w:rsidR="006214F6" w:rsidRPr="003C25D3" w:rsidRDefault="006214F6" w:rsidP="003C25D3">
            <w:pPr>
              <w:pStyle w:val="Tabletext"/>
            </w:pPr>
            <w:r w:rsidRPr="003C25D3">
              <w:t xml:space="preserve">Various respiratory function tests, simple pathology test - Leucocyte count, erythrocyte sedimentation rate, examination of blood film (including differential leucocyte count), haemoglobin, haematocrit or erythrocyte count - 1 test </w:t>
            </w:r>
            <w:r w:rsidRPr="003C25D3">
              <w:rPr>
                <w:rFonts w:eastAsiaTheme="minorHAnsi"/>
              </w:rPr>
              <w:t>and subsequent consultant physician consultation</w:t>
            </w:r>
          </w:p>
        </w:tc>
      </w:tr>
      <w:tr w:rsidR="008F0B2B" w:rsidRPr="00FE05D1" w14:paraId="477520F3" w14:textId="77777777" w:rsidTr="00A2664E">
        <w:trPr>
          <w:trHeight w:val="440"/>
        </w:trPr>
        <w:tc>
          <w:tcPr>
            <w:tcW w:w="701" w:type="pct"/>
            <w:shd w:val="clear" w:color="auto" w:fill="auto"/>
          </w:tcPr>
          <w:p w14:paraId="197CAB2E" w14:textId="77777777" w:rsidR="006214F6" w:rsidRPr="003C25D3" w:rsidRDefault="006214F6" w:rsidP="003C25D3">
            <w:pPr>
              <w:pStyle w:val="Tabletext"/>
            </w:pPr>
            <w:r w:rsidRPr="003C25D3">
              <w:t>13876, 13873, 11503</w:t>
            </w:r>
          </w:p>
        </w:tc>
        <w:tc>
          <w:tcPr>
            <w:tcW w:w="553" w:type="pct"/>
            <w:shd w:val="clear" w:color="auto" w:fill="auto"/>
          </w:tcPr>
          <w:p w14:paraId="5EBFB4CA" w14:textId="77777777" w:rsidR="006214F6" w:rsidRPr="003C25D3" w:rsidRDefault="006214F6" w:rsidP="003C25D3">
            <w:pPr>
              <w:pStyle w:val="TableTextDecimalAlign"/>
            </w:pPr>
            <w:r w:rsidRPr="003C25D3">
              <w:t>2,837</w:t>
            </w:r>
          </w:p>
        </w:tc>
        <w:tc>
          <w:tcPr>
            <w:tcW w:w="618" w:type="pct"/>
            <w:shd w:val="clear" w:color="auto" w:fill="auto"/>
          </w:tcPr>
          <w:p w14:paraId="7B87823F" w14:textId="77777777" w:rsidR="006214F6" w:rsidRPr="003C25D3" w:rsidRDefault="006214F6" w:rsidP="003C25D3">
            <w:pPr>
              <w:pStyle w:val="TableTextDecimalAlign"/>
            </w:pPr>
            <w:r w:rsidRPr="003C25D3">
              <w:t>11,102</w:t>
            </w:r>
          </w:p>
        </w:tc>
        <w:tc>
          <w:tcPr>
            <w:tcW w:w="619" w:type="pct"/>
            <w:shd w:val="clear" w:color="auto" w:fill="auto"/>
          </w:tcPr>
          <w:p w14:paraId="189C9510" w14:textId="77777777" w:rsidR="006214F6" w:rsidRPr="003C25D3" w:rsidRDefault="006214F6" w:rsidP="003C25D3">
            <w:pPr>
              <w:pStyle w:val="TableTextDecimalAlign"/>
            </w:pPr>
            <w:r w:rsidRPr="003C25D3">
              <w:t>1%</w:t>
            </w:r>
          </w:p>
        </w:tc>
        <w:tc>
          <w:tcPr>
            <w:tcW w:w="2509" w:type="pct"/>
            <w:shd w:val="clear" w:color="auto" w:fill="auto"/>
          </w:tcPr>
          <w:p w14:paraId="4A0F4920" w14:textId="77777777" w:rsidR="006214F6" w:rsidRPr="003C25D3" w:rsidRDefault="006214F6" w:rsidP="003C25D3">
            <w:pPr>
              <w:pStyle w:val="Tabletext"/>
            </w:pPr>
            <w:r w:rsidRPr="003C25D3">
              <w:t>Various respiratory function tests, Central venous pressure, pulmonary arterial pressure, systemic arterial pressure or cardiac intracavity pressure, continuous monitoring by indwelling catheter in an ICU and management of a patient in a ICU</w:t>
            </w:r>
          </w:p>
        </w:tc>
      </w:tr>
    </w:tbl>
    <w:p w14:paraId="737DD953" w14:textId="77777777" w:rsidR="005A38A8" w:rsidRPr="00DA5B19" w:rsidRDefault="005A38A8" w:rsidP="00DA5B19">
      <w:pPr>
        <w:pStyle w:val="TableUnderLast"/>
      </w:pPr>
      <w:bookmarkStart w:id="422" w:name="_Toc452982152"/>
      <w:bookmarkStart w:id="423" w:name="_Toc456613630"/>
      <w:r w:rsidRPr="00DA5B19">
        <w:t>Unpublished data (Department of Health)</w:t>
      </w:r>
    </w:p>
    <w:p w14:paraId="3E073732" w14:textId="77777777" w:rsidR="006214F6" w:rsidRPr="00FE05D1" w:rsidRDefault="00D826BE" w:rsidP="00253B22">
      <w:pPr>
        <w:pStyle w:val="Heading2a"/>
      </w:pPr>
      <w:bookmarkStart w:id="424" w:name="_Toc458510026"/>
      <w:bookmarkStart w:id="425" w:name="_Toc458768511"/>
      <w:bookmarkStart w:id="426" w:name="_Toc458768671"/>
      <w:r>
        <w:t>MBS D</w:t>
      </w:r>
      <w:r w:rsidR="006214F6" w:rsidRPr="00FE05D1">
        <w:t>ata on item 11506</w:t>
      </w:r>
      <w:bookmarkEnd w:id="422"/>
      <w:bookmarkEnd w:id="423"/>
      <w:bookmarkEnd w:id="424"/>
      <w:bookmarkEnd w:id="425"/>
      <w:bookmarkEnd w:id="426"/>
    </w:p>
    <w:p w14:paraId="35DD3E53" w14:textId="77777777" w:rsidR="006214F6" w:rsidRPr="00E52BC8" w:rsidRDefault="008A4CE9" w:rsidP="008A4CE9">
      <w:pPr>
        <w:pStyle w:val="Caption"/>
      </w:pPr>
      <w:bookmarkStart w:id="427" w:name="_Toc478721569"/>
      <w:r>
        <w:rPr>
          <w:lang w:val="en-US"/>
        </w:rPr>
        <w:t xml:space="preserve">Table </w:t>
      </w:r>
      <w:r w:rsidRPr="008A4CE9">
        <w:t>D</w:t>
      </w:r>
      <w:r w:rsidR="002C15D0">
        <w:t>3</w:t>
      </w:r>
      <w:r>
        <w:rPr>
          <w:lang w:val="en-US"/>
        </w:rPr>
        <w:t>:</w:t>
      </w:r>
      <w:r>
        <w:rPr>
          <w:lang w:val="en-US"/>
        </w:rPr>
        <w:tab/>
      </w:r>
      <w:r w:rsidR="006214F6" w:rsidRPr="008C479D">
        <w:rPr>
          <w:lang w:val="en-US"/>
        </w:rPr>
        <w:t>Number of services by age group – 11506, 2014-15</w:t>
      </w:r>
      <w:bookmarkEnd w:id="427"/>
    </w:p>
    <w:tbl>
      <w:tblPr>
        <w:tblW w:w="9072" w:type="dxa"/>
        <w:tblBorders>
          <w:top w:val="single" w:sz="4" w:space="0" w:color="B56011"/>
          <w:bottom w:val="single" w:sz="4" w:space="0" w:color="B56011"/>
          <w:insideH w:val="single" w:sz="4" w:space="0" w:color="B56011"/>
        </w:tblBorders>
        <w:tblLook w:val="04A0" w:firstRow="1" w:lastRow="0" w:firstColumn="1" w:lastColumn="0" w:noHBand="0" w:noVBand="1"/>
        <w:tblDescription w:val="Table D3 provides the number of services for item 11506 by age group in 2014-15."/>
      </w:tblPr>
      <w:tblGrid>
        <w:gridCol w:w="3024"/>
        <w:gridCol w:w="3024"/>
        <w:gridCol w:w="3024"/>
      </w:tblGrid>
      <w:tr w:rsidR="006214F6" w:rsidRPr="00A403FC" w14:paraId="79A247AB" w14:textId="77777777" w:rsidTr="00FF6AB5">
        <w:trPr>
          <w:trHeight w:val="238"/>
          <w:tblHeader/>
        </w:trPr>
        <w:tc>
          <w:tcPr>
            <w:tcW w:w="3024" w:type="dxa"/>
            <w:shd w:val="clear" w:color="auto" w:fill="auto"/>
            <w:hideMark/>
          </w:tcPr>
          <w:p w14:paraId="03ACC2BC" w14:textId="77777777" w:rsidR="006214F6" w:rsidRPr="00A403FC" w:rsidRDefault="006214F6" w:rsidP="0099709F">
            <w:pPr>
              <w:pStyle w:val="Tableheading"/>
              <w:jc w:val="center"/>
            </w:pPr>
            <w:r w:rsidRPr="00A403FC">
              <w:t>Age Group</w:t>
            </w:r>
          </w:p>
        </w:tc>
        <w:tc>
          <w:tcPr>
            <w:tcW w:w="3024" w:type="dxa"/>
            <w:shd w:val="clear" w:color="auto" w:fill="auto"/>
            <w:hideMark/>
          </w:tcPr>
          <w:p w14:paraId="15B74BD7" w14:textId="77777777" w:rsidR="006214F6" w:rsidRPr="00A403FC" w:rsidRDefault="006214F6" w:rsidP="0089666D">
            <w:pPr>
              <w:pStyle w:val="Tableheading"/>
            </w:pPr>
            <w:r w:rsidRPr="00A403FC">
              <w:t>Number of Services</w:t>
            </w:r>
          </w:p>
        </w:tc>
        <w:tc>
          <w:tcPr>
            <w:tcW w:w="3024" w:type="dxa"/>
            <w:shd w:val="clear" w:color="auto" w:fill="auto"/>
            <w:hideMark/>
          </w:tcPr>
          <w:p w14:paraId="33E52AA8" w14:textId="77777777" w:rsidR="006214F6" w:rsidRPr="00A403FC" w:rsidRDefault="006214F6" w:rsidP="0089666D">
            <w:pPr>
              <w:pStyle w:val="Tableheading"/>
            </w:pPr>
            <w:r w:rsidRPr="00A403FC">
              <w:t>% provided to the age group</w:t>
            </w:r>
          </w:p>
        </w:tc>
      </w:tr>
      <w:tr w:rsidR="006214F6" w:rsidRPr="00FE05D1" w14:paraId="1F02E3C9" w14:textId="77777777" w:rsidTr="008F0B2B">
        <w:trPr>
          <w:trHeight w:val="255"/>
        </w:trPr>
        <w:tc>
          <w:tcPr>
            <w:tcW w:w="3024" w:type="dxa"/>
            <w:shd w:val="clear" w:color="auto" w:fill="auto"/>
            <w:noWrap/>
            <w:hideMark/>
          </w:tcPr>
          <w:p w14:paraId="61A466C0" w14:textId="77777777" w:rsidR="006214F6" w:rsidRPr="008F0B2B" w:rsidRDefault="006214F6" w:rsidP="008F0B2B">
            <w:pPr>
              <w:pStyle w:val="Tabletext"/>
              <w:spacing w:before="60"/>
              <w:jc w:val="center"/>
              <w:rPr>
                <w:szCs w:val="20"/>
              </w:rPr>
            </w:pPr>
            <w:r w:rsidRPr="008F0B2B">
              <w:rPr>
                <w:szCs w:val="20"/>
              </w:rPr>
              <w:t>0-4</w:t>
            </w:r>
          </w:p>
        </w:tc>
        <w:tc>
          <w:tcPr>
            <w:tcW w:w="3024" w:type="dxa"/>
            <w:shd w:val="clear" w:color="auto" w:fill="auto"/>
            <w:noWrap/>
            <w:hideMark/>
          </w:tcPr>
          <w:p w14:paraId="7B06C8DC" w14:textId="77777777" w:rsidR="006214F6" w:rsidRPr="008F0B2B" w:rsidRDefault="006214F6" w:rsidP="003C25D3">
            <w:pPr>
              <w:pStyle w:val="TableTextDecimalAlign"/>
            </w:pPr>
            <w:r w:rsidRPr="008F0B2B">
              <w:t>461</w:t>
            </w:r>
          </w:p>
        </w:tc>
        <w:tc>
          <w:tcPr>
            <w:tcW w:w="3024" w:type="dxa"/>
            <w:shd w:val="clear" w:color="auto" w:fill="auto"/>
            <w:noWrap/>
            <w:hideMark/>
          </w:tcPr>
          <w:p w14:paraId="4E549C74" w14:textId="77777777" w:rsidR="006214F6" w:rsidRPr="008F0B2B" w:rsidRDefault="006214F6" w:rsidP="008F0B2B">
            <w:pPr>
              <w:pStyle w:val="Tabletext"/>
              <w:spacing w:before="60"/>
              <w:jc w:val="center"/>
              <w:rPr>
                <w:szCs w:val="20"/>
              </w:rPr>
            </w:pPr>
            <w:r w:rsidRPr="008F0B2B">
              <w:rPr>
                <w:szCs w:val="20"/>
              </w:rPr>
              <w:t>0%</w:t>
            </w:r>
          </w:p>
        </w:tc>
      </w:tr>
      <w:tr w:rsidR="006214F6" w:rsidRPr="00FE05D1" w14:paraId="2EBA92F4" w14:textId="77777777" w:rsidTr="008F0B2B">
        <w:trPr>
          <w:trHeight w:val="255"/>
        </w:trPr>
        <w:tc>
          <w:tcPr>
            <w:tcW w:w="3024" w:type="dxa"/>
            <w:shd w:val="clear" w:color="auto" w:fill="auto"/>
            <w:noWrap/>
            <w:hideMark/>
          </w:tcPr>
          <w:p w14:paraId="4CE96119" w14:textId="77777777" w:rsidR="006214F6" w:rsidRPr="008F0B2B" w:rsidRDefault="006214F6" w:rsidP="008F0B2B">
            <w:pPr>
              <w:pStyle w:val="Tabletext"/>
              <w:spacing w:before="60"/>
              <w:jc w:val="center"/>
              <w:rPr>
                <w:szCs w:val="20"/>
              </w:rPr>
            </w:pPr>
            <w:r w:rsidRPr="008F0B2B">
              <w:rPr>
                <w:szCs w:val="20"/>
              </w:rPr>
              <w:t>5-9</w:t>
            </w:r>
          </w:p>
        </w:tc>
        <w:tc>
          <w:tcPr>
            <w:tcW w:w="3024" w:type="dxa"/>
            <w:shd w:val="clear" w:color="auto" w:fill="auto"/>
            <w:noWrap/>
            <w:hideMark/>
          </w:tcPr>
          <w:p w14:paraId="303ED612" w14:textId="77777777" w:rsidR="006214F6" w:rsidRPr="008F0B2B" w:rsidRDefault="006214F6" w:rsidP="003C25D3">
            <w:pPr>
              <w:pStyle w:val="TableTextDecimalAlign"/>
            </w:pPr>
            <w:r w:rsidRPr="008F0B2B">
              <w:t>7,956</w:t>
            </w:r>
          </w:p>
        </w:tc>
        <w:tc>
          <w:tcPr>
            <w:tcW w:w="3024" w:type="dxa"/>
            <w:shd w:val="clear" w:color="auto" w:fill="auto"/>
            <w:noWrap/>
            <w:hideMark/>
          </w:tcPr>
          <w:p w14:paraId="75A75025" w14:textId="77777777" w:rsidR="006214F6" w:rsidRPr="008F0B2B" w:rsidRDefault="006214F6" w:rsidP="008F0B2B">
            <w:pPr>
              <w:pStyle w:val="Tabletext"/>
              <w:spacing w:before="60"/>
              <w:jc w:val="center"/>
              <w:rPr>
                <w:szCs w:val="20"/>
              </w:rPr>
            </w:pPr>
            <w:r w:rsidRPr="008F0B2B">
              <w:rPr>
                <w:szCs w:val="20"/>
              </w:rPr>
              <w:t>3%</w:t>
            </w:r>
          </w:p>
        </w:tc>
      </w:tr>
      <w:tr w:rsidR="006214F6" w:rsidRPr="00FE05D1" w14:paraId="1CD77CCE" w14:textId="77777777" w:rsidTr="008F0B2B">
        <w:trPr>
          <w:trHeight w:val="255"/>
        </w:trPr>
        <w:tc>
          <w:tcPr>
            <w:tcW w:w="3024" w:type="dxa"/>
            <w:shd w:val="clear" w:color="auto" w:fill="auto"/>
            <w:noWrap/>
            <w:hideMark/>
          </w:tcPr>
          <w:p w14:paraId="46A469B1" w14:textId="77777777" w:rsidR="006214F6" w:rsidRPr="008F0B2B" w:rsidRDefault="006214F6" w:rsidP="008F0B2B">
            <w:pPr>
              <w:pStyle w:val="Tabletext"/>
              <w:spacing w:before="60"/>
              <w:jc w:val="center"/>
              <w:rPr>
                <w:szCs w:val="20"/>
              </w:rPr>
            </w:pPr>
            <w:r w:rsidRPr="008F0B2B">
              <w:rPr>
                <w:szCs w:val="20"/>
              </w:rPr>
              <w:t>10-14</w:t>
            </w:r>
          </w:p>
        </w:tc>
        <w:tc>
          <w:tcPr>
            <w:tcW w:w="3024" w:type="dxa"/>
            <w:shd w:val="clear" w:color="auto" w:fill="auto"/>
            <w:noWrap/>
            <w:hideMark/>
          </w:tcPr>
          <w:p w14:paraId="2C7776FB" w14:textId="77777777" w:rsidR="006214F6" w:rsidRPr="008F0B2B" w:rsidRDefault="006214F6" w:rsidP="003C25D3">
            <w:pPr>
              <w:pStyle w:val="TableTextDecimalAlign"/>
            </w:pPr>
            <w:r w:rsidRPr="008F0B2B">
              <w:t>11,506</w:t>
            </w:r>
          </w:p>
        </w:tc>
        <w:tc>
          <w:tcPr>
            <w:tcW w:w="3024" w:type="dxa"/>
            <w:shd w:val="clear" w:color="auto" w:fill="auto"/>
            <w:noWrap/>
            <w:hideMark/>
          </w:tcPr>
          <w:p w14:paraId="7E1C4030" w14:textId="77777777" w:rsidR="006214F6" w:rsidRPr="008F0B2B" w:rsidRDefault="006214F6" w:rsidP="008F0B2B">
            <w:pPr>
              <w:pStyle w:val="Tabletext"/>
              <w:spacing w:before="60"/>
              <w:jc w:val="center"/>
              <w:rPr>
                <w:szCs w:val="20"/>
              </w:rPr>
            </w:pPr>
            <w:r w:rsidRPr="008F0B2B">
              <w:rPr>
                <w:szCs w:val="20"/>
              </w:rPr>
              <w:t>4%</w:t>
            </w:r>
          </w:p>
        </w:tc>
      </w:tr>
      <w:tr w:rsidR="006214F6" w:rsidRPr="00FE05D1" w14:paraId="1D0E6B92" w14:textId="77777777" w:rsidTr="008F0B2B">
        <w:trPr>
          <w:trHeight w:val="255"/>
        </w:trPr>
        <w:tc>
          <w:tcPr>
            <w:tcW w:w="3024" w:type="dxa"/>
            <w:shd w:val="clear" w:color="auto" w:fill="auto"/>
            <w:noWrap/>
            <w:hideMark/>
          </w:tcPr>
          <w:p w14:paraId="11DBBEFC" w14:textId="77777777" w:rsidR="006214F6" w:rsidRPr="008F0B2B" w:rsidRDefault="006214F6" w:rsidP="008F0B2B">
            <w:pPr>
              <w:pStyle w:val="Tabletext"/>
              <w:spacing w:before="60"/>
              <w:jc w:val="center"/>
              <w:rPr>
                <w:szCs w:val="20"/>
              </w:rPr>
            </w:pPr>
            <w:r w:rsidRPr="008F0B2B">
              <w:rPr>
                <w:szCs w:val="20"/>
              </w:rPr>
              <w:t>15-19</w:t>
            </w:r>
          </w:p>
        </w:tc>
        <w:tc>
          <w:tcPr>
            <w:tcW w:w="3024" w:type="dxa"/>
            <w:shd w:val="clear" w:color="auto" w:fill="auto"/>
            <w:noWrap/>
            <w:hideMark/>
          </w:tcPr>
          <w:p w14:paraId="363A7C59" w14:textId="77777777" w:rsidR="006214F6" w:rsidRPr="008F0B2B" w:rsidRDefault="006214F6" w:rsidP="003C25D3">
            <w:pPr>
              <w:pStyle w:val="TableTextDecimalAlign"/>
            </w:pPr>
            <w:r w:rsidRPr="008F0B2B">
              <w:t>10,388</w:t>
            </w:r>
          </w:p>
        </w:tc>
        <w:tc>
          <w:tcPr>
            <w:tcW w:w="3024" w:type="dxa"/>
            <w:shd w:val="clear" w:color="auto" w:fill="auto"/>
            <w:noWrap/>
            <w:hideMark/>
          </w:tcPr>
          <w:p w14:paraId="7CC14203" w14:textId="77777777" w:rsidR="006214F6" w:rsidRPr="008F0B2B" w:rsidRDefault="006214F6" w:rsidP="008F0B2B">
            <w:pPr>
              <w:pStyle w:val="Tabletext"/>
              <w:spacing w:before="60"/>
              <w:jc w:val="center"/>
              <w:rPr>
                <w:szCs w:val="20"/>
              </w:rPr>
            </w:pPr>
            <w:r w:rsidRPr="008F0B2B">
              <w:rPr>
                <w:szCs w:val="20"/>
              </w:rPr>
              <w:t>4%</w:t>
            </w:r>
          </w:p>
        </w:tc>
      </w:tr>
      <w:tr w:rsidR="006214F6" w:rsidRPr="00FE05D1" w14:paraId="65815C70" w14:textId="77777777" w:rsidTr="008F0B2B">
        <w:trPr>
          <w:trHeight w:val="255"/>
        </w:trPr>
        <w:tc>
          <w:tcPr>
            <w:tcW w:w="3024" w:type="dxa"/>
            <w:shd w:val="clear" w:color="auto" w:fill="auto"/>
            <w:noWrap/>
            <w:hideMark/>
          </w:tcPr>
          <w:p w14:paraId="4D418AE4" w14:textId="77777777" w:rsidR="006214F6" w:rsidRPr="008F0B2B" w:rsidRDefault="006214F6" w:rsidP="008F0B2B">
            <w:pPr>
              <w:pStyle w:val="Tabletext"/>
              <w:spacing w:before="60"/>
              <w:jc w:val="center"/>
              <w:rPr>
                <w:szCs w:val="20"/>
              </w:rPr>
            </w:pPr>
            <w:r w:rsidRPr="008F0B2B">
              <w:rPr>
                <w:szCs w:val="20"/>
              </w:rPr>
              <w:t>20-24</w:t>
            </w:r>
          </w:p>
        </w:tc>
        <w:tc>
          <w:tcPr>
            <w:tcW w:w="3024" w:type="dxa"/>
            <w:shd w:val="clear" w:color="auto" w:fill="auto"/>
            <w:noWrap/>
            <w:hideMark/>
          </w:tcPr>
          <w:p w14:paraId="667A3846" w14:textId="77777777" w:rsidR="006214F6" w:rsidRPr="008F0B2B" w:rsidRDefault="006214F6" w:rsidP="003C25D3">
            <w:pPr>
              <w:pStyle w:val="TableTextDecimalAlign"/>
            </w:pPr>
            <w:r w:rsidRPr="008F0B2B">
              <w:t>9,705</w:t>
            </w:r>
          </w:p>
        </w:tc>
        <w:tc>
          <w:tcPr>
            <w:tcW w:w="3024" w:type="dxa"/>
            <w:shd w:val="clear" w:color="auto" w:fill="auto"/>
            <w:noWrap/>
            <w:hideMark/>
          </w:tcPr>
          <w:p w14:paraId="79CDC166" w14:textId="77777777" w:rsidR="006214F6" w:rsidRPr="008F0B2B" w:rsidRDefault="006214F6" w:rsidP="008F0B2B">
            <w:pPr>
              <w:pStyle w:val="Tabletext"/>
              <w:spacing w:before="60"/>
              <w:jc w:val="center"/>
              <w:rPr>
                <w:szCs w:val="20"/>
              </w:rPr>
            </w:pPr>
            <w:r w:rsidRPr="008F0B2B">
              <w:rPr>
                <w:szCs w:val="20"/>
              </w:rPr>
              <w:t>4%</w:t>
            </w:r>
          </w:p>
        </w:tc>
      </w:tr>
      <w:tr w:rsidR="006214F6" w:rsidRPr="00FE05D1" w14:paraId="440F233E" w14:textId="77777777" w:rsidTr="008F0B2B">
        <w:trPr>
          <w:trHeight w:val="255"/>
        </w:trPr>
        <w:tc>
          <w:tcPr>
            <w:tcW w:w="3024" w:type="dxa"/>
            <w:shd w:val="clear" w:color="auto" w:fill="auto"/>
            <w:noWrap/>
            <w:hideMark/>
          </w:tcPr>
          <w:p w14:paraId="2EC43497" w14:textId="77777777" w:rsidR="006214F6" w:rsidRPr="008F0B2B" w:rsidRDefault="006214F6" w:rsidP="008F0B2B">
            <w:pPr>
              <w:pStyle w:val="Tabletext"/>
              <w:spacing w:before="60"/>
              <w:jc w:val="center"/>
              <w:rPr>
                <w:szCs w:val="20"/>
              </w:rPr>
            </w:pPr>
            <w:r w:rsidRPr="008F0B2B">
              <w:rPr>
                <w:szCs w:val="20"/>
              </w:rPr>
              <w:t>25-29</w:t>
            </w:r>
          </w:p>
        </w:tc>
        <w:tc>
          <w:tcPr>
            <w:tcW w:w="3024" w:type="dxa"/>
            <w:shd w:val="clear" w:color="auto" w:fill="auto"/>
            <w:noWrap/>
            <w:hideMark/>
          </w:tcPr>
          <w:p w14:paraId="38226105" w14:textId="77777777" w:rsidR="006214F6" w:rsidRPr="008F0B2B" w:rsidRDefault="006214F6" w:rsidP="003C25D3">
            <w:pPr>
              <w:pStyle w:val="TableTextDecimalAlign"/>
            </w:pPr>
            <w:r w:rsidRPr="008F0B2B">
              <w:t>9,316</w:t>
            </w:r>
          </w:p>
        </w:tc>
        <w:tc>
          <w:tcPr>
            <w:tcW w:w="3024" w:type="dxa"/>
            <w:shd w:val="clear" w:color="auto" w:fill="auto"/>
            <w:noWrap/>
            <w:hideMark/>
          </w:tcPr>
          <w:p w14:paraId="19F0C054" w14:textId="77777777" w:rsidR="006214F6" w:rsidRPr="008F0B2B" w:rsidRDefault="006214F6" w:rsidP="008F0B2B">
            <w:pPr>
              <w:pStyle w:val="Tabletext"/>
              <w:spacing w:before="60"/>
              <w:jc w:val="center"/>
              <w:rPr>
                <w:szCs w:val="20"/>
              </w:rPr>
            </w:pPr>
            <w:r w:rsidRPr="008F0B2B">
              <w:rPr>
                <w:szCs w:val="20"/>
              </w:rPr>
              <w:t>3%</w:t>
            </w:r>
          </w:p>
        </w:tc>
      </w:tr>
      <w:tr w:rsidR="006214F6" w:rsidRPr="00FE05D1" w14:paraId="061C2C7F" w14:textId="77777777" w:rsidTr="008F0B2B">
        <w:trPr>
          <w:trHeight w:val="255"/>
        </w:trPr>
        <w:tc>
          <w:tcPr>
            <w:tcW w:w="3024" w:type="dxa"/>
            <w:shd w:val="clear" w:color="auto" w:fill="auto"/>
            <w:noWrap/>
            <w:hideMark/>
          </w:tcPr>
          <w:p w14:paraId="13C7DB5E" w14:textId="77777777" w:rsidR="006214F6" w:rsidRPr="008F0B2B" w:rsidRDefault="006214F6" w:rsidP="008F0B2B">
            <w:pPr>
              <w:pStyle w:val="Tabletext"/>
              <w:spacing w:before="60"/>
              <w:jc w:val="center"/>
              <w:rPr>
                <w:szCs w:val="20"/>
              </w:rPr>
            </w:pPr>
            <w:r w:rsidRPr="008F0B2B">
              <w:rPr>
                <w:szCs w:val="20"/>
              </w:rPr>
              <w:t>30-34</w:t>
            </w:r>
          </w:p>
        </w:tc>
        <w:tc>
          <w:tcPr>
            <w:tcW w:w="3024" w:type="dxa"/>
            <w:shd w:val="clear" w:color="auto" w:fill="auto"/>
            <w:noWrap/>
            <w:hideMark/>
          </w:tcPr>
          <w:p w14:paraId="75375074" w14:textId="77777777" w:rsidR="006214F6" w:rsidRPr="008F0B2B" w:rsidRDefault="006214F6" w:rsidP="003C25D3">
            <w:pPr>
              <w:pStyle w:val="TableTextDecimalAlign"/>
            </w:pPr>
            <w:r w:rsidRPr="008F0B2B">
              <w:t>10,348</w:t>
            </w:r>
          </w:p>
        </w:tc>
        <w:tc>
          <w:tcPr>
            <w:tcW w:w="3024" w:type="dxa"/>
            <w:shd w:val="clear" w:color="auto" w:fill="auto"/>
            <w:noWrap/>
            <w:hideMark/>
          </w:tcPr>
          <w:p w14:paraId="661671E4" w14:textId="77777777" w:rsidR="006214F6" w:rsidRPr="008F0B2B" w:rsidRDefault="006214F6" w:rsidP="008F0B2B">
            <w:pPr>
              <w:pStyle w:val="Tabletext"/>
              <w:spacing w:before="60"/>
              <w:jc w:val="center"/>
              <w:rPr>
                <w:szCs w:val="20"/>
              </w:rPr>
            </w:pPr>
            <w:r w:rsidRPr="008F0B2B">
              <w:rPr>
                <w:szCs w:val="20"/>
              </w:rPr>
              <w:t>4%</w:t>
            </w:r>
          </w:p>
        </w:tc>
      </w:tr>
      <w:tr w:rsidR="006214F6" w:rsidRPr="00FE05D1" w14:paraId="4027CD68" w14:textId="77777777" w:rsidTr="008F0B2B">
        <w:trPr>
          <w:trHeight w:val="255"/>
        </w:trPr>
        <w:tc>
          <w:tcPr>
            <w:tcW w:w="3024" w:type="dxa"/>
            <w:shd w:val="clear" w:color="auto" w:fill="auto"/>
            <w:noWrap/>
            <w:hideMark/>
          </w:tcPr>
          <w:p w14:paraId="01E3B080" w14:textId="77777777" w:rsidR="006214F6" w:rsidRPr="008F0B2B" w:rsidRDefault="006214F6" w:rsidP="008F0B2B">
            <w:pPr>
              <w:pStyle w:val="Tabletext"/>
              <w:spacing w:before="60"/>
              <w:jc w:val="center"/>
              <w:rPr>
                <w:szCs w:val="20"/>
              </w:rPr>
            </w:pPr>
            <w:r w:rsidRPr="008F0B2B">
              <w:rPr>
                <w:szCs w:val="20"/>
              </w:rPr>
              <w:lastRenderedPageBreak/>
              <w:t>35-39</w:t>
            </w:r>
          </w:p>
        </w:tc>
        <w:tc>
          <w:tcPr>
            <w:tcW w:w="3024" w:type="dxa"/>
            <w:shd w:val="clear" w:color="auto" w:fill="auto"/>
            <w:noWrap/>
            <w:hideMark/>
          </w:tcPr>
          <w:p w14:paraId="16F6BFFF" w14:textId="77777777" w:rsidR="006214F6" w:rsidRPr="008F0B2B" w:rsidRDefault="006214F6" w:rsidP="003C25D3">
            <w:pPr>
              <w:pStyle w:val="TableTextDecimalAlign"/>
            </w:pPr>
            <w:r w:rsidRPr="008F0B2B">
              <w:t>11,293</w:t>
            </w:r>
          </w:p>
        </w:tc>
        <w:tc>
          <w:tcPr>
            <w:tcW w:w="3024" w:type="dxa"/>
            <w:shd w:val="clear" w:color="auto" w:fill="auto"/>
            <w:noWrap/>
            <w:hideMark/>
          </w:tcPr>
          <w:p w14:paraId="13305489" w14:textId="77777777" w:rsidR="006214F6" w:rsidRPr="008F0B2B" w:rsidRDefault="006214F6" w:rsidP="008F0B2B">
            <w:pPr>
              <w:pStyle w:val="Tabletext"/>
              <w:spacing w:before="60"/>
              <w:jc w:val="center"/>
              <w:rPr>
                <w:szCs w:val="20"/>
              </w:rPr>
            </w:pPr>
            <w:r w:rsidRPr="008F0B2B">
              <w:rPr>
                <w:szCs w:val="20"/>
              </w:rPr>
              <w:t>4%</w:t>
            </w:r>
          </w:p>
        </w:tc>
      </w:tr>
      <w:tr w:rsidR="006214F6" w:rsidRPr="00FE05D1" w14:paraId="52D8CADF" w14:textId="77777777" w:rsidTr="008F0B2B">
        <w:trPr>
          <w:trHeight w:val="255"/>
        </w:trPr>
        <w:tc>
          <w:tcPr>
            <w:tcW w:w="3024" w:type="dxa"/>
            <w:shd w:val="clear" w:color="auto" w:fill="auto"/>
            <w:noWrap/>
            <w:hideMark/>
          </w:tcPr>
          <w:p w14:paraId="51FFED1D" w14:textId="77777777" w:rsidR="006214F6" w:rsidRPr="008F0B2B" w:rsidRDefault="006214F6" w:rsidP="008F0B2B">
            <w:pPr>
              <w:pStyle w:val="Tabletext"/>
              <w:spacing w:before="60"/>
              <w:jc w:val="center"/>
              <w:rPr>
                <w:szCs w:val="20"/>
              </w:rPr>
            </w:pPr>
            <w:r w:rsidRPr="008F0B2B">
              <w:rPr>
                <w:szCs w:val="20"/>
              </w:rPr>
              <w:t>40-44</w:t>
            </w:r>
          </w:p>
        </w:tc>
        <w:tc>
          <w:tcPr>
            <w:tcW w:w="3024" w:type="dxa"/>
            <w:shd w:val="clear" w:color="auto" w:fill="auto"/>
            <w:noWrap/>
            <w:hideMark/>
          </w:tcPr>
          <w:p w14:paraId="623865AC" w14:textId="77777777" w:rsidR="006214F6" w:rsidRPr="008F0B2B" w:rsidRDefault="006214F6" w:rsidP="003C25D3">
            <w:pPr>
              <w:pStyle w:val="TableTextDecimalAlign"/>
            </w:pPr>
            <w:r w:rsidRPr="008F0B2B">
              <w:t>14,289</w:t>
            </w:r>
          </w:p>
        </w:tc>
        <w:tc>
          <w:tcPr>
            <w:tcW w:w="3024" w:type="dxa"/>
            <w:shd w:val="clear" w:color="auto" w:fill="auto"/>
            <w:noWrap/>
            <w:hideMark/>
          </w:tcPr>
          <w:p w14:paraId="28A16628" w14:textId="77777777" w:rsidR="006214F6" w:rsidRPr="008F0B2B" w:rsidRDefault="006214F6" w:rsidP="008F0B2B">
            <w:pPr>
              <w:pStyle w:val="Tabletext"/>
              <w:spacing w:before="60"/>
              <w:jc w:val="center"/>
              <w:rPr>
                <w:szCs w:val="20"/>
              </w:rPr>
            </w:pPr>
            <w:r w:rsidRPr="008F0B2B">
              <w:rPr>
                <w:szCs w:val="20"/>
              </w:rPr>
              <w:t>5%</w:t>
            </w:r>
          </w:p>
        </w:tc>
      </w:tr>
      <w:tr w:rsidR="006214F6" w:rsidRPr="00FE05D1" w14:paraId="6AE3DAD5" w14:textId="77777777" w:rsidTr="008F0B2B">
        <w:trPr>
          <w:trHeight w:val="255"/>
        </w:trPr>
        <w:tc>
          <w:tcPr>
            <w:tcW w:w="3024" w:type="dxa"/>
            <w:shd w:val="clear" w:color="auto" w:fill="auto"/>
            <w:noWrap/>
            <w:hideMark/>
          </w:tcPr>
          <w:p w14:paraId="61EBABA5" w14:textId="77777777" w:rsidR="006214F6" w:rsidRPr="008F0B2B" w:rsidRDefault="006214F6" w:rsidP="008F0B2B">
            <w:pPr>
              <w:pStyle w:val="Tabletext"/>
              <w:spacing w:before="60"/>
              <w:jc w:val="center"/>
              <w:rPr>
                <w:szCs w:val="20"/>
              </w:rPr>
            </w:pPr>
            <w:r w:rsidRPr="008F0B2B">
              <w:rPr>
                <w:szCs w:val="20"/>
              </w:rPr>
              <w:t>45-49</w:t>
            </w:r>
          </w:p>
        </w:tc>
        <w:tc>
          <w:tcPr>
            <w:tcW w:w="3024" w:type="dxa"/>
            <w:shd w:val="clear" w:color="auto" w:fill="auto"/>
            <w:noWrap/>
            <w:hideMark/>
          </w:tcPr>
          <w:p w14:paraId="2924C298" w14:textId="77777777" w:rsidR="006214F6" w:rsidRPr="008F0B2B" w:rsidRDefault="006214F6" w:rsidP="003C25D3">
            <w:pPr>
              <w:pStyle w:val="TableTextDecimalAlign"/>
            </w:pPr>
            <w:r w:rsidRPr="008F0B2B">
              <w:t>18,001</w:t>
            </w:r>
          </w:p>
        </w:tc>
        <w:tc>
          <w:tcPr>
            <w:tcW w:w="3024" w:type="dxa"/>
            <w:shd w:val="clear" w:color="auto" w:fill="auto"/>
            <w:noWrap/>
            <w:hideMark/>
          </w:tcPr>
          <w:p w14:paraId="0249F90B" w14:textId="77777777" w:rsidR="006214F6" w:rsidRPr="008F0B2B" w:rsidRDefault="006214F6" w:rsidP="008F0B2B">
            <w:pPr>
              <w:pStyle w:val="Tabletext"/>
              <w:spacing w:before="60"/>
              <w:jc w:val="center"/>
              <w:rPr>
                <w:szCs w:val="20"/>
              </w:rPr>
            </w:pPr>
            <w:r w:rsidRPr="008F0B2B">
              <w:rPr>
                <w:szCs w:val="20"/>
              </w:rPr>
              <w:t>7%</w:t>
            </w:r>
          </w:p>
        </w:tc>
      </w:tr>
      <w:tr w:rsidR="006214F6" w:rsidRPr="00FE05D1" w14:paraId="741E5ACC" w14:textId="77777777" w:rsidTr="008F0B2B">
        <w:trPr>
          <w:trHeight w:val="255"/>
        </w:trPr>
        <w:tc>
          <w:tcPr>
            <w:tcW w:w="3024" w:type="dxa"/>
            <w:shd w:val="clear" w:color="auto" w:fill="auto"/>
            <w:noWrap/>
            <w:hideMark/>
          </w:tcPr>
          <w:p w14:paraId="424F144B" w14:textId="77777777" w:rsidR="006214F6" w:rsidRPr="008F0B2B" w:rsidRDefault="006214F6" w:rsidP="008F0B2B">
            <w:pPr>
              <w:pStyle w:val="Tabletext"/>
              <w:spacing w:before="60"/>
              <w:jc w:val="center"/>
              <w:rPr>
                <w:szCs w:val="20"/>
              </w:rPr>
            </w:pPr>
            <w:r w:rsidRPr="008F0B2B">
              <w:rPr>
                <w:szCs w:val="20"/>
              </w:rPr>
              <w:t>50-54</w:t>
            </w:r>
          </w:p>
        </w:tc>
        <w:tc>
          <w:tcPr>
            <w:tcW w:w="3024" w:type="dxa"/>
            <w:shd w:val="clear" w:color="auto" w:fill="auto"/>
            <w:noWrap/>
            <w:hideMark/>
          </w:tcPr>
          <w:p w14:paraId="6ECA55D6" w14:textId="77777777" w:rsidR="006214F6" w:rsidRPr="008F0B2B" w:rsidRDefault="006214F6" w:rsidP="003C25D3">
            <w:pPr>
              <w:pStyle w:val="TableTextDecimalAlign"/>
            </w:pPr>
            <w:r w:rsidRPr="008F0B2B">
              <w:t>19,607</w:t>
            </w:r>
          </w:p>
        </w:tc>
        <w:tc>
          <w:tcPr>
            <w:tcW w:w="3024" w:type="dxa"/>
            <w:shd w:val="clear" w:color="auto" w:fill="auto"/>
            <w:noWrap/>
            <w:hideMark/>
          </w:tcPr>
          <w:p w14:paraId="634BF5B7" w14:textId="77777777" w:rsidR="006214F6" w:rsidRPr="008F0B2B" w:rsidRDefault="006214F6" w:rsidP="008F0B2B">
            <w:pPr>
              <w:pStyle w:val="Tabletext"/>
              <w:spacing w:before="60"/>
              <w:jc w:val="center"/>
              <w:rPr>
                <w:szCs w:val="20"/>
              </w:rPr>
            </w:pPr>
            <w:r w:rsidRPr="008F0B2B">
              <w:rPr>
                <w:szCs w:val="20"/>
              </w:rPr>
              <w:t>7%</w:t>
            </w:r>
          </w:p>
        </w:tc>
      </w:tr>
      <w:tr w:rsidR="006214F6" w:rsidRPr="00FE05D1" w14:paraId="76E6165C" w14:textId="77777777" w:rsidTr="008F0B2B">
        <w:trPr>
          <w:trHeight w:val="255"/>
        </w:trPr>
        <w:tc>
          <w:tcPr>
            <w:tcW w:w="3024" w:type="dxa"/>
            <w:shd w:val="clear" w:color="auto" w:fill="auto"/>
            <w:noWrap/>
            <w:hideMark/>
          </w:tcPr>
          <w:p w14:paraId="4B8E44D6" w14:textId="77777777" w:rsidR="006214F6" w:rsidRPr="008F0B2B" w:rsidRDefault="006214F6" w:rsidP="008F0B2B">
            <w:pPr>
              <w:pStyle w:val="Tabletext"/>
              <w:spacing w:before="60"/>
              <w:jc w:val="center"/>
              <w:rPr>
                <w:szCs w:val="20"/>
              </w:rPr>
            </w:pPr>
            <w:r w:rsidRPr="008F0B2B">
              <w:rPr>
                <w:szCs w:val="20"/>
              </w:rPr>
              <w:t>55-59</w:t>
            </w:r>
          </w:p>
        </w:tc>
        <w:tc>
          <w:tcPr>
            <w:tcW w:w="3024" w:type="dxa"/>
            <w:shd w:val="clear" w:color="auto" w:fill="auto"/>
            <w:noWrap/>
            <w:hideMark/>
          </w:tcPr>
          <w:p w14:paraId="2BF3A1FB" w14:textId="77777777" w:rsidR="006214F6" w:rsidRPr="008F0B2B" w:rsidRDefault="006214F6" w:rsidP="003C25D3">
            <w:pPr>
              <w:pStyle w:val="TableTextDecimalAlign"/>
            </w:pPr>
            <w:r w:rsidRPr="008F0B2B">
              <w:t>23,016</w:t>
            </w:r>
          </w:p>
        </w:tc>
        <w:tc>
          <w:tcPr>
            <w:tcW w:w="3024" w:type="dxa"/>
            <w:shd w:val="clear" w:color="auto" w:fill="auto"/>
            <w:noWrap/>
            <w:hideMark/>
          </w:tcPr>
          <w:p w14:paraId="3C99E4AA" w14:textId="77777777" w:rsidR="006214F6" w:rsidRPr="008F0B2B" w:rsidRDefault="006214F6" w:rsidP="008F0B2B">
            <w:pPr>
              <w:pStyle w:val="Tabletext"/>
              <w:spacing w:before="60"/>
              <w:jc w:val="center"/>
              <w:rPr>
                <w:szCs w:val="20"/>
              </w:rPr>
            </w:pPr>
            <w:r w:rsidRPr="008F0B2B">
              <w:rPr>
                <w:szCs w:val="20"/>
              </w:rPr>
              <w:t>9%</w:t>
            </w:r>
          </w:p>
        </w:tc>
      </w:tr>
      <w:tr w:rsidR="006214F6" w:rsidRPr="00FE05D1" w14:paraId="6F4A929B" w14:textId="77777777" w:rsidTr="008F0B2B">
        <w:trPr>
          <w:trHeight w:val="255"/>
        </w:trPr>
        <w:tc>
          <w:tcPr>
            <w:tcW w:w="3024" w:type="dxa"/>
            <w:shd w:val="clear" w:color="auto" w:fill="auto"/>
            <w:noWrap/>
            <w:hideMark/>
          </w:tcPr>
          <w:p w14:paraId="73F4C7FF" w14:textId="77777777" w:rsidR="006214F6" w:rsidRPr="008F0B2B" w:rsidRDefault="006214F6" w:rsidP="008F0B2B">
            <w:pPr>
              <w:pStyle w:val="Tabletext"/>
              <w:spacing w:before="60"/>
              <w:jc w:val="center"/>
              <w:rPr>
                <w:szCs w:val="20"/>
              </w:rPr>
            </w:pPr>
            <w:r w:rsidRPr="008F0B2B">
              <w:rPr>
                <w:szCs w:val="20"/>
              </w:rPr>
              <w:t>60-64</w:t>
            </w:r>
          </w:p>
        </w:tc>
        <w:tc>
          <w:tcPr>
            <w:tcW w:w="3024" w:type="dxa"/>
            <w:shd w:val="clear" w:color="auto" w:fill="auto"/>
            <w:noWrap/>
            <w:hideMark/>
          </w:tcPr>
          <w:p w14:paraId="10A97627" w14:textId="77777777" w:rsidR="006214F6" w:rsidRPr="008F0B2B" w:rsidRDefault="006214F6" w:rsidP="003C25D3">
            <w:pPr>
              <w:pStyle w:val="TableTextDecimalAlign"/>
            </w:pPr>
            <w:r w:rsidRPr="008F0B2B">
              <w:t>26,536</w:t>
            </w:r>
          </w:p>
        </w:tc>
        <w:tc>
          <w:tcPr>
            <w:tcW w:w="3024" w:type="dxa"/>
            <w:shd w:val="clear" w:color="auto" w:fill="auto"/>
            <w:noWrap/>
            <w:hideMark/>
          </w:tcPr>
          <w:p w14:paraId="50267B07" w14:textId="77777777" w:rsidR="006214F6" w:rsidRPr="008F0B2B" w:rsidRDefault="006214F6" w:rsidP="008F0B2B">
            <w:pPr>
              <w:pStyle w:val="Tabletext"/>
              <w:spacing w:before="60"/>
              <w:jc w:val="center"/>
              <w:rPr>
                <w:szCs w:val="20"/>
              </w:rPr>
            </w:pPr>
            <w:r w:rsidRPr="008F0B2B">
              <w:rPr>
                <w:szCs w:val="20"/>
              </w:rPr>
              <w:t>10%</w:t>
            </w:r>
          </w:p>
        </w:tc>
      </w:tr>
      <w:tr w:rsidR="006214F6" w:rsidRPr="00FE05D1" w14:paraId="0499FAF3" w14:textId="77777777" w:rsidTr="008F0B2B">
        <w:trPr>
          <w:trHeight w:val="255"/>
        </w:trPr>
        <w:tc>
          <w:tcPr>
            <w:tcW w:w="3024" w:type="dxa"/>
            <w:shd w:val="clear" w:color="auto" w:fill="auto"/>
            <w:noWrap/>
            <w:hideMark/>
          </w:tcPr>
          <w:p w14:paraId="1AE74710" w14:textId="77777777" w:rsidR="006214F6" w:rsidRPr="008F0B2B" w:rsidRDefault="006214F6" w:rsidP="008F0B2B">
            <w:pPr>
              <w:pStyle w:val="Tabletext"/>
              <w:spacing w:before="60"/>
              <w:jc w:val="center"/>
              <w:rPr>
                <w:szCs w:val="20"/>
              </w:rPr>
            </w:pPr>
            <w:r w:rsidRPr="008F0B2B">
              <w:rPr>
                <w:szCs w:val="20"/>
              </w:rPr>
              <w:t>65-69</w:t>
            </w:r>
          </w:p>
        </w:tc>
        <w:tc>
          <w:tcPr>
            <w:tcW w:w="3024" w:type="dxa"/>
            <w:shd w:val="clear" w:color="auto" w:fill="auto"/>
            <w:noWrap/>
            <w:hideMark/>
          </w:tcPr>
          <w:p w14:paraId="359DE2F1" w14:textId="77777777" w:rsidR="006214F6" w:rsidRPr="008F0B2B" w:rsidRDefault="006214F6" w:rsidP="003C25D3">
            <w:pPr>
              <w:pStyle w:val="TableTextDecimalAlign"/>
            </w:pPr>
            <w:r w:rsidRPr="008F0B2B">
              <w:t>30,440</w:t>
            </w:r>
          </w:p>
        </w:tc>
        <w:tc>
          <w:tcPr>
            <w:tcW w:w="3024" w:type="dxa"/>
            <w:shd w:val="clear" w:color="auto" w:fill="auto"/>
            <w:noWrap/>
            <w:hideMark/>
          </w:tcPr>
          <w:p w14:paraId="0517FEE3" w14:textId="77777777" w:rsidR="006214F6" w:rsidRPr="008F0B2B" w:rsidRDefault="006214F6" w:rsidP="008F0B2B">
            <w:pPr>
              <w:pStyle w:val="Tabletext"/>
              <w:spacing w:before="60"/>
              <w:jc w:val="center"/>
              <w:rPr>
                <w:szCs w:val="20"/>
              </w:rPr>
            </w:pPr>
            <w:r w:rsidRPr="008F0B2B">
              <w:rPr>
                <w:szCs w:val="20"/>
              </w:rPr>
              <w:t>11%</w:t>
            </w:r>
          </w:p>
        </w:tc>
      </w:tr>
      <w:tr w:rsidR="006214F6" w:rsidRPr="00FE05D1" w14:paraId="1CB6F0B2" w14:textId="77777777" w:rsidTr="008F0B2B">
        <w:trPr>
          <w:trHeight w:val="255"/>
        </w:trPr>
        <w:tc>
          <w:tcPr>
            <w:tcW w:w="3024" w:type="dxa"/>
            <w:shd w:val="clear" w:color="auto" w:fill="auto"/>
            <w:noWrap/>
            <w:hideMark/>
          </w:tcPr>
          <w:p w14:paraId="223CDD66" w14:textId="77777777" w:rsidR="006214F6" w:rsidRPr="008F0B2B" w:rsidRDefault="006214F6" w:rsidP="008F0B2B">
            <w:pPr>
              <w:pStyle w:val="Tabletext"/>
              <w:spacing w:before="60"/>
              <w:jc w:val="center"/>
              <w:rPr>
                <w:szCs w:val="20"/>
              </w:rPr>
            </w:pPr>
            <w:r w:rsidRPr="008F0B2B">
              <w:rPr>
                <w:szCs w:val="20"/>
              </w:rPr>
              <w:t>70-74</w:t>
            </w:r>
          </w:p>
        </w:tc>
        <w:tc>
          <w:tcPr>
            <w:tcW w:w="3024" w:type="dxa"/>
            <w:shd w:val="clear" w:color="auto" w:fill="auto"/>
            <w:noWrap/>
            <w:hideMark/>
          </w:tcPr>
          <w:p w14:paraId="14065079" w14:textId="77777777" w:rsidR="006214F6" w:rsidRPr="008F0B2B" w:rsidRDefault="006214F6" w:rsidP="003C25D3">
            <w:pPr>
              <w:pStyle w:val="TableTextDecimalAlign"/>
            </w:pPr>
            <w:r w:rsidRPr="008F0B2B">
              <w:t>26,547</w:t>
            </w:r>
          </w:p>
        </w:tc>
        <w:tc>
          <w:tcPr>
            <w:tcW w:w="3024" w:type="dxa"/>
            <w:shd w:val="clear" w:color="auto" w:fill="auto"/>
            <w:noWrap/>
            <w:hideMark/>
          </w:tcPr>
          <w:p w14:paraId="5149F132" w14:textId="77777777" w:rsidR="006214F6" w:rsidRPr="008F0B2B" w:rsidRDefault="006214F6" w:rsidP="008F0B2B">
            <w:pPr>
              <w:pStyle w:val="Tabletext"/>
              <w:spacing w:before="60"/>
              <w:jc w:val="center"/>
              <w:rPr>
                <w:szCs w:val="20"/>
              </w:rPr>
            </w:pPr>
            <w:r w:rsidRPr="008F0B2B">
              <w:rPr>
                <w:szCs w:val="20"/>
              </w:rPr>
              <w:t>10%</w:t>
            </w:r>
          </w:p>
        </w:tc>
      </w:tr>
      <w:tr w:rsidR="006214F6" w:rsidRPr="00A64344" w14:paraId="6A6BE913" w14:textId="77777777" w:rsidTr="008F0B2B">
        <w:trPr>
          <w:trHeight w:val="255"/>
        </w:trPr>
        <w:tc>
          <w:tcPr>
            <w:tcW w:w="3024" w:type="dxa"/>
            <w:shd w:val="clear" w:color="auto" w:fill="auto"/>
            <w:noWrap/>
            <w:hideMark/>
          </w:tcPr>
          <w:p w14:paraId="313C94DD" w14:textId="77777777" w:rsidR="006214F6" w:rsidRPr="008F0B2B" w:rsidRDefault="006214F6" w:rsidP="008F0B2B">
            <w:pPr>
              <w:pStyle w:val="Tabletext"/>
              <w:spacing w:before="60"/>
              <w:jc w:val="center"/>
              <w:rPr>
                <w:szCs w:val="20"/>
              </w:rPr>
            </w:pPr>
            <w:r w:rsidRPr="008F0B2B">
              <w:rPr>
                <w:szCs w:val="20"/>
              </w:rPr>
              <w:t>75-79</w:t>
            </w:r>
          </w:p>
        </w:tc>
        <w:tc>
          <w:tcPr>
            <w:tcW w:w="3024" w:type="dxa"/>
            <w:shd w:val="clear" w:color="auto" w:fill="auto"/>
            <w:noWrap/>
            <w:hideMark/>
          </w:tcPr>
          <w:p w14:paraId="7C279E99" w14:textId="77777777" w:rsidR="006214F6" w:rsidRPr="008F0B2B" w:rsidRDefault="006214F6" w:rsidP="003C25D3">
            <w:pPr>
              <w:pStyle w:val="TableTextDecimalAlign"/>
            </w:pPr>
            <w:r w:rsidRPr="008F0B2B">
              <w:t>21,400</w:t>
            </w:r>
          </w:p>
        </w:tc>
        <w:tc>
          <w:tcPr>
            <w:tcW w:w="3024" w:type="dxa"/>
            <w:shd w:val="clear" w:color="auto" w:fill="auto"/>
            <w:noWrap/>
            <w:hideMark/>
          </w:tcPr>
          <w:p w14:paraId="16FC5C41" w14:textId="77777777" w:rsidR="006214F6" w:rsidRPr="008F0B2B" w:rsidRDefault="006214F6" w:rsidP="008F0B2B">
            <w:pPr>
              <w:pStyle w:val="Tabletext"/>
              <w:spacing w:before="60"/>
              <w:jc w:val="center"/>
              <w:rPr>
                <w:szCs w:val="20"/>
              </w:rPr>
            </w:pPr>
            <w:r w:rsidRPr="008F0B2B">
              <w:rPr>
                <w:szCs w:val="20"/>
              </w:rPr>
              <w:t>8%</w:t>
            </w:r>
          </w:p>
        </w:tc>
      </w:tr>
      <w:tr w:rsidR="006214F6" w:rsidRPr="00A64344" w14:paraId="633EAA83" w14:textId="77777777" w:rsidTr="008F0B2B">
        <w:trPr>
          <w:trHeight w:val="255"/>
        </w:trPr>
        <w:tc>
          <w:tcPr>
            <w:tcW w:w="3024" w:type="dxa"/>
            <w:shd w:val="clear" w:color="auto" w:fill="auto"/>
            <w:noWrap/>
            <w:hideMark/>
          </w:tcPr>
          <w:p w14:paraId="48D97856" w14:textId="77777777" w:rsidR="006214F6" w:rsidRPr="008F0B2B" w:rsidRDefault="006214F6" w:rsidP="008F0B2B">
            <w:pPr>
              <w:pStyle w:val="Tabletext"/>
              <w:spacing w:before="60"/>
              <w:jc w:val="center"/>
              <w:rPr>
                <w:szCs w:val="20"/>
              </w:rPr>
            </w:pPr>
            <w:r w:rsidRPr="008F0B2B">
              <w:rPr>
                <w:szCs w:val="20"/>
              </w:rPr>
              <w:t>80-84</w:t>
            </w:r>
          </w:p>
        </w:tc>
        <w:tc>
          <w:tcPr>
            <w:tcW w:w="3024" w:type="dxa"/>
            <w:shd w:val="clear" w:color="auto" w:fill="auto"/>
            <w:noWrap/>
            <w:hideMark/>
          </w:tcPr>
          <w:p w14:paraId="59EA4D70" w14:textId="77777777" w:rsidR="006214F6" w:rsidRPr="008F0B2B" w:rsidRDefault="006214F6" w:rsidP="003C25D3">
            <w:pPr>
              <w:pStyle w:val="TableTextDecimalAlign"/>
            </w:pPr>
            <w:r w:rsidRPr="008F0B2B">
              <w:t>12,916</w:t>
            </w:r>
          </w:p>
        </w:tc>
        <w:tc>
          <w:tcPr>
            <w:tcW w:w="3024" w:type="dxa"/>
            <w:shd w:val="clear" w:color="auto" w:fill="auto"/>
            <w:noWrap/>
            <w:hideMark/>
          </w:tcPr>
          <w:p w14:paraId="0CA9A57F" w14:textId="77777777" w:rsidR="006214F6" w:rsidRPr="008F0B2B" w:rsidRDefault="006214F6" w:rsidP="008F0B2B">
            <w:pPr>
              <w:pStyle w:val="Tabletext"/>
              <w:spacing w:before="60"/>
              <w:jc w:val="center"/>
              <w:rPr>
                <w:szCs w:val="20"/>
              </w:rPr>
            </w:pPr>
            <w:r w:rsidRPr="008F0B2B">
              <w:rPr>
                <w:szCs w:val="20"/>
              </w:rPr>
              <w:t>5%</w:t>
            </w:r>
          </w:p>
        </w:tc>
      </w:tr>
      <w:tr w:rsidR="006214F6" w:rsidRPr="00A64344" w14:paraId="3E7DB76A" w14:textId="77777777" w:rsidTr="008F0B2B">
        <w:trPr>
          <w:trHeight w:val="255"/>
        </w:trPr>
        <w:tc>
          <w:tcPr>
            <w:tcW w:w="3024" w:type="dxa"/>
            <w:shd w:val="clear" w:color="auto" w:fill="auto"/>
            <w:noWrap/>
            <w:hideMark/>
          </w:tcPr>
          <w:p w14:paraId="76205853" w14:textId="77777777" w:rsidR="006214F6" w:rsidRPr="008F0B2B" w:rsidRDefault="006214F6" w:rsidP="008F0B2B">
            <w:pPr>
              <w:pStyle w:val="Tabletext"/>
              <w:spacing w:before="60"/>
              <w:jc w:val="center"/>
              <w:rPr>
                <w:szCs w:val="20"/>
              </w:rPr>
            </w:pPr>
            <w:r w:rsidRPr="008F0B2B">
              <w:rPr>
                <w:szCs w:val="20"/>
              </w:rPr>
              <w:t>&gt;=85</w:t>
            </w:r>
          </w:p>
        </w:tc>
        <w:tc>
          <w:tcPr>
            <w:tcW w:w="3024" w:type="dxa"/>
            <w:shd w:val="clear" w:color="auto" w:fill="auto"/>
            <w:noWrap/>
            <w:hideMark/>
          </w:tcPr>
          <w:p w14:paraId="51E96834" w14:textId="77777777" w:rsidR="006214F6" w:rsidRPr="008F0B2B" w:rsidRDefault="006214F6" w:rsidP="003C25D3">
            <w:pPr>
              <w:pStyle w:val="TableTextDecimalAlign"/>
            </w:pPr>
            <w:r w:rsidRPr="008F0B2B">
              <w:t>6,533</w:t>
            </w:r>
          </w:p>
        </w:tc>
        <w:tc>
          <w:tcPr>
            <w:tcW w:w="3024" w:type="dxa"/>
            <w:shd w:val="clear" w:color="auto" w:fill="auto"/>
            <w:noWrap/>
            <w:hideMark/>
          </w:tcPr>
          <w:p w14:paraId="024F7D11" w14:textId="77777777" w:rsidR="006214F6" w:rsidRPr="008F0B2B" w:rsidRDefault="006214F6" w:rsidP="008F0B2B">
            <w:pPr>
              <w:pStyle w:val="Tabletext"/>
              <w:spacing w:before="60"/>
              <w:jc w:val="center"/>
              <w:rPr>
                <w:szCs w:val="20"/>
              </w:rPr>
            </w:pPr>
            <w:r w:rsidRPr="008F0B2B">
              <w:rPr>
                <w:szCs w:val="20"/>
              </w:rPr>
              <w:t>2%</w:t>
            </w:r>
          </w:p>
        </w:tc>
      </w:tr>
    </w:tbl>
    <w:p w14:paraId="77F226DD" w14:textId="77777777" w:rsidR="007769BD" w:rsidRDefault="007769BD" w:rsidP="0099709F">
      <w:pPr>
        <w:pStyle w:val="TableUnder"/>
      </w:pPr>
      <w:r w:rsidRPr="00DA5B19">
        <w:t>Unpublished data (Department of Health)</w:t>
      </w:r>
    </w:p>
    <w:p w14:paraId="1FC9D676" w14:textId="77777777" w:rsidR="00D93CF8" w:rsidRPr="00DA5B19" w:rsidRDefault="00D93CF8" w:rsidP="008F23CC">
      <w:pPr>
        <w:pStyle w:val="TableUnderLast"/>
      </w:pPr>
      <w:r>
        <w:t xml:space="preserve">Note: Total </w:t>
      </w:r>
      <w:r w:rsidRPr="008F23CC">
        <w:t>number</w:t>
      </w:r>
      <w:r>
        <w:t xml:space="preserve"> of services is </w:t>
      </w:r>
      <w:r w:rsidRPr="00D93CF8">
        <w:t>270,258</w:t>
      </w:r>
      <w:r>
        <w:t>.</w:t>
      </w:r>
    </w:p>
    <w:p w14:paraId="1D352F2E" w14:textId="77777777" w:rsidR="006214F6" w:rsidRDefault="006214F6" w:rsidP="006214F6">
      <w:pPr>
        <w:rPr>
          <w:rFonts w:cs="Arial"/>
        </w:rPr>
      </w:pPr>
      <w:r w:rsidRPr="0075170C">
        <w:rPr>
          <w:noProof/>
        </w:rPr>
        <w:drawing>
          <wp:inline distT="0" distB="0" distL="0" distR="0" wp14:anchorId="0EE03DD2" wp14:editId="4BB0475A">
            <wp:extent cx="5997039" cy="2743200"/>
            <wp:effectExtent l="0" t="0" r="22860" b="19050"/>
            <wp:docPr id="4" name="Chart 4" descr="Figure D2 is a grouped bar chart showing the number of services for item 11503 was much higher in New South Wales and Queensland than in other states and territories for the 6 years 2009-10 to 2014-15. "/>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C5FC809" w14:textId="77777777" w:rsidR="004A278B" w:rsidRDefault="004A278B" w:rsidP="00DA5B19">
      <w:pPr>
        <w:pStyle w:val="TableUnderLast"/>
      </w:pPr>
      <w:r w:rsidRPr="00DA5B19">
        <w:t>Public data (Department of Human Services website)</w:t>
      </w:r>
    </w:p>
    <w:p w14:paraId="2189D052" w14:textId="77777777" w:rsidR="002C15D0" w:rsidRPr="00DA5B19" w:rsidRDefault="002C15D0" w:rsidP="00711EA3">
      <w:pPr>
        <w:pStyle w:val="FigureCaption"/>
        <w:numPr>
          <w:ilvl w:val="0"/>
          <w:numId w:val="0"/>
        </w:numPr>
        <w:ind w:left="851" w:hanging="851"/>
      </w:pPr>
      <w:r>
        <w:t>Figure D2:</w:t>
      </w:r>
      <w:r>
        <w:tab/>
      </w:r>
      <w:r w:rsidRPr="002C15D0">
        <w:t>Number of services by state, 2009-10 to 2014-15, item 11503</w:t>
      </w:r>
    </w:p>
    <w:p w14:paraId="3F09A578" w14:textId="77777777" w:rsidR="006214F6" w:rsidRPr="00E52BC8" w:rsidRDefault="008A4CE9" w:rsidP="008A4CE9">
      <w:pPr>
        <w:pStyle w:val="Caption"/>
      </w:pPr>
      <w:bookmarkStart w:id="428" w:name="_Toc478721570"/>
      <w:r>
        <w:rPr>
          <w:lang w:val="en-US"/>
        </w:rPr>
        <w:t xml:space="preserve">Table </w:t>
      </w:r>
      <w:r w:rsidR="009E1A78">
        <w:rPr>
          <w:lang w:val="en-US"/>
        </w:rPr>
        <w:t>D4</w:t>
      </w:r>
      <w:r>
        <w:rPr>
          <w:lang w:val="en-US"/>
        </w:rPr>
        <w:t>:</w:t>
      </w:r>
      <w:r>
        <w:rPr>
          <w:lang w:val="en-US"/>
        </w:rPr>
        <w:tab/>
      </w:r>
      <w:r w:rsidR="008C479D" w:rsidRPr="008C479D">
        <w:rPr>
          <w:lang w:val="en-US"/>
        </w:rPr>
        <w:t>Top</w:t>
      </w:r>
      <w:r w:rsidR="008C479D" w:rsidRPr="00E52BC8">
        <w:t xml:space="preserve"> </w:t>
      </w:r>
      <w:r w:rsidR="006214F6" w:rsidRPr="008C479D">
        <w:rPr>
          <w:lang w:val="en-US"/>
        </w:rPr>
        <w:t>10 same day item combinations - item 11506 with other MBS items, 2014-15</w:t>
      </w:r>
      <w:bookmarkEnd w:id="428"/>
    </w:p>
    <w:tbl>
      <w:tblPr>
        <w:tblW w:w="9072" w:type="dxa"/>
        <w:tblBorders>
          <w:top w:val="single" w:sz="4" w:space="0" w:color="B56011"/>
          <w:bottom w:val="single" w:sz="4" w:space="0" w:color="B56011"/>
          <w:insideH w:val="single" w:sz="4" w:space="0" w:color="B56011"/>
        </w:tblBorders>
        <w:tblLook w:val="04A0" w:firstRow="1" w:lastRow="0" w:firstColumn="1" w:lastColumn="0" w:noHBand="0" w:noVBand="1"/>
        <w:tblDescription w:val="Table D4 provides the number of episodes, the number of services, the percentage of total episodes and a description of the episode for top 10 same day item combinations that included item 11506 in 2014-15."/>
      </w:tblPr>
      <w:tblGrid>
        <w:gridCol w:w="1267"/>
        <w:gridCol w:w="1405"/>
        <w:gridCol w:w="1105"/>
        <w:gridCol w:w="1106"/>
        <w:gridCol w:w="4189"/>
      </w:tblGrid>
      <w:tr w:rsidR="006214F6" w:rsidRPr="008F0B2B" w14:paraId="760B85D9" w14:textId="77777777" w:rsidTr="00BD570B">
        <w:trPr>
          <w:trHeight w:val="676"/>
          <w:tblHeader/>
        </w:trPr>
        <w:tc>
          <w:tcPr>
            <w:tcW w:w="1162" w:type="dxa"/>
            <w:shd w:val="clear" w:color="auto" w:fill="auto"/>
            <w:hideMark/>
          </w:tcPr>
          <w:p w14:paraId="701DB19A" w14:textId="77777777" w:rsidR="006214F6" w:rsidRPr="008F0B2B" w:rsidRDefault="006214F6" w:rsidP="0089666D">
            <w:pPr>
              <w:pStyle w:val="Tableheading"/>
            </w:pPr>
            <w:r w:rsidRPr="008F0B2B">
              <w:t>Item combination</w:t>
            </w:r>
          </w:p>
        </w:tc>
        <w:tc>
          <w:tcPr>
            <w:tcW w:w="1419" w:type="dxa"/>
            <w:shd w:val="clear" w:color="auto" w:fill="auto"/>
            <w:hideMark/>
          </w:tcPr>
          <w:p w14:paraId="3E3345F3" w14:textId="77777777" w:rsidR="006214F6" w:rsidRPr="008F0B2B" w:rsidRDefault="006214F6" w:rsidP="0089666D">
            <w:pPr>
              <w:pStyle w:val="Tableheading"/>
            </w:pPr>
            <w:r w:rsidRPr="008F0B2B">
              <w:t>Number of Episodes</w:t>
            </w:r>
          </w:p>
        </w:tc>
        <w:tc>
          <w:tcPr>
            <w:tcW w:w="1111" w:type="dxa"/>
            <w:shd w:val="clear" w:color="auto" w:fill="auto"/>
            <w:hideMark/>
          </w:tcPr>
          <w:p w14:paraId="500F4F6C" w14:textId="77777777" w:rsidR="006214F6" w:rsidRPr="008F0B2B" w:rsidRDefault="006214F6" w:rsidP="0089666D">
            <w:pPr>
              <w:pStyle w:val="Tableheading"/>
            </w:pPr>
            <w:r w:rsidRPr="008F0B2B">
              <w:t>Number of services</w:t>
            </w:r>
          </w:p>
        </w:tc>
        <w:tc>
          <w:tcPr>
            <w:tcW w:w="1111" w:type="dxa"/>
            <w:shd w:val="clear" w:color="auto" w:fill="auto"/>
            <w:hideMark/>
          </w:tcPr>
          <w:p w14:paraId="7666BB65" w14:textId="77777777" w:rsidR="006214F6" w:rsidRPr="008F0B2B" w:rsidRDefault="006214F6" w:rsidP="0089666D">
            <w:pPr>
              <w:pStyle w:val="Tableheading"/>
            </w:pPr>
            <w:r w:rsidRPr="008F0B2B">
              <w:t>% of total episodes</w:t>
            </w:r>
          </w:p>
        </w:tc>
        <w:tc>
          <w:tcPr>
            <w:tcW w:w="4269" w:type="dxa"/>
            <w:shd w:val="clear" w:color="auto" w:fill="auto"/>
            <w:hideMark/>
          </w:tcPr>
          <w:p w14:paraId="5E3017BD" w14:textId="77777777" w:rsidR="006214F6" w:rsidRPr="008F0B2B" w:rsidRDefault="006214F6" w:rsidP="0089666D">
            <w:pPr>
              <w:pStyle w:val="Tableheading"/>
            </w:pPr>
            <w:r w:rsidRPr="008F0B2B">
              <w:t>Description of episodes</w:t>
            </w:r>
          </w:p>
        </w:tc>
      </w:tr>
      <w:tr w:rsidR="006214F6" w:rsidRPr="00DE2D18" w14:paraId="62C2C059" w14:textId="77777777" w:rsidTr="00BD570B">
        <w:trPr>
          <w:trHeight w:val="466"/>
        </w:trPr>
        <w:tc>
          <w:tcPr>
            <w:tcW w:w="1162" w:type="dxa"/>
            <w:shd w:val="clear" w:color="auto" w:fill="auto"/>
          </w:tcPr>
          <w:p w14:paraId="331ACE05" w14:textId="77777777" w:rsidR="006214F6" w:rsidRPr="00CC2025" w:rsidRDefault="006214F6" w:rsidP="003C25D3">
            <w:pPr>
              <w:pStyle w:val="StyleTabletext10pt"/>
            </w:pPr>
            <w:r w:rsidRPr="00CC2025">
              <w:t>11506</w:t>
            </w:r>
          </w:p>
        </w:tc>
        <w:tc>
          <w:tcPr>
            <w:tcW w:w="1419" w:type="dxa"/>
            <w:shd w:val="clear" w:color="auto" w:fill="auto"/>
          </w:tcPr>
          <w:p w14:paraId="265E56C8" w14:textId="77777777" w:rsidR="006214F6" w:rsidRPr="00CC2025" w:rsidRDefault="006214F6" w:rsidP="003C25D3">
            <w:pPr>
              <w:pStyle w:val="StyleTabletext10pt"/>
            </w:pPr>
            <w:r w:rsidRPr="00CC2025">
              <w:t>292,504</w:t>
            </w:r>
          </w:p>
        </w:tc>
        <w:tc>
          <w:tcPr>
            <w:tcW w:w="1111" w:type="dxa"/>
            <w:shd w:val="clear" w:color="auto" w:fill="auto"/>
          </w:tcPr>
          <w:p w14:paraId="0C33FCA5" w14:textId="77777777" w:rsidR="006214F6" w:rsidRPr="00CC2025" w:rsidRDefault="006214F6" w:rsidP="003C25D3">
            <w:pPr>
              <w:pStyle w:val="StyleTabletext10pt"/>
            </w:pPr>
            <w:r w:rsidRPr="00CC2025">
              <w:t>292,941</w:t>
            </w:r>
          </w:p>
        </w:tc>
        <w:tc>
          <w:tcPr>
            <w:tcW w:w="1111" w:type="dxa"/>
            <w:shd w:val="clear" w:color="auto" w:fill="auto"/>
          </w:tcPr>
          <w:p w14:paraId="416FEC15" w14:textId="77777777" w:rsidR="006214F6" w:rsidRPr="00CC2025" w:rsidRDefault="006214F6" w:rsidP="003C25D3">
            <w:pPr>
              <w:pStyle w:val="StyleTabletext10pt"/>
            </w:pPr>
            <w:r w:rsidRPr="00CC2025">
              <w:t>54%</w:t>
            </w:r>
          </w:p>
        </w:tc>
        <w:tc>
          <w:tcPr>
            <w:tcW w:w="4269" w:type="dxa"/>
            <w:shd w:val="clear" w:color="auto" w:fill="auto"/>
          </w:tcPr>
          <w:p w14:paraId="7DC0A68F" w14:textId="77777777" w:rsidR="006214F6" w:rsidRPr="00CC2025" w:rsidRDefault="006214F6" w:rsidP="003C25D3">
            <w:pPr>
              <w:pStyle w:val="StyleTabletext10pt"/>
            </w:pPr>
            <w:r w:rsidRPr="00CC2025">
              <w:t>Measurement of respiratory function after bronchodilator only</w:t>
            </w:r>
          </w:p>
        </w:tc>
      </w:tr>
      <w:tr w:rsidR="006214F6" w:rsidRPr="00DE2D18" w14:paraId="12EA639D" w14:textId="77777777" w:rsidTr="00BD570B">
        <w:trPr>
          <w:trHeight w:val="416"/>
        </w:trPr>
        <w:tc>
          <w:tcPr>
            <w:tcW w:w="1162" w:type="dxa"/>
            <w:shd w:val="clear" w:color="auto" w:fill="auto"/>
          </w:tcPr>
          <w:p w14:paraId="6459EEAC" w14:textId="77777777" w:rsidR="006214F6" w:rsidRPr="00CC2025" w:rsidRDefault="006214F6" w:rsidP="003C25D3">
            <w:pPr>
              <w:pStyle w:val="StyleTabletext10pt"/>
            </w:pPr>
            <w:r w:rsidRPr="00CC2025">
              <w:t>11506, 00023</w:t>
            </w:r>
          </w:p>
        </w:tc>
        <w:tc>
          <w:tcPr>
            <w:tcW w:w="1419" w:type="dxa"/>
            <w:shd w:val="clear" w:color="auto" w:fill="auto"/>
          </w:tcPr>
          <w:p w14:paraId="69261C3E" w14:textId="77777777" w:rsidR="006214F6" w:rsidRPr="00CC2025" w:rsidRDefault="006214F6" w:rsidP="003C25D3">
            <w:pPr>
              <w:pStyle w:val="StyleTabletext10pt"/>
            </w:pPr>
            <w:r w:rsidRPr="00CC2025">
              <w:t>85,177</w:t>
            </w:r>
          </w:p>
        </w:tc>
        <w:tc>
          <w:tcPr>
            <w:tcW w:w="1111" w:type="dxa"/>
            <w:shd w:val="clear" w:color="auto" w:fill="auto"/>
          </w:tcPr>
          <w:p w14:paraId="7616559B" w14:textId="77777777" w:rsidR="006214F6" w:rsidRPr="00CC2025" w:rsidRDefault="006214F6" w:rsidP="003C25D3">
            <w:pPr>
              <w:pStyle w:val="StyleTabletext10pt"/>
            </w:pPr>
            <w:r w:rsidRPr="00CC2025">
              <w:t>170,865</w:t>
            </w:r>
          </w:p>
        </w:tc>
        <w:tc>
          <w:tcPr>
            <w:tcW w:w="1111" w:type="dxa"/>
            <w:shd w:val="clear" w:color="auto" w:fill="auto"/>
          </w:tcPr>
          <w:p w14:paraId="51DF0867" w14:textId="77777777" w:rsidR="006214F6" w:rsidRPr="00CC2025" w:rsidRDefault="006214F6" w:rsidP="003C25D3">
            <w:pPr>
              <w:pStyle w:val="StyleTabletext10pt"/>
            </w:pPr>
            <w:r w:rsidRPr="00CC2025">
              <w:t>16%</w:t>
            </w:r>
          </w:p>
        </w:tc>
        <w:tc>
          <w:tcPr>
            <w:tcW w:w="4269" w:type="dxa"/>
            <w:shd w:val="clear" w:color="auto" w:fill="auto"/>
          </w:tcPr>
          <w:p w14:paraId="7452433D" w14:textId="77777777" w:rsidR="006214F6" w:rsidRPr="00CC2025" w:rsidRDefault="006214F6" w:rsidP="003C25D3">
            <w:pPr>
              <w:pStyle w:val="StyleTabletext10pt"/>
            </w:pPr>
            <w:r w:rsidRPr="00CC2025">
              <w:t>Measurement of respiratory function after bronchodilator &amp; Level B GP consultation</w:t>
            </w:r>
          </w:p>
        </w:tc>
      </w:tr>
      <w:tr w:rsidR="006214F6" w:rsidRPr="00DE2D18" w14:paraId="6460392D" w14:textId="77777777" w:rsidTr="00BD570B">
        <w:trPr>
          <w:trHeight w:val="508"/>
        </w:trPr>
        <w:tc>
          <w:tcPr>
            <w:tcW w:w="1162" w:type="dxa"/>
            <w:shd w:val="clear" w:color="auto" w:fill="auto"/>
          </w:tcPr>
          <w:p w14:paraId="44FC399A" w14:textId="77777777" w:rsidR="006214F6" w:rsidRPr="00CC2025" w:rsidRDefault="006214F6" w:rsidP="003C25D3">
            <w:pPr>
              <w:pStyle w:val="StyleTabletext10pt"/>
            </w:pPr>
            <w:r w:rsidRPr="00CC2025">
              <w:t>11506, 00036</w:t>
            </w:r>
          </w:p>
        </w:tc>
        <w:tc>
          <w:tcPr>
            <w:tcW w:w="1419" w:type="dxa"/>
            <w:shd w:val="clear" w:color="auto" w:fill="auto"/>
          </w:tcPr>
          <w:p w14:paraId="1B3AB24C" w14:textId="77777777" w:rsidR="006214F6" w:rsidRPr="00CC2025" w:rsidRDefault="006214F6" w:rsidP="003C25D3">
            <w:pPr>
              <w:pStyle w:val="StyleTabletext10pt"/>
            </w:pPr>
            <w:r w:rsidRPr="00CC2025">
              <w:t>46,525</w:t>
            </w:r>
          </w:p>
        </w:tc>
        <w:tc>
          <w:tcPr>
            <w:tcW w:w="1111" w:type="dxa"/>
            <w:shd w:val="clear" w:color="auto" w:fill="auto"/>
          </w:tcPr>
          <w:p w14:paraId="35D6CFEC" w14:textId="77777777" w:rsidR="006214F6" w:rsidRPr="00CC2025" w:rsidRDefault="006214F6" w:rsidP="003C25D3">
            <w:pPr>
              <w:pStyle w:val="StyleTabletext10pt"/>
            </w:pPr>
            <w:r w:rsidRPr="00CC2025">
              <w:t>93,217</w:t>
            </w:r>
          </w:p>
        </w:tc>
        <w:tc>
          <w:tcPr>
            <w:tcW w:w="1111" w:type="dxa"/>
            <w:shd w:val="clear" w:color="auto" w:fill="auto"/>
          </w:tcPr>
          <w:p w14:paraId="0CF36110" w14:textId="77777777" w:rsidR="006214F6" w:rsidRPr="00CC2025" w:rsidRDefault="006214F6" w:rsidP="003C25D3">
            <w:pPr>
              <w:pStyle w:val="StyleTabletext10pt"/>
            </w:pPr>
            <w:r w:rsidRPr="00CC2025">
              <w:t>9%</w:t>
            </w:r>
          </w:p>
        </w:tc>
        <w:tc>
          <w:tcPr>
            <w:tcW w:w="4269" w:type="dxa"/>
            <w:shd w:val="clear" w:color="auto" w:fill="auto"/>
          </w:tcPr>
          <w:p w14:paraId="6FDF4B7F" w14:textId="77777777" w:rsidR="006214F6" w:rsidRPr="00CC2025" w:rsidRDefault="006214F6" w:rsidP="003C25D3">
            <w:pPr>
              <w:pStyle w:val="StyleTabletext10pt"/>
            </w:pPr>
            <w:r w:rsidRPr="00CC2025">
              <w:t>Measurement of respiratory function after bronchodilator &amp; Level C GP consultation</w:t>
            </w:r>
          </w:p>
        </w:tc>
      </w:tr>
      <w:tr w:rsidR="006214F6" w:rsidRPr="00D7716C" w14:paraId="49DE585D" w14:textId="77777777" w:rsidTr="00BD570B">
        <w:trPr>
          <w:trHeight w:val="676"/>
        </w:trPr>
        <w:tc>
          <w:tcPr>
            <w:tcW w:w="1162" w:type="dxa"/>
            <w:shd w:val="clear" w:color="auto" w:fill="auto"/>
          </w:tcPr>
          <w:p w14:paraId="5A7E5EDE" w14:textId="77777777" w:rsidR="006214F6" w:rsidRPr="00CC2025" w:rsidRDefault="006214F6" w:rsidP="003C25D3">
            <w:pPr>
              <w:pStyle w:val="StyleTabletext10pt"/>
            </w:pPr>
            <w:r w:rsidRPr="00CC2025">
              <w:t>11506, 00116</w:t>
            </w:r>
          </w:p>
        </w:tc>
        <w:tc>
          <w:tcPr>
            <w:tcW w:w="1419" w:type="dxa"/>
            <w:shd w:val="clear" w:color="auto" w:fill="auto"/>
          </w:tcPr>
          <w:p w14:paraId="3D0A5D97" w14:textId="77777777" w:rsidR="006214F6" w:rsidRPr="00CC2025" w:rsidRDefault="006214F6" w:rsidP="003C25D3">
            <w:pPr>
              <w:pStyle w:val="StyleTabletext10pt"/>
            </w:pPr>
            <w:r w:rsidRPr="00CC2025">
              <w:t>21,222</w:t>
            </w:r>
          </w:p>
        </w:tc>
        <w:tc>
          <w:tcPr>
            <w:tcW w:w="1111" w:type="dxa"/>
            <w:shd w:val="clear" w:color="auto" w:fill="auto"/>
          </w:tcPr>
          <w:p w14:paraId="51B535C2" w14:textId="77777777" w:rsidR="006214F6" w:rsidRPr="00CC2025" w:rsidRDefault="006214F6" w:rsidP="003C25D3">
            <w:pPr>
              <w:pStyle w:val="StyleTabletext10pt"/>
            </w:pPr>
            <w:r w:rsidRPr="00CC2025">
              <w:t>42,455</w:t>
            </w:r>
          </w:p>
        </w:tc>
        <w:tc>
          <w:tcPr>
            <w:tcW w:w="1111" w:type="dxa"/>
            <w:shd w:val="clear" w:color="auto" w:fill="auto"/>
          </w:tcPr>
          <w:p w14:paraId="2FDC2D64" w14:textId="77777777" w:rsidR="006214F6" w:rsidRPr="00CC2025" w:rsidRDefault="006214F6" w:rsidP="003C25D3">
            <w:pPr>
              <w:pStyle w:val="StyleTabletext10pt"/>
            </w:pPr>
            <w:r w:rsidRPr="00CC2025">
              <w:t>4%</w:t>
            </w:r>
          </w:p>
        </w:tc>
        <w:tc>
          <w:tcPr>
            <w:tcW w:w="4269" w:type="dxa"/>
            <w:shd w:val="clear" w:color="auto" w:fill="auto"/>
          </w:tcPr>
          <w:p w14:paraId="2CC62DF8" w14:textId="77777777" w:rsidR="006214F6" w:rsidRPr="00CC2025" w:rsidRDefault="006214F6" w:rsidP="003C25D3">
            <w:pPr>
              <w:pStyle w:val="StyleTabletext10pt"/>
            </w:pPr>
            <w:r w:rsidRPr="00CC2025">
              <w:t>Measurement of respiratory function after bronchodilator &amp;</w:t>
            </w:r>
            <w:r w:rsidRPr="00CC2025">
              <w:rPr>
                <w:rFonts w:eastAsiaTheme="minorHAnsi"/>
              </w:rPr>
              <w:t xml:space="preserve"> subsequent consultant physician consultation</w:t>
            </w:r>
          </w:p>
        </w:tc>
      </w:tr>
      <w:tr w:rsidR="006214F6" w:rsidRPr="00D7716C" w14:paraId="76458229" w14:textId="77777777" w:rsidTr="00BD570B">
        <w:trPr>
          <w:trHeight w:val="676"/>
        </w:trPr>
        <w:tc>
          <w:tcPr>
            <w:tcW w:w="1162" w:type="dxa"/>
            <w:shd w:val="clear" w:color="auto" w:fill="auto"/>
          </w:tcPr>
          <w:p w14:paraId="71F0B662" w14:textId="77777777" w:rsidR="006214F6" w:rsidRPr="00CC2025" w:rsidRDefault="006214F6" w:rsidP="003C25D3">
            <w:pPr>
              <w:pStyle w:val="StyleTabletext10pt"/>
            </w:pPr>
            <w:r w:rsidRPr="00CC2025">
              <w:lastRenderedPageBreak/>
              <w:t>11506, 00110</w:t>
            </w:r>
          </w:p>
        </w:tc>
        <w:tc>
          <w:tcPr>
            <w:tcW w:w="1419" w:type="dxa"/>
            <w:shd w:val="clear" w:color="auto" w:fill="auto"/>
          </w:tcPr>
          <w:p w14:paraId="3A91BC32" w14:textId="77777777" w:rsidR="006214F6" w:rsidRPr="00CC2025" w:rsidRDefault="006214F6" w:rsidP="003C25D3">
            <w:pPr>
              <w:pStyle w:val="StyleTabletext10pt"/>
            </w:pPr>
            <w:r w:rsidRPr="00CC2025">
              <w:t>10,697</w:t>
            </w:r>
          </w:p>
        </w:tc>
        <w:tc>
          <w:tcPr>
            <w:tcW w:w="1111" w:type="dxa"/>
            <w:shd w:val="clear" w:color="auto" w:fill="auto"/>
          </w:tcPr>
          <w:p w14:paraId="03EDA7E7" w14:textId="77777777" w:rsidR="006214F6" w:rsidRPr="00CC2025" w:rsidRDefault="006214F6" w:rsidP="003C25D3">
            <w:pPr>
              <w:pStyle w:val="StyleTabletext10pt"/>
            </w:pPr>
            <w:r w:rsidRPr="00CC2025">
              <w:t>21,395</w:t>
            </w:r>
          </w:p>
        </w:tc>
        <w:tc>
          <w:tcPr>
            <w:tcW w:w="1111" w:type="dxa"/>
            <w:shd w:val="clear" w:color="auto" w:fill="auto"/>
          </w:tcPr>
          <w:p w14:paraId="4F4F054F" w14:textId="77777777" w:rsidR="006214F6" w:rsidRPr="00CC2025" w:rsidRDefault="006214F6" w:rsidP="003C25D3">
            <w:pPr>
              <w:pStyle w:val="StyleTabletext10pt"/>
            </w:pPr>
            <w:r w:rsidRPr="00CC2025">
              <w:t>2%</w:t>
            </w:r>
          </w:p>
        </w:tc>
        <w:tc>
          <w:tcPr>
            <w:tcW w:w="4269" w:type="dxa"/>
            <w:shd w:val="clear" w:color="auto" w:fill="auto"/>
          </w:tcPr>
          <w:p w14:paraId="258B90FA" w14:textId="77777777" w:rsidR="006214F6" w:rsidRPr="00CC2025" w:rsidRDefault="006214F6" w:rsidP="003C25D3">
            <w:pPr>
              <w:pStyle w:val="StyleTabletext10pt"/>
            </w:pPr>
            <w:r w:rsidRPr="00CC2025">
              <w:t xml:space="preserve">Measurement of respiratory function after bronchodilator &amp; </w:t>
            </w:r>
            <w:r w:rsidRPr="00CC2025">
              <w:rPr>
                <w:rFonts w:eastAsiaTheme="minorHAnsi"/>
              </w:rPr>
              <w:t>initial consultant physician consultation</w:t>
            </w:r>
          </w:p>
        </w:tc>
      </w:tr>
      <w:tr w:rsidR="006214F6" w:rsidRPr="00D7716C" w14:paraId="2426350A" w14:textId="77777777" w:rsidTr="00BD570B">
        <w:trPr>
          <w:trHeight w:val="436"/>
        </w:trPr>
        <w:tc>
          <w:tcPr>
            <w:tcW w:w="1162" w:type="dxa"/>
            <w:shd w:val="clear" w:color="auto" w:fill="auto"/>
          </w:tcPr>
          <w:p w14:paraId="639F59B3" w14:textId="77777777" w:rsidR="006214F6" w:rsidRPr="00CC2025" w:rsidRDefault="006214F6" w:rsidP="003C25D3">
            <w:pPr>
              <w:pStyle w:val="StyleTabletext10pt"/>
            </w:pPr>
            <w:r w:rsidRPr="00CC2025">
              <w:t>11700, 11506</w:t>
            </w:r>
          </w:p>
        </w:tc>
        <w:tc>
          <w:tcPr>
            <w:tcW w:w="1419" w:type="dxa"/>
            <w:shd w:val="clear" w:color="auto" w:fill="auto"/>
          </w:tcPr>
          <w:p w14:paraId="73411D23" w14:textId="77777777" w:rsidR="006214F6" w:rsidRPr="00CC2025" w:rsidRDefault="006214F6" w:rsidP="003C25D3">
            <w:pPr>
              <w:pStyle w:val="StyleTabletext10pt"/>
            </w:pPr>
            <w:r w:rsidRPr="00CC2025">
              <w:t>10,111</w:t>
            </w:r>
          </w:p>
        </w:tc>
        <w:tc>
          <w:tcPr>
            <w:tcW w:w="1111" w:type="dxa"/>
            <w:shd w:val="clear" w:color="auto" w:fill="auto"/>
          </w:tcPr>
          <w:p w14:paraId="2407C43F" w14:textId="77777777" w:rsidR="006214F6" w:rsidRPr="00CC2025" w:rsidRDefault="006214F6" w:rsidP="003C25D3">
            <w:pPr>
              <w:pStyle w:val="StyleTabletext10pt"/>
            </w:pPr>
            <w:r w:rsidRPr="00CC2025">
              <w:t>20,251</w:t>
            </w:r>
          </w:p>
        </w:tc>
        <w:tc>
          <w:tcPr>
            <w:tcW w:w="1111" w:type="dxa"/>
            <w:shd w:val="clear" w:color="auto" w:fill="auto"/>
          </w:tcPr>
          <w:p w14:paraId="59007A87" w14:textId="77777777" w:rsidR="006214F6" w:rsidRPr="00CC2025" w:rsidRDefault="006214F6" w:rsidP="003C25D3">
            <w:pPr>
              <w:pStyle w:val="StyleTabletext10pt"/>
            </w:pPr>
            <w:r w:rsidRPr="00CC2025">
              <w:t>2%</w:t>
            </w:r>
          </w:p>
        </w:tc>
        <w:tc>
          <w:tcPr>
            <w:tcW w:w="4269" w:type="dxa"/>
            <w:shd w:val="clear" w:color="auto" w:fill="auto"/>
          </w:tcPr>
          <w:p w14:paraId="02697E7D" w14:textId="77777777" w:rsidR="006214F6" w:rsidRPr="00CC2025" w:rsidRDefault="006214F6" w:rsidP="003C25D3">
            <w:pPr>
              <w:pStyle w:val="StyleTabletext10pt"/>
            </w:pPr>
            <w:r w:rsidRPr="00CC2025">
              <w:t>Measurement of respiratory function after bronchodilator &amp; 12 lead ECG</w:t>
            </w:r>
          </w:p>
        </w:tc>
      </w:tr>
      <w:tr w:rsidR="006214F6" w:rsidRPr="00D7716C" w14:paraId="05816902" w14:textId="77777777" w:rsidTr="00BD570B">
        <w:trPr>
          <w:trHeight w:val="542"/>
        </w:trPr>
        <w:tc>
          <w:tcPr>
            <w:tcW w:w="1162" w:type="dxa"/>
            <w:shd w:val="clear" w:color="auto" w:fill="auto"/>
          </w:tcPr>
          <w:p w14:paraId="68CD79E1" w14:textId="77777777" w:rsidR="006214F6" w:rsidRPr="00CC2025" w:rsidRDefault="006214F6" w:rsidP="003C25D3">
            <w:pPr>
              <w:pStyle w:val="StyleTabletext10pt"/>
            </w:pPr>
            <w:r w:rsidRPr="00CC2025">
              <w:t>11700, 11506, 00036</w:t>
            </w:r>
          </w:p>
        </w:tc>
        <w:tc>
          <w:tcPr>
            <w:tcW w:w="1419" w:type="dxa"/>
            <w:shd w:val="clear" w:color="auto" w:fill="auto"/>
          </w:tcPr>
          <w:p w14:paraId="2DC994E4" w14:textId="77777777" w:rsidR="006214F6" w:rsidRPr="00CC2025" w:rsidRDefault="006214F6" w:rsidP="003C25D3">
            <w:pPr>
              <w:pStyle w:val="StyleTabletext10pt"/>
            </w:pPr>
            <w:r w:rsidRPr="00CC2025">
              <w:t>9,803</w:t>
            </w:r>
          </w:p>
        </w:tc>
        <w:tc>
          <w:tcPr>
            <w:tcW w:w="1111" w:type="dxa"/>
            <w:shd w:val="clear" w:color="auto" w:fill="auto"/>
          </w:tcPr>
          <w:p w14:paraId="2961B4BD" w14:textId="77777777" w:rsidR="006214F6" w:rsidRPr="00CC2025" w:rsidRDefault="006214F6" w:rsidP="003C25D3">
            <w:pPr>
              <w:pStyle w:val="StyleTabletext10pt"/>
            </w:pPr>
            <w:r w:rsidRPr="00CC2025">
              <w:t>29,436</w:t>
            </w:r>
          </w:p>
        </w:tc>
        <w:tc>
          <w:tcPr>
            <w:tcW w:w="1111" w:type="dxa"/>
            <w:shd w:val="clear" w:color="auto" w:fill="auto"/>
          </w:tcPr>
          <w:p w14:paraId="245F7C32" w14:textId="77777777" w:rsidR="006214F6" w:rsidRPr="00CC2025" w:rsidRDefault="006214F6" w:rsidP="003C25D3">
            <w:pPr>
              <w:pStyle w:val="StyleTabletext10pt"/>
            </w:pPr>
            <w:r w:rsidRPr="00CC2025">
              <w:t>2%</w:t>
            </w:r>
          </w:p>
        </w:tc>
        <w:tc>
          <w:tcPr>
            <w:tcW w:w="4269" w:type="dxa"/>
            <w:shd w:val="clear" w:color="auto" w:fill="auto"/>
          </w:tcPr>
          <w:p w14:paraId="7E2C5337" w14:textId="77777777" w:rsidR="006214F6" w:rsidRPr="00CC2025" w:rsidRDefault="006214F6" w:rsidP="003C25D3">
            <w:pPr>
              <w:pStyle w:val="StyleTabletext10pt"/>
            </w:pPr>
            <w:r w:rsidRPr="00CC2025">
              <w:t>Measurement of respiratory function after bronchodilator, 12 lead ECG &amp; Level C GP consultation</w:t>
            </w:r>
          </w:p>
        </w:tc>
      </w:tr>
      <w:tr w:rsidR="006214F6" w:rsidRPr="00D7716C" w14:paraId="7305E786" w14:textId="77777777" w:rsidTr="00BD570B">
        <w:trPr>
          <w:trHeight w:val="676"/>
        </w:trPr>
        <w:tc>
          <w:tcPr>
            <w:tcW w:w="1162" w:type="dxa"/>
            <w:shd w:val="clear" w:color="auto" w:fill="auto"/>
          </w:tcPr>
          <w:p w14:paraId="50A6274D" w14:textId="77777777" w:rsidR="006214F6" w:rsidRPr="00CC2025" w:rsidRDefault="006214F6" w:rsidP="003C25D3">
            <w:pPr>
              <w:pStyle w:val="StyleTabletext10pt"/>
            </w:pPr>
            <w:r w:rsidRPr="00CC2025">
              <w:t>11506, 00721</w:t>
            </w:r>
          </w:p>
        </w:tc>
        <w:tc>
          <w:tcPr>
            <w:tcW w:w="1419" w:type="dxa"/>
            <w:shd w:val="clear" w:color="auto" w:fill="auto"/>
          </w:tcPr>
          <w:p w14:paraId="113E89F2" w14:textId="77777777" w:rsidR="006214F6" w:rsidRPr="00CC2025" w:rsidRDefault="006214F6" w:rsidP="003C25D3">
            <w:pPr>
              <w:pStyle w:val="StyleTabletext10pt"/>
            </w:pPr>
            <w:r w:rsidRPr="00CC2025">
              <w:t>9,226</w:t>
            </w:r>
          </w:p>
        </w:tc>
        <w:tc>
          <w:tcPr>
            <w:tcW w:w="1111" w:type="dxa"/>
            <w:shd w:val="clear" w:color="auto" w:fill="auto"/>
          </w:tcPr>
          <w:p w14:paraId="273EBBA4" w14:textId="77777777" w:rsidR="006214F6" w:rsidRPr="00CC2025" w:rsidRDefault="006214F6" w:rsidP="003C25D3">
            <w:pPr>
              <w:pStyle w:val="StyleTabletext10pt"/>
            </w:pPr>
            <w:r w:rsidRPr="00CC2025">
              <w:t>18,476</w:t>
            </w:r>
          </w:p>
        </w:tc>
        <w:tc>
          <w:tcPr>
            <w:tcW w:w="1111" w:type="dxa"/>
            <w:shd w:val="clear" w:color="auto" w:fill="auto"/>
          </w:tcPr>
          <w:p w14:paraId="2CB15B4B" w14:textId="77777777" w:rsidR="006214F6" w:rsidRPr="00CC2025" w:rsidRDefault="006214F6" w:rsidP="003C25D3">
            <w:pPr>
              <w:pStyle w:val="StyleTabletext10pt"/>
            </w:pPr>
            <w:r w:rsidRPr="00CC2025">
              <w:t>2%</w:t>
            </w:r>
          </w:p>
        </w:tc>
        <w:tc>
          <w:tcPr>
            <w:tcW w:w="4269" w:type="dxa"/>
            <w:shd w:val="clear" w:color="auto" w:fill="auto"/>
          </w:tcPr>
          <w:p w14:paraId="2B08287C" w14:textId="77777777" w:rsidR="006214F6" w:rsidRPr="00CC2025" w:rsidRDefault="006214F6" w:rsidP="003C25D3">
            <w:pPr>
              <w:pStyle w:val="StyleTabletext10pt"/>
            </w:pPr>
            <w:r w:rsidRPr="00CC2025">
              <w:t>Measurement of respiratory function after bronchodilator &amp; Chronic Disease Management plan</w:t>
            </w:r>
          </w:p>
        </w:tc>
      </w:tr>
      <w:tr w:rsidR="006214F6" w:rsidRPr="00D7716C" w14:paraId="5EF28C1E" w14:textId="77777777" w:rsidTr="00BD570B">
        <w:trPr>
          <w:trHeight w:val="676"/>
        </w:trPr>
        <w:tc>
          <w:tcPr>
            <w:tcW w:w="1162" w:type="dxa"/>
            <w:shd w:val="clear" w:color="auto" w:fill="auto"/>
          </w:tcPr>
          <w:p w14:paraId="448FEEA6" w14:textId="77777777" w:rsidR="006214F6" w:rsidRPr="00CC2025" w:rsidRDefault="006214F6" w:rsidP="003C25D3">
            <w:pPr>
              <w:pStyle w:val="StyleTabletext10pt"/>
            </w:pPr>
            <w:r w:rsidRPr="00CC2025">
              <w:t>11700, 11506, 00023</w:t>
            </w:r>
          </w:p>
        </w:tc>
        <w:tc>
          <w:tcPr>
            <w:tcW w:w="1419" w:type="dxa"/>
            <w:shd w:val="clear" w:color="auto" w:fill="auto"/>
          </w:tcPr>
          <w:p w14:paraId="60C33097" w14:textId="77777777" w:rsidR="006214F6" w:rsidRPr="00CC2025" w:rsidRDefault="006214F6" w:rsidP="003C25D3">
            <w:pPr>
              <w:pStyle w:val="StyleTabletext10pt"/>
            </w:pPr>
            <w:r w:rsidRPr="00CC2025">
              <w:t>8,194</w:t>
            </w:r>
          </w:p>
        </w:tc>
        <w:tc>
          <w:tcPr>
            <w:tcW w:w="1111" w:type="dxa"/>
            <w:shd w:val="clear" w:color="auto" w:fill="auto"/>
          </w:tcPr>
          <w:p w14:paraId="3B2C0C57" w14:textId="77777777" w:rsidR="006214F6" w:rsidRPr="00CC2025" w:rsidRDefault="006214F6" w:rsidP="003C25D3">
            <w:pPr>
              <w:pStyle w:val="StyleTabletext10pt"/>
            </w:pPr>
            <w:r w:rsidRPr="00CC2025">
              <w:t>24,655</w:t>
            </w:r>
          </w:p>
        </w:tc>
        <w:tc>
          <w:tcPr>
            <w:tcW w:w="1111" w:type="dxa"/>
            <w:shd w:val="clear" w:color="auto" w:fill="auto"/>
          </w:tcPr>
          <w:p w14:paraId="23E22645" w14:textId="77777777" w:rsidR="006214F6" w:rsidRPr="00CC2025" w:rsidRDefault="006214F6" w:rsidP="003C25D3">
            <w:pPr>
              <w:pStyle w:val="StyleTabletext10pt"/>
            </w:pPr>
            <w:r w:rsidRPr="00CC2025">
              <w:t>2%</w:t>
            </w:r>
          </w:p>
        </w:tc>
        <w:tc>
          <w:tcPr>
            <w:tcW w:w="4269" w:type="dxa"/>
            <w:shd w:val="clear" w:color="auto" w:fill="auto"/>
          </w:tcPr>
          <w:p w14:paraId="35E2F58A" w14:textId="77777777" w:rsidR="006214F6" w:rsidRPr="00CC2025" w:rsidRDefault="006214F6" w:rsidP="003C25D3">
            <w:pPr>
              <w:pStyle w:val="StyleTabletext10pt"/>
            </w:pPr>
            <w:r w:rsidRPr="00CC2025">
              <w:t>Measurement of respiratory function after bronchodilator, 12 lead ECG &amp; Level B GP consultation</w:t>
            </w:r>
          </w:p>
        </w:tc>
      </w:tr>
      <w:tr w:rsidR="006214F6" w:rsidRPr="00D7716C" w14:paraId="47913F0D" w14:textId="77777777" w:rsidTr="00BD570B">
        <w:trPr>
          <w:trHeight w:val="676"/>
        </w:trPr>
        <w:tc>
          <w:tcPr>
            <w:tcW w:w="1162" w:type="dxa"/>
            <w:shd w:val="clear" w:color="auto" w:fill="auto"/>
          </w:tcPr>
          <w:p w14:paraId="19F644B3" w14:textId="77777777" w:rsidR="006214F6" w:rsidRPr="00CC2025" w:rsidRDefault="006214F6" w:rsidP="003C25D3">
            <w:pPr>
              <w:pStyle w:val="StyleTabletext10pt"/>
            </w:pPr>
            <w:r w:rsidRPr="00CC2025">
              <w:t>11506, 00732</w:t>
            </w:r>
          </w:p>
        </w:tc>
        <w:tc>
          <w:tcPr>
            <w:tcW w:w="1419" w:type="dxa"/>
            <w:shd w:val="clear" w:color="auto" w:fill="auto"/>
          </w:tcPr>
          <w:p w14:paraId="17B64CCA" w14:textId="77777777" w:rsidR="006214F6" w:rsidRPr="00CC2025" w:rsidRDefault="006214F6" w:rsidP="003C25D3">
            <w:pPr>
              <w:pStyle w:val="StyleTabletext10pt"/>
            </w:pPr>
            <w:r w:rsidRPr="00CC2025">
              <w:t>7,800</w:t>
            </w:r>
          </w:p>
        </w:tc>
        <w:tc>
          <w:tcPr>
            <w:tcW w:w="1111" w:type="dxa"/>
            <w:shd w:val="clear" w:color="auto" w:fill="auto"/>
          </w:tcPr>
          <w:p w14:paraId="47AC98FB" w14:textId="77777777" w:rsidR="006214F6" w:rsidRPr="00CC2025" w:rsidRDefault="006214F6" w:rsidP="003C25D3">
            <w:pPr>
              <w:pStyle w:val="StyleTabletext10pt"/>
            </w:pPr>
            <w:r w:rsidRPr="00CC2025">
              <w:t>19,573</w:t>
            </w:r>
          </w:p>
        </w:tc>
        <w:tc>
          <w:tcPr>
            <w:tcW w:w="1111" w:type="dxa"/>
            <w:shd w:val="clear" w:color="auto" w:fill="auto"/>
          </w:tcPr>
          <w:p w14:paraId="4375A67B" w14:textId="77777777" w:rsidR="006214F6" w:rsidRPr="00CC2025" w:rsidRDefault="006214F6" w:rsidP="003C25D3">
            <w:pPr>
              <w:pStyle w:val="StyleTabletext10pt"/>
            </w:pPr>
            <w:r w:rsidRPr="00CC2025">
              <w:t>1%</w:t>
            </w:r>
          </w:p>
        </w:tc>
        <w:tc>
          <w:tcPr>
            <w:tcW w:w="4269" w:type="dxa"/>
            <w:shd w:val="clear" w:color="auto" w:fill="auto"/>
          </w:tcPr>
          <w:p w14:paraId="13809999" w14:textId="77777777" w:rsidR="006214F6" w:rsidRPr="00CC2025" w:rsidRDefault="006214F6" w:rsidP="003C25D3">
            <w:pPr>
              <w:pStyle w:val="StyleTabletext10pt"/>
            </w:pPr>
            <w:r w:rsidRPr="00CC2025">
              <w:t>Measurement of respiratory function after bronchodilator &amp; review Chronic Disease Management plan</w:t>
            </w:r>
          </w:p>
        </w:tc>
      </w:tr>
    </w:tbl>
    <w:p w14:paraId="2A2C9F9B" w14:textId="77777777" w:rsidR="004A278B" w:rsidRPr="00DA5B19" w:rsidRDefault="004A278B" w:rsidP="00DA5B19">
      <w:pPr>
        <w:pStyle w:val="TableUnderLast"/>
      </w:pPr>
      <w:bookmarkStart w:id="429" w:name="_Toc452982153"/>
      <w:bookmarkStart w:id="430" w:name="_Toc456613631"/>
      <w:r w:rsidRPr="00DA5B19">
        <w:t>Unpublished data (Department of Health)</w:t>
      </w:r>
    </w:p>
    <w:p w14:paraId="0CF3B489" w14:textId="77777777" w:rsidR="006214F6" w:rsidRDefault="00D826BE" w:rsidP="00253B22">
      <w:pPr>
        <w:pStyle w:val="Heading2a"/>
      </w:pPr>
      <w:bookmarkStart w:id="431" w:name="_Toc458510027"/>
      <w:bookmarkStart w:id="432" w:name="_Toc458768512"/>
      <w:bookmarkStart w:id="433" w:name="_Toc458768672"/>
      <w:r>
        <w:t xml:space="preserve">MBS </w:t>
      </w:r>
      <w:r w:rsidR="006214F6">
        <w:t xml:space="preserve">Data on </w:t>
      </w:r>
      <w:r w:rsidR="006214F6" w:rsidRPr="00517FC9">
        <w:t>Item 11512 – Spirometry laboratory based</w:t>
      </w:r>
      <w:bookmarkEnd w:id="429"/>
      <w:bookmarkEnd w:id="430"/>
      <w:bookmarkEnd w:id="431"/>
      <w:bookmarkEnd w:id="432"/>
      <w:bookmarkEnd w:id="433"/>
    </w:p>
    <w:p w14:paraId="7C619A39" w14:textId="77777777" w:rsidR="006214F6" w:rsidRPr="00C01DBC" w:rsidRDefault="008A4CE9" w:rsidP="008A4CE9">
      <w:pPr>
        <w:pStyle w:val="Caption"/>
        <w:rPr>
          <w:lang w:val="en-US"/>
        </w:rPr>
      </w:pPr>
      <w:bookmarkStart w:id="434" w:name="_Toc478721571"/>
      <w:r>
        <w:rPr>
          <w:lang w:val="en-US"/>
        </w:rPr>
        <w:t xml:space="preserve">Table </w:t>
      </w:r>
      <w:r w:rsidR="009E1A78">
        <w:rPr>
          <w:lang w:val="en-US"/>
        </w:rPr>
        <w:t>D5</w:t>
      </w:r>
      <w:r>
        <w:rPr>
          <w:lang w:val="en-US"/>
        </w:rPr>
        <w:t>:</w:t>
      </w:r>
      <w:r>
        <w:rPr>
          <w:lang w:val="en-US"/>
        </w:rPr>
        <w:tab/>
      </w:r>
      <w:r w:rsidR="006214F6" w:rsidRPr="00C01DBC">
        <w:rPr>
          <w:lang w:val="en-US"/>
        </w:rPr>
        <w:t>Number of services by age group – 11512, 2014-15</w:t>
      </w:r>
      <w:bookmarkEnd w:id="434"/>
    </w:p>
    <w:tbl>
      <w:tblPr>
        <w:tblW w:w="9072" w:type="dxa"/>
        <w:tblBorders>
          <w:top w:val="single" w:sz="4" w:space="0" w:color="B56011"/>
          <w:bottom w:val="single" w:sz="4" w:space="0" w:color="B56011"/>
          <w:insideH w:val="single" w:sz="4" w:space="0" w:color="B56011"/>
        </w:tblBorders>
        <w:tblLook w:val="04A0" w:firstRow="1" w:lastRow="0" w:firstColumn="1" w:lastColumn="0" w:noHBand="0" w:noVBand="1"/>
      </w:tblPr>
      <w:tblGrid>
        <w:gridCol w:w="3024"/>
        <w:gridCol w:w="3024"/>
        <w:gridCol w:w="3024"/>
      </w:tblGrid>
      <w:tr w:rsidR="006214F6" w:rsidRPr="00FF3267" w14:paraId="14A7B64D" w14:textId="77777777" w:rsidTr="00FF6AB5">
        <w:trPr>
          <w:trHeight w:val="273"/>
          <w:tblHeader/>
        </w:trPr>
        <w:tc>
          <w:tcPr>
            <w:tcW w:w="3024" w:type="dxa"/>
            <w:shd w:val="clear" w:color="auto" w:fill="auto"/>
            <w:hideMark/>
          </w:tcPr>
          <w:p w14:paraId="47666E39" w14:textId="77777777" w:rsidR="006214F6" w:rsidRPr="00A403FC" w:rsidRDefault="006214F6" w:rsidP="0089666D">
            <w:pPr>
              <w:pStyle w:val="Tableheading"/>
              <w:jc w:val="center"/>
            </w:pPr>
            <w:r w:rsidRPr="00A403FC">
              <w:t>Age Group</w:t>
            </w:r>
          </w:p>
        </w:tc>
        <w:tc>
          <w:tcPr>
            <w:tcW w:w="3024" w:type="dxa"/>
            <w:shd w:val="clear" w:color="auto" w:fill="auto"/>
            <w:hideMark/>
          </w:tcPr>
          <w:p w14:paraId="3F9F61BD" w14:textId="77777777" w:rsidR="006214F6" w:rsidRPr="00A403FC" w:rsidRDefault="006214F6" w:rsidP="0089666D">
            <w:pPr>
              <w:pStyle w:val="Tableheading"/>
              <w:jc w:val="center"/>
            </w:pPr>
            <w:r w:rsidRPr="00A403FC">
              <w:t>Number of Services</w:t>
            </w:r>
          </w:p>
        </w:tc>
        <w:tc>
          <w:tcPr>
            <w:tcW w:w="3024" w:type="dxa"/>
            <w:shd w:val="clear" w:color="auto" w:fill="auto"/>
            <w:hideMark/>
          </w:tcPr>
          <w:p w14:paraId="6075721D" w14:textId="77777777" w:rsidR="006214F6" w:rsidRPr="00A403FC" w:rsidRDefault="006214F6" w:rsidP="0089666D">
            <w:pPr>
              <w:pStyle w:val="Tableheading"/>
              <w:jc w:val="center"/>
            </w:pPr>
            <w:r w:rsidRPr="00A403FC">
              <w:t>% provided to the age group</w:t>
            </w:r>
          </w:p>
        </w:tc>
      </w:tr>
      <w:tr w:rsidR="006214F6" w:rsidRPr="00FF3267" w14:paraId="1E78BA36" w14:textId="77777777" w:rsidTr="008F0B2B">
        <w:trPr>
          <w:trHeight w:val="255"/>
        </w:trPr>
        <w:tc>
          <w:tcPr>
            <w:tcW w:w="3024" w:type="dxa"/>
            <w:shd w:val="clear" w:color="auto" w:fill="auto"/>
            <w:noWrap/>
            <w:hideMark/>
          </w:tcPr>
          <w:p w14:paraId="010973CE" w14:textId="77777777" w:rsidR="006214F6" w:rsidRPr="008F0B2B" w:rsidRDefault="006214F6" w:rsidP="008F0B2B">
            <w:pPr>
              <w:pStyle w:val="Tabletext"/>
              <w:spacing w:before="60"/>
              <w:jc w:val="center"/>
              <w:rPr>
                <w:szCs w:val="20"/>
              </w:rPr>
            </w:pPr>
            <w:r w:rsidRPr="008F0B2B">
              <w:rPr>
                <w:szCs w:val="20"/>
              </w:rPr>
              <w:t>0-4</w:t>
            </w:r>
          </w:p>
        </w:tc>
        <w:tc>
          <w:tcPr>
            <w:tcW w:w="3024" w:type="dxa"/>
            <w:shd w:val="clear" w:color="auto" w:fill="auto"/>
            <w:noWrap/>
            <w:hideMark/>
          </w:tcPr>
          <w:p w14:paraId="62AC526B" w14:textId="77777777" w:rsidR="006214F6" w:rsidRPr="008F0B2B" w:rsidRDefault="006214F6" w:rsidP="00E90C0F">
            <w:pPr>
              <w:pStyle w:val="TableTextDecimalAlign"/>
              <w:jc w:val="center"/>
            </w:pPr>
            <w:r w:rsidRPr="008F0B2B">
              <w:t>277</w:t>
            </w:r>
          </w:p>
        </w:tc>
        <w:tc>
          <w:tcPr>
            <w:tcW w:w="3024" w:type="dxa"/>
            <w:shd w:val="clear" w:color="auto" w:fill="auto"/>
            <w:noWrap/>
            <w:hideMark/>
          </w:tcPr>
          <w:p w14:paraId="07E2AFA3" w14:textId="77777777" w:rsidR="006214F6" w:rsidRPr="008F0B2B" w:rsidRDefault="006214F6" w:rsidP="008F0B2B">
            <w:pPr>
              <w:pStyle w:val="Tabletext"/>
              <w:spacing w:before="60"/>
              <w:jc w:val="center"/>
              <w:rPr>
                <w:szCs w:val="20"/>
              </w:rPr>
            </w:pPr>
            <w:r w:rsidRPr="008F0B2B">
              <w:rPr>
                <w:szCs w:val="20"/>
              </w:rPr>
              <w:t>0%</w:t>
            </w:r>
          </w:p>
        </w:tc>
      </w:tr>
      <w:tr w:rsidR="006214F6" w:rsidRPr="00FF3267" w14:paraId="38746A4E" w14:textId="77777777" w:rsidTr="008F0B2B">
        <w:trPr>
          <w:trHeight w:val="255"/>
        </w:trPr>
        <w:tc>
          <w:tcPr>
            <w:tcW w:w="3024" w:type="dxa"/>
            <w:shd w:val="clear" w:color="auto" w:fill="auto"/>
            <w:noWrap/>
            <w:hideMark/>
          </w:tcPr>
          <w:p w14:paraId="188C73B9" w14:textId="77777777" w:rsidR="006214F6" w:rsidRPr="008F0B2B" w:rsidRDefault="006214F6" w:rsidP="008F0B2B">
            <w:pPr>
              <w:pStyle w:val="Tabletext"/>
              <w:spacing w:before="60"/>
              <w:jc w:val="center"/>
              <w:rPr>
                <w:szCs w:val="20"/>
              </w:rPr>
            </w:pPr>
            <w:r w:rsidRPr="008F0B2B">
              <w:rPr>
                <w:szCs w:val="20"/>
              </w:rPr>
              <w:t>5-9</w:t>
            </w:r>
          </w:p>
        </w:tc>
        <w:tc>
          <w:tcPr>
            <w:tcW w:w="3024" w:type="dxa"/>
            <w:shd w:val="clear" w:color="auto" w:fill="auto"/>
            <w:noWrap/>
            <w:hideMark/>
          </w:tcPr>
          <w:p w14:paraId="5F404C55" w14:textId="77777777" w:rsidR="006214F6" w:rsidRPr="008F0B2B" w:rsidRDefault="006214F6" w:rsidP="00E90C0F">
            <w:pPr>
              <w:pStyle w:val="TableTextDecimalAlign"/>
              <w:jc w:val="center"/>
            </w:pPr>
            <w:r w:rsidRPr="008F0B2B">
              <w:t>5,263</w:t>
            </w:r>
          </w:p>
        </w:tc>
        <w:tc>
          <w:tcPr>
            <w:tcW w:w="3024" w:type="dxa"/>
            <w:shd w:val="clear" w:color="auto" w:fill="auto"/>
            <w:noWrap/>
            <w:hideMark/>
          </w:tcPr>
          <w:p w14:paraId="40BD47B3" w14:textId="77777777" w:rsidR="006214F6" w:rsidRPr="008F0B2B" w:rsidRDefault="006214F6" w:rsidP="008F0B2B">
            <w:pPr>
              <w:pStyle w:val="Tabletext"/>
              <w:spacing w:before="60"/>
              <w:jc w:val="center"/>
              <w:rPr>
                <w:szCs w:val="20"/>
              </w:rPr>
            </w:pPr>
            <w:r w:rsidRPr="008F0B2B">
              <w:rPr>
                <w:szCs w:val="20"/>
              </w:rPr>
              <w:t>6%</w:t>
            </w:r>
          </w:p>
        </w:tc>
      </w:tr>
      <w:tr w:rsidR="006214F6" w:rsidRPr="00FF3267" w14:paraId="1EAC373B" w14:textId="77777777" w:rsidTr="008F0B2B">
        <w:trPr>
          <w:trHeight w:val="255"/>
        </w:trPr>
        <w:tc>
          <w:tcPr>
            <w:tcW w:w="3024" w:type="dxa"/>
            <w:shd w:val="clear" w:color="auto" w:fill="auto"/>
            <w:noWrap/>
            <w:hideMark/>
          </w:tcPr>
          <w:p w14:paraId="651F08BA" w14:textId="77777777" w:rsidR="006214F6" w:rsidRPr="008F0B2B" w:rsidRDefault="006214F6" w:rsidP="008F0B2B">
            <w:pPr>
              <w:pStyle w:val="Tabletext"/>
              <w:spacing w:before="60"/>
              <w:jc w:val="center"/>
              <w:rPr>
                <w:szCs w:val="20"/>
              </w:rPr>
            </w:pPr>
            <w:r w:rsidRPr="008F0B2B">
              <w:rPr>
                <w:szCs w:val="20"/>
              </w:rPr>
              <w:t>10-14</w:t>
            </w:r>
          </w:p>
        </w:tc>
        <w:tc>
          <w:tcPr>
            <w:tcW w:w="3024" w:type="dxa"/>
            <w:shd w:val="clear" w:color="auto" w:fill="auto"/>
            <w:noWrap/>
            <w:hideMark/>
          </w:tcPr>
          <w:p w14:paraId="729EB1F7" w14:textId="77777777" w:rsidR="006214F6" w:rsidRPr="008F0B2B" w:rsidRDefault="006214F6" w:rsidP="00E90C0F">
            <w:pPr>
              <w:pStyle w:val="TableTextDecimalAlign"/>
              <w:jc w:val="center"/>
            </w:pPr>
            <w:r w:rsidRPr="008F0B2B">
              <w:t>5,393</w:t>
            </w:r>
          </w:p>
        </w:tc>
        <w:tc>
          <w:tcPr>
            <w:tcW w:w="3024" w:type="dxa"/>
            <w:shd w:val="clear" w:color="auto" w:fill="auto"/>
            <w:noWrap/>
            <w:hideMark/>
          </w:tcPr>
          <w:p w14:paraId="4D1E4E3C" w14:textId="77777777" w:rsidR="006214F6" w:rsidRPr="008F0B2B" w:rsidRDefault="006214F6" w:rsidP="008F0B2B">
            <w:pPr>
              <w:pStyle w:val="Tabletext"/>
              <w:spacing w:before="60"/>
              <w:jc w:val="center"/>
              <w:rPr>
                <w:szCs w:val="20"/>
              </w:rPr>
            </w:pPr>
            <w:r w:rsidRPr="008F0B2B">
              <w:rPr>
                <w:szCs w:val="20"/>
              </w:rPr>
              <w:t>7%</w:t>
            </w:r>
          </w:p>
        </w:tc>
      </w:tr>
      <w:tr w:rsidR="006214F6" w:rsidRPr="00FF3267" w14:paraId="0F8DD502" w14:textId="77777777" w:rsidTr="008F0B2B">
        <w:trPr>
          <w:trHeight w:val="255"/>
        </w:trPr>
        <w:tc>
          <w:tcPr>
            <w:tcW w:w="3024" w:type="dxa"/>
            <w:shd w:val="clear" w:color="auto" w:fill="auto"/>
            <w:noWrap/>
            <w:hideMark/>
          </w:tcPr>
          <w:p w14:paraId="4FCF8755" w14:textId="77777777" w:rsidR="006214F6" w:rsidRPr="008F0B2B" w:rsidRDefault="006214F6" w:rsidP="008F0B2B">
            <w:pPr>
              <w:pStyle w:val="Tabletext"/>
              <w:spacing w:before="60"/>
              <w:jc w:val="center"/>
              <w:rPr>
                <w:szCs w:val="20"/>
              </w:rPr>
            </w:pPr>
            <w:r w:rsidRPr="008F0B2B">
              <w:rPr>
                <w:szCs w:val="20"/>
              </w:rPr>
              <w:t>15-19</w:t>
            </w:r>
          </w:p>
        </w:tc>
        <w:tc>
          <w:tcPr>
            <w:tcW w:w="3024" w:type="dxa"/>
            <w:shd w:val="clear" w:color="auto" w:fill="auto"/>
            <w:noWrap/>
            <w:hideMark/>
          </w:tcPr>
          <w:p w14:paraId="6787AADB" w14:textId="77777777" w:rsidR="006214F6" w:rsidRPr="008F0B2B" w:rsidRDefault="006214F6" w:rsidP="00E90C0F">
            <w:pPr>
              <w:pStyle w:val="TableTextDecimalAlign"/>
              <w:jc w:val="center"/>
            </w:pPr>
            <w:r w:rsidRPr="008F0B2B">
              <w:t>3,118</w:t>
            </w:r>
          </w:p>
        </w:tc>
        <w:tc>
          <w:tcPr>
            <w:tcW w:w="3024" w:type="dxa"/>
            <w:shd w:val="clear" w:color="auto" w:fill="auto"/>
            <w:noWrap/>
            <w:hideMark/>
          </w:tcPr>
          <w:p w14:paraId="5AB291BD" w14:textId="77777777" w:rsidR="006214F6" w:rsidRPr="008F0B2B" w:rsidRDefault="006214F6" w:rsidP="008F0B2B">
            <w:pPr>
              <w:pStyle w:val="Tabletext"/>
              <w:spacing w:before="60"/>
              <w:jc w:val="center"/>
              <w:rPr>
                <w:szCs w:val="20"/>
              </w:rPr>
            </w:pPr>
            <w:r w:rsidRPr="008F0B2B">
              <w:rPr>
                <w:szCs w:val="20"/>
              </w:rPr>
              <w:t>4%</w:t>
            </w:r>
          </w:p>
        </w:tc>
      </w:tr>
      <w:tr w:rsidR="006214F6" w:rsidRPr="00FF3267" w14:paraId="47F2E60F" w14:textId="77777777" w:rsidTr="008F0B2B">
        <w:trPr>
          <w:trHeight w:val="255"/>
        </w:trPr>
        <w:tc>
          <w:tcPr>
            <w:tcW w:w="3024" w:type="dxa"/>
            <w:shd w:val="clear" w:color="auto" w:fill="auto"/>
            <w:noWrap/>
            <w:hideMark/>
          </w:tcPr>
          <w:p w14:paraId="4F315CEE" w14:textId="77777777" w:rsidR="006214F6" w:rsidRPr="008F0B2B" w:rsidRDefault="006214F6" w:rsidP="008F0B2B">
            <w:pPr>
              <w:pStyle w:val="Tabletext"/>
              <w:spacing w:before="60"/>
              <w:jc w:val="center"/>
              <w:rPr>
                <w:szCs w:val="20"/>
              </w:rPr>
            </w:pPr>
            <w:r w:rsidRPr="008F0B2B">
              <w:rPr>
                <w:szCs w:val="20"/>
              </w:rPr>
              <w:t>20-24</w:t>
            </w:r>
          </w:p>
        </w:tc>
        <w:tc>
          <w:tcPr>
            <w:tcW w:w="3024" w:type="dxa"/>
            <w:shd w:val="clear" w:color="auto" w:fill="auto"/>
            <w:noWrap/>
            <w:hideMark/>
          </w:tcPr>
          <w:p w14:paraId="33C700EF" w14:textId="77777777" w:rsidR="006214F6" w:rsidRPr="008F0B2B" w:rsidRDefault="006214F6" w:rsidP="00E90C0F">
            <w:pPr>
              <w:pStyle w:val="TableTextDecimalAlign"/>
              <w:jc w:val="center"/>
            </w:pPr>
            <w:r w:rsidRPr="008F0B2B">
              <w:t>1,739</w:t>
            </w:r>
          </w:p>
        </w:tc>
        <w:tc>
          <w:tcPr>
            <w:tcW w:w="3024" w:type="dxa"/>
            <w:shd w:val="clear" w:color="auto" w:fill="auto"/>
            <w:noWrap/>
            <w:hideMark/>
          </w:tcPr>
          <w:p w14:paraId="747BAEEE" w14:textId="77777777" w:rsidR="006214F6" w:rsidRPr="008F0B2B" w:rsidRDefault="006214F6" w:rsidP="008F0B2B">
            <w:pPr>
              <w:pStyle w:val="Tabletext"/>
              <w:spacing w:before="60"/>
              <w:jc w:val="center"/>
              <w:rPr>
                <w:szCs w:val="20"/>
              </w:rPr>
            </w:pPr>
            <w:r w:rsidRPr="008F0B2B">
              <w:rPr>
                <w:szCs w:val="20"/>
              </w:rPr>
              <w:t>2%</w:t>
            </w:r>
          </w:p>
        </w:tc>
      </w:tr>
      <w:tr w:rsidR="006214F6" w:rsidRPr="00FF3267" w14:paraId="50CB0242" w14:textId="77777777" w:rsidTr="008F0B2B">
        <w:trPr>
          <w:trHeight w:val="255"/>
        </w:trPr>
        <w:tc>
          <w:tcPr>
            <w:tcW w:w="3024" w:type="dxa"/>
            <w:shd w:val="clear" w:color="auto" w:fill="auto"/>
            <w:noWrap/>
            <w:hideMark/>
          </w:tcPr>
          <w:p w14:paraId="4C70A231" w14:textId="77777777" w:rsidR="006214F6" w:rsidRPr="008F0B2B" w:rsidRDefault="006214F6" w:rsidP="008F0B2B">
            <w:pPr>
              <w:pStyle w:val="Tabletext"/>
              <w:spacing w:before="60"/>
              <w:jc w:val="center"/>
              <w:rPr>
                <w:szCs w:val="20"/>
              </w:rPr>
            </w:pPr>
            <w:r w:rsidRPr="008F0B2B">
              <w:rPr>
                <w:szCs w:val="20"/>
              </w:rPr>
              <w:t>25-29</w:t>
            </w:r>
          </w:p>
        </w:tc>
        <w:tc>
          <w:tcPr>
            <w:tcW w:w="3024" w:type="dxa"/>
            <w:shd w:val="clear" w:color="auto" w:fill="auto"/>
            <w:noWrap/>
            <w:hideMark/>
          </w:tcPr>
          <w:p w14:paraId="180B1C5A" w14:textId="77777777" w:rsidR="006214F6" w:rsidRPr="008F0B2B" w:rsidRDefault="006214F6" w:rsidP="00E90C0F">
            <w:pPr>
              <w:pStyle w:val="TableTextDecimalAlign"/>
              <w:jc w:val="center"/>
            </w:pPr>
            <w:r w:rsidRPr="008F0B2B">
              <w:t>1,864</w:t>
            </w:r>
          </w:p>
        </w:tc>
        <w:tc>
          <w:tcPr>
            <w:tcW w:w="3024" w:type="dxa"/>
            <w:shd w:val="clear" w:color="auto" w:fill="auto"/>
            <w:noWrap/>
            <w:hideMark/>
          </w:tcPr>
          <w:p w14:paraId="7D4B6768" w14:textId="77777777" w:rsidR="006214F6" w:rsidRPr="008F0B2B" w:rsidRDefault="006214F6" w:rsidP="008F0B2B">
            <w:pPr>
              <w:pStyle w:val="Tabletext"/>
              <w:spacing w:before="60"/>
              <w:jc w:val="center"/>
              <w:rPr>
                <w:szCs w:val="20"/>
              </w:rPr>
            </w:pPr>
            <w:r w:rsidRPr="008F0B2B">
              <w:rPr>
                <w:szCs w:val="20"/>
              </w:rPr>
              <w:t>2%</w:t>
            </w:r>
          </w:p>
        </w:tc>
      </w:tr>
      <w:tr w:rsidR="006214F6" w:rsidRPr="00FF3267" w14:paraId="71A3CDB4" w14:textId="77777777" w:rsidTr="008F0B2B">
        <w:trPr>
          <w:trHeight w:val="255"/>
        </w:trPr>
        <w:tc>
          <w:tcPr>
            <w:tcW w:w="3024" w:type="dxa"/>
            <w:shd w:val="clear" w:color="auto" w:fill="auto"/>
            <w:noWrap/>
            <w:hideMark/>
          </w:tcPr>
          <w:p w14:paraId="17227306" w14:textId="77777777" w:rsidR="006214F6" w:rsidRPr="008F0B2B" w:rsidRDefault="006214F6" w:rsidP="008F0B2B">
            <w:pPr>
              <w:pStyle w:val="Tabletext"/>
              <w:spacing w:before="60"/>
              <w:jc w:val="center"/>
              <w:rPr>
                <w:szCs w:val="20"/>
              </w:rPr>
            </w:pPr>
            <w:r w:rsidRPr="008F0B2B">
              <w:rPr>
                <w:szCs w:val="20"/>
              </w:rPr>
              <w:t>30-34</w:t>
            </w:r>
          </w:p>
        </w:tc>
        <w:tc>
          <w:tcPr>
            <w:tcW w:w="3024" w:type="dxa"/>
            <w:shd w:val="clear" w:color="auto" w:fill="auto"/>
            <w:noWrap/>
            <w:hideMark/>
          </w:tcPr>
          <w:p w14:paraId="1FA366E0" w14:textId="77777777" w:rsidR="006214F6" w:rsidRPr="008F0B2B" w:rsidRDefault="006214F6" w:rsidP="00E90C0F">
            <w:pPr>
              <w:pStyle w:val="TableTextDecimalAlign"/>
              <w:jc w:val="center"/>
            </w:pPr>
            <w:r w:rsidRPr="008F0B2B">
              <w:t>2,208</w:t>
            </w:r>
          </w:p>
        </w:tc>
        <w:tc>
          <w:tcPr>
            <w:tcW w:w="3024" w:type="dxa"/>
            <w:shd w:val="clear" w:color="auto" w:fill="auto"/>
            <w:noWrap/>
            <w:hideMark/>
          </w:tcPr>
          <w:p w14:paraId="5AAE73F8" w14:textId="77777777" w:rsidR="006214F6" w:rsidRPr="008F0B2B" w:rsidRDefault="006214F6" w:rsidP="008F0B2B">
            <w:pPr>
              <w:pStyle w:val="Tabletext"/>
              <w:spacing w:before="60"/>
              <w:jc w:val="center"/>
              <w:rPr>
                <w:szCs w:val="20"/>
              </w:rPr>
            </w:pPr>
            <w:r w:rsidRPr="008F0B2B">
              <w:rPr>
                <w:szCs w:val="20"/>
              </w:rPr>
              <w:t>3%</w:t>
            </w:r>
          </w:p>
        </w:tc>
      </w:tr>
      <w:tr w:rsidR="006214F6" w:rsidRPr="00FF3267" w14:paraId="6E98AF82" w14:textId="77777777" w:rsidTr="008F0B2B">
        <w:trPr>
          <w:trHeight w:val="255"/>
        </w:trPr>
        <w:tc>
          <w:tcPr>
            <w:tcW w:w="3024" w:type="dxa"/>
            <w:shd w:val="clear" w:color="auto" w:fill="auto"/>
            <w:noWrap/>
            <w:hideMark/>
          </w:tcPr>
          <w:p w14:paraId="34175FB6" w14:textId="77777777" w:rsidR="006214F6" w:rsidRPr="008F0B2B" w:rsidRDefault="006214F6" w:rsidP="008F0B2B">
            <w:pPr>
              <w:pStyle w:val="Tabletext"/>
              <w:spacing w:before="60"/>
              <w:jc w:val="center"/>
              <w:rPr>
                <w:szCs w:val="20"/>
              </w:rPr>
            </w:pPr>
            <w:r w:rsidRPr="008F0B2B">
              <w:rPr>
                <w:szCs w:val="20"/>
              </w:rPr>
              <w:t>35-39</w:t>
            </w:r>
          </w:p>
        </w:tc>
        <w:tc>
          <w:tcPr>
            <w:tcW w:w="3024" w:type="dxa"/>
            <w:shd w:val="clear" w:color="auto" w:fill="auto"/>
            <w:noWrap/>
            <w:hideMark/>
          </w:tcPr>
          <w:p w14:paraId="7FBFA38D" w14:textId="77777777" w:rsidR="006214F6" w:rsidRPr="008F0B2B" w:rsidRDefault="006214F6" w:rsidP="00E90C0F">
            <w:pPr>
              <w:pStyle w:val="TableTextDecimalAlign"/>
              <w:jc w:val="center"/>
            </w:pPr>
            <w:r w:rsidRPr="008F0B2B">
              <w:t>2,456</w:t>
            </w:r>
          </w:p>
        </w:tc>
        <w:tc>
          <w:tcPr>
            <w:tcW w:w="3024" w:type="dxa"/>
            <w:shd w:val="clear" w:color="auto" w:fill="auto"/>
            <w:noWrap/>
            <w:hideMark/>
          </w:tcPr>
          <w:p w14:paraId="75F261A3" w14:textId="77777777" w:rsidR="006214F6" w:rsidRPr="008F0B2B" w:rsidRDefault="006214F6" w:rsidP="008F0B2B">
            <w:pPr>
              <w:pStyle w:val="Tabletext"/>
              <w:spacing w:before="60"/>
              <w:jc w:val="center"/>
              <w:rPr>
                <w:szCs w:val="20"/>
              </w:rPr>
            </w:pPr>
            <w:r w:rsidRPr="008F0B2B">
              <w:rPr>
                <w:szCs w:val="20"/>
              </w:rPr>
              <w:t>3%</w:t>
            </w:r>
          </w:p>
        </w:tc>
      </w:tr>
      <w:tr w:rsidR="006214F6" w:rsidRPr="00FF3267" w14:paraId="16B74C1D" w14:textId="77777777" w:rsidTr="008F0B2B">
        <w:trPr>
          <w:trHeight w:val="255"/>
        </w:trPr>
        <w:tc>
          <w:tcPr>
            <w:tcW w:w="3024" w:type="dxa"/>
            <w:shd w:val="clear" w:color="auto" w:fill="auto"/>
            <w:noWrap/>
            <w:hideMark/>
          </w:tcPr>
          <w:p w14:paraId="729213D2" w14:textId="77777777" w:rsidR="006214F6" w:rsidRPr="008F0B2B" w:rsidRDefault="006214F6" w:rsidP="008F0B2B">
            <w:pPr>
              <w:pStyle w:val="Tabletext"/>
              <w:spacing w:before="60"/>
              <w:jc w:val="center"/>
              <w:rPr>
                <w:szCs w:val="20"/>
              </w:rPr>
            </w:pPr>
            <w:r w:rsidRPr="008F0B2B">
              <w:rPr>
                <w:szCs w:val="20"/>
              </w:rPr>
              <w:t>40-44</w:t>
            </w:r>
          </w:p>
        </w:tc>
        <w:tc>
          <w:tcPr>
            <w:tcW w:w="3024" w:type="dxa"/>
            <w:shd w:val="clear" w:color="auto" w:fill="auto"/>
            <w:noWrap/>
            <w:hideMark/>
          </w:tcPr>
          <w:p w14:paraId="690F5A65" w14:textId="77777777" w:rsidR="006214F6" w:rsidRPr="008F0B2B" w:rsidRDefault="006214F6" w:rsidP="00E90C0F">
            <w:pPr>
              <w:pStyle w:val="TableTextDecimalAlign"/>
              <w:jc w:val="center"/>
            </w:pPr>
            <w:r w:rsidRPr="008F0B2B">
              <w:t>3,232</w:t>
            </w:r>
          </w:p>
        </w:tc>
        <w:tc>
          <w:tcPr>
            <w:tcW w:w="3024" w:type="dxa"/>
            <w:shd w:val="clear" w:color="auto" w:fill="auto"/>
            <w:noWrap/>
            <w:hideMark/>
          </w:tcPr>
          <w:p w14:paraId="0D0BBF51" w14:textId="77777777" w:rsidR="006214F6" w:rsidRPr="008F0B2B" w:rsidRDefault="006214F6" w:rsidP="008F0B2B">
            <w:pPr>
              <w:pStyle w:val="Tabletext"/>
              <w:spacing w:before="60"/>
              <w:jc w:val="center"/>
              <w:rPr>
                <w:szCs w:val="20"/>
              </w:rPr>
            </w:pPr>
            <w:r w:rsidRPr="008F0B2B">
              <w:rPr>
                <w:szCs w:val="20"/>
              </w:rPr>
              <w:t>4%</w:t>
            </w:r>
          </w:p>
        </w:tc>
      </w:tr>
      <w:tr w:rsidR="006214F6" w:rsidRPr="00FF3267" w14:paraId="0742F3F5" w14:textId="77777777" w:rsidTr="008F0B2B">
        <w:trPr>
          <w:trHeight w:val="255"/>
        </w:trPr>
        <w:tc>
          <w:tcPr>
            <w:tcW w:w="3024" w:type="dxa"/>
            <w:shd w:val="clear" w:color="auto" w:fill="auto"/>
            <w:noWrap/>
            <w:hideMark/>
          </w:tcPr>
          <w:p w14:paraId="10EFA52B" w14:textId="77777777" w:rsidR="006214F6" w:rsidRPr="008F0B2B" w:rsidRDefault="006214F6" w:rsidP="008F0B2B">
            <w:pPr>
              <w:pStyle w:val="Tabletext"/>
              <w:spacing w:before="60"/>
              <w:jc w:val="center"/>
              <w:rPr>
                <w:szCs w:val="20"/>
              </w:rPr>
            </w:pPr>
            <w:r w:rsidRPr="008F0B2B">
              <w:rPr>
                <w:szCs w:val="20"/>
              </w:rPr>
              <w:t>45-49</w:t>
            </w:r>
          </w:p>
        </w:tc>
        <w:tc>
          <w:tcPr>
            <w:tcW w:w="3024" w:type="dxa"/>
            <w:shd w:val="clear" w:color="auto" w:fill="auto"/>
            <w:noWrap/>
            <w:hideMark/>
          </w:tcPr>
          <w:p w14:paraId="54A011AD" w14:textId="77777777" w:rsidR="006214F6" w:rsidRPr="008F0B2B" w:rsidRDefault="006214F6" w:rsidP="00E90C0F">
            <w:pPr>
              <w:pStyle w:val="TableTextDecimalAlign"/>
              <w:jc w:val="center"/>
            </w:pPr>
            <w:r w:rsidRPr="008F0B2B">
              <w:t>3,816</w:t>
            </w:r>
          </w:p>
        </w:tc>
        <w:tc>
          <w:tcPr>
            <w:tcW w:w="3024" w:type="dxa"/>
            <w:shd w:val="clear" w:color="auto" w:fill="auto"/>
            <w:noWrap/>
            <w:hideMark/>
          </w:tcPr>
          <w:p w14:paraId="1BD2F663" w14:textId="77777777" w:rsidR="006214F6" w:rsidRPr="008F0B2B" w:rsidRDefault="006214F6" w:rsidP="008F0B2B">
            <w:pPr>
              <w:pStyle w:val="Tabletext"/>
              <w:spacing w:before="60"/>
              <w:jc w:val="center"/>
              <w:rPr>
                <w:szCs w:val="20"/>
              </w:rPr>
            </w:pPr>
            <w:r w:rsidRPr="008F0B2B">
              <w:rPr>
                <w:szCs w:val="20"/>
              </w:rPr>
              <w:t>5%</w:t>
            </w:r>
          </w:p>
        </w:tc>
      </w:tr>
      <w:tr w:rsidR="006214F6" w:rsidRPr="00FF3267" w14:paraId="0A9E3794" w14:textId="77777777" w:rsidTr="008F0B2B">
        <w:trPr>
          <w:trHeight w:val="255"/>
        </w:trPr>
        <w:tc>
          <w:tcPr>
            <w:tcW w:w="3024" w:type="dxa"/>
            <w:shd w:val="clear" w:color="auto" w:fill="auto"/>
            <w:noWrap/>
            <w:hideMark/>
          </w:tcPr>
          <w:p w14:paraId="2E95B620" w14:textId="77777777" w:rsidR="006214F6" w:rsidRPr="008F0B2B" w:rsidRDefault="006214F6" w:rsidP="008F0B2B">
            <w:pPr>
              <w:pStyle w:val="Tabletext"/>
              <w:spacing w:before="60"/>
              <w:jc w:val="center"/>
              <w:rPr>
                <w:szCs w:val="20"/>
              </w:rPr>
            </w:pPr>
            <w:r w:rsidRPr="008F0B2B">
              <w:rPr>
                <w:szCs w:val="20"/>
              </w:rPr>
              <w:t>50-54</w:t>
            </w:r>
          </w:p>
        </w:tc>
        <w:tc>
          <w:tcPr>
            <w:tcW w:w="3024" w:type="dxa"/>
            <w:shd w:val="clear" w:color="auto" w:fill="auto"/>
            <w:noWrap/>
            <w:hideMark/>
          </w:tcPr>
          <w:p w14:paraId="4078C556" w14:textId="77777777" w:rsidR="006214F6" w:rsidRPr="008F0B2B" w:rsidRDefault="006214F6" w:rsidP="00E90C0F">
            <w:pPr>
              <w:pStyle w:val="TableTextDecimalAlign"/>
              <w:jc w:val="center"/>
            </w:pPr>
            <w:r w:rsidRPr="008F0B2B">
              <w:t>4,888</w:t>
            </w:r>
          </w:p>
        </w:tc>
        <w:tc>
          <w:tcPr>
            <w:tcW w:w="3024" w:type="dxa"/>
            <w:shd w:val="clear" w:color="auto" w:fill="auto"/>
            <w:noWrap/>
            <w:hideMark/>
          </w:tcPr>
          <w:p w14:paraId="74375AAB" w14:textId="77777777" w:rsidR="006214F6" w:rsidRPr="008F0B2B" w:rsidRDefault="006214F6" w:rsidP="008F0B2B">
            <w:pPr>
              <w:pStyle w:val="Tabletext"/>
              <w:spacing w:before="60"/>
              <w:jc w:val="center"/>
              <w:rPr>
                <w:szCs w:val="20"/>
              </w:rPr>
            </w:pPr>
            <w:r w:rsidRPr="008F0B2B">
              <w:rPr>
                <w:szCs w:val="20"/>
              </w:rPr>
              <w:t>6%</w:t>
            </w:r>
          </w:p>
        </w:tc>
      </w:tr>
      <w:tr w:rsidR="006214F6" w:rsidRPr="00FF3267" w14:paraId="02E6F2E1" w14:textId="77777777" w:rsidTr="008F0B2B">
        <w:trPr>
          <w:trHeight w:val="255"/>
        </w:trPr>
        <w:tc>
          <w:tcPr>
            <w:tcW w:w="3024" w:type="dxa"/>
            <w:shd w:val="clear" w:color="auto" w:fill="auto"/>
            <w:noWrap/>
            <w:hideMark/>
          </w:tcPr>
          <w:p w14:paraId="72C6DA24" w14:textId="77777777" w:rsidR="006214F6" w:rsidRPr="008F0B2B" w:rsidRDefault="006214F6" w:rsidP="008F0B2B">
            <w:pPr>
              <w:pStyle w:val="Tabletext"/>
              <w:spacing w:before="60"/>
              <w:jc w:val="center"/>
              <w:rPr>
                <w:szCs w:val="20"/>
              </w:rPr>
            </w:pPr>
            <w:r w:rsidRPr="008F0B2B">
              <w:rPr>
                <w:szCs w:val="20"/>
              </w:rPr>
              <w:t>55-59</w:t>
            </w:r>
          </w:p>
        </w:tc>
        <w:tc>
          <w:tcPr>
            <w:tcW w:w="3024" w:type="dxa"/>
            <w:shd w:val="clear" w:color="auto" w:fill="auto"/>
            <w:noWrap/>
            <w:hideMark/>
          </w:tcPr>
          <w:p w14:paraId="51AB8BD1" w14:textId="77777777" w:rsidR="006214F6" w:rsidRPr="008F0B2B" w:rsidRDefault="006214F6" w:rsidP="00E90C0F">
            <w:pPr>
              <w:pStyle w:val="TableTextDecimalAlign"/>
              <w:jc w:val="center"/>
            </w:pPr>
            <w:r w:rsidRPr="008F0B2B">
              <w:t>6,397</w:t>
            </w:r>
          </w:p>
        </w:tc>
        <w:tc>
          <w:tcPr>
            <w:tcW w:w="3024" w:type="dxa"/>
            <w:shd w:val="clear" w:color="auto" w:fill="auto"/>
            <w:noWrap/>
            <w:hideMark/>
          </w:tcPr>
          <w:p w14:paraId="3D1FAAC4" w14:textId="77777777" w:rsidR="006214F6" w:rsidRPr="008F0B2B" w:rsidRDefault="006214F6" w:rsidP="008F0B2B">
            <w:pPr>
              <w:pStyle w:val="Tabletext"/>
              <w:spacing w:before="60"/>
              <w:jc w:val="center"/>
              <w:rPr>
                <w:szCs w:val="20"/>
              </w:rPr>
            </w:pPr>
            <w:r w:rsidRPr="008F0B2B">
              <w:rPr>
                <w:szCs w:val="20"/>
              </w:rPr>
              <w:t>8%</w:t>
            </w:r>
          </w:p>
        </w:tc>
      </w:tr>
      <w:tr w:rsidR="006214F6" w:rsidRPr="00FF3267" w14:paraId="0DC254A1" w14:textId="77777777" w:rsidTr="008F0B2B">
        <w:trPr>
          <w:trHeight w:val="255"/>
        </w:trPr>
        <w:tc>
          <w:tcPr>
            <w:tcW w:w="3024" w:type="dxa"/>
            <w:shd w:val="clear" w:color="auto" w:fill="auto"/>
            <w:noWrap/>
            <w:hideMark/>
          </w:tcPr>
          <w:p w14:paraId="710054C3" w14:textId="77777777" w:rsidR="006214F6" w:rsidRPr="008F0B2B" w:rsidRDefault="006214F6" w:rsidP="008F0B2B">
            <w:pPr>
              <w:pStyle w:val="Tabletext"/>
              <w:spacing w:before="60"/>
              <w:jc w:val="center"/>
              <w:rPr>
                <w:szCs w:val="20"/>
              </w:rPr>
            </w:pPr>
            <w:r w:rsidRPr="008F0B2B">
              <w:rPr>
                <w:szCs w:val="20"/>
              </w:rPr>
              <w:t>60-64</w:t>
            </w:r>
          </w:p>
        </w:tc>
        <w:tc>
          <w:tcPr>
            <w:tcW w:w="3024" w:type="dxa"/>
            <w:shd w:val="clear" w:color="auto" w:fill="auto"/>
            <w:noWrap/>
            <w:hideMark/>
          </w:tcPr>
          <w:p w14:paraId="34C0B16E" w14:textId="77777777" w:rsidR="006214F6" w:rsidRPr="008F0B2B" w:rsidRDefault="006214F6" w:rsidP="00E90C0F">
            <w:pPr>
              <w:pStyle w:val="TableTextDecimalAlign"/>
              <w:jc w:val="center"/>
            </w:pPr>
            <w:r w:rsidRPr="008F0B2B">
              <w:t>8,141</w:t>
            </w:r>
          </w:p>
        </w:tc>
        <w:tc>
          <w:tcPr>
            <w:tcW w:w="3024" w:type="dxa"/>
            <w:shd w:val="clear" w:color="auto" w:fill="auto"/>
            <w:noWrap/>
            <w:hideMark/>
          </w:tcPr>
          <w:p w14:paraId="5F63ABCA" w14:textId="77777777" w:rsidR="006214F6" w:rsidRPr="008F0B2B" w:rsidRDefault="006214F6" w:rsidP="008F0B2B">
            <w:pPr>
              <w:pStyle w:val="Tabletext"/>
              <w:spacing w:before="60"/>
              <w:jc w:val="center"/>
              <w:rPr>
                <w:szCs w:val="20"/>
              </w:rPr>
            </w:pPr>
            <w:r w:rsidRPr="008F0B2B">
              <w:rPr>
                <w:szCs w:val="20"/>
              </w:rPr>
              <w:t>10%</w:t>
            </w:r>
          </w:p>
        </w:tc>
      </w:tr>
      <w:tr w:rsidR="006214F6" w:rsidRPr="00FF3267" w14:paraId="7C6D958F" w14:textId="77777777" w:rsidTr="008F0B2B">
        <w:trPr>
          <w:trHeight w:val="255"/>
        </w:trPr>
        <w:tc>
          <w:tcPr>
            <w:tcW w:w="3024" w:type="dxa"/>
            <w:shd w:val="clear" w:color="auto" w:fill="auto"/>
            <w:noWrap/>
            <w:hideMark/>
          </w:tcPr>
          <w:p w14:paraId="73355BB5" w14:textId="77777777" w:rsidR="006214F6" w:rsidRPr="008F0B2B" w:rsidRDefault="006214F6" w:rsidP="008F0B2B">
            <w:pPr>
              <w:pStyle w:val="Tabletext"/>
              <w:spacing w:before="60"/>
              <w:jc w:val="center"/>
              <w:rPr>
                <w:szCs w:val="20"/>
              </w:rPr>
            </w:pPr>
            <w:r w:rsidRPr="008F0B2B">
              <w:rPr>
                <w:szCs w:val="20"/>
              </w:rPr>
              <w:t>65-69</w:t>
            </w:r>
          </w:p>
        </w:tc>
        <w:tc>
          <w:tcPr>
            <w:tcW w:w="3024" w:type="dxa"/>
            <w:shd w:val="clear" w:color="auto" w:fill="auto"/>
            <w:noWrap/>
            <w:hideMark/>
          </w:tcPr>
          <w:p w14:paraId="610C29EF" w14:textId="77777777" w:rsidR="006214F6" w:rsidRPr="008F0B2B" w:rsidRDefault="006214F6" w:rsidP="00E90C0F">
            <w:pPr>
              <w:pStyle w:val="TableTextDecimalAlign"/>
              <w:jc w:val="center"/>
            </w:pPr>
            <w:r w:rsidRPr="008F0B2B">
              <w:t>9,617</w:t>
            </w:r>
          </w:p>
        </w:tc>
        <w:tc>
          <w:tcPr>
            <w:tcW w:w="3024" w:type="dxa"/>
            <w:shd w:val="clear" w:color="auto" w:fill="auto"/>
            <w:noWrap/>
            <w:hideMark/>
          </w:tcPr>
          <w:p w14:paraId="2AB1A758" w14:textId="77777777" w:rsidR="006214F6" w:rsidRPr="008F0B2B" w:rsidRDefault="006214F6" w:rsidP="008F0B2B">
            <w:pPr>
              <w:pStyle w:val="Tabletext"/>
              <w:spacing w:before="60"/>
              <w:jc w:val="center"/>
              <w:rPr>
                <w:szCs w:val="20"/>
              </w:rPr>
            </w:pPr>
            <w:r w:rsidRPr="008F0B2B">
              <w:rPr>
                <w:szCs w:val="20"/>
              </w:rPr>
              <w:t>12%</w:t>
            </w:r>
          </w:p>
        </w:tc>
      </w:tr>
      <w:tr w:rsidR="006214F6" w:rsidRPr="00FF3267" w14:paraId="654BCDB6" w14:textId="77777777" w:rsidTr="008F0B2B">
        <w:trPr>
          <w:trHeight w:val="255"/>
        </w:trPr>
        <w:tc>
          <w:tcPr>
            <w:tcW w:w="3024" w:type="dxa"/>
            <w:shd w:val="clear" w:color="auto" w:fill="auto"/>
            <w:noWrap/>
            <w:hideMark/>
          </w:tcPr>
          <w:p w14:paraId="130F90CE" w14:textId="77777777" w:rsidR="006214F6" w:rsidRPr="008F0B2B" w:rsidRDefault="006214F6" w:rsidP="008F0B2B">
            <w:pPr>
              <w:pStyle w:val="Tabletext"/>
              <w:spacing w:before="60"/>
              <w:jc w:val="center"/>
              <w:rPr>
                <w:szCs w:val="20"/>
              </w:rPr>
            </w:pPr>
            <w:r w:rsidRPr="008F0B2B">
              <w:rPr>
                <w:szCs w:val="20"/>
              </w:rPr>
              <w:t>70-74</w:t>
            </w:r>
          </w:p>
        </w:tc>
        <w:tc>
          <w:tcPr>
            <w:tcW w:w="3024" w:type="dxa"/>
            <w:shd w:val="clear" w:color="auto" w:fill="auto"/>
            <w:noWrap/>
            <w:hideMark/>
          </w:tcPr>
          <w:p w14:paraId="5732DA12" w14:textId="77777777" w:rsidR="006214F6" w:rsidRPr="008F0B2B" w:rsidRDefault="006214F6" w:rsidP="00E90C0F">
            <w:pPr>
              <w:pStyle w:val="TableTextDecimalAlign"/>
              <w:jc w:val="center"/>
            </w:pPr>
            <w:r w:rsidRPr="008F0B2B">
              <w:t>9,129</w:t>
            </w:r>
          </w:p>
        </w:tc>
        <w:tc>
          <w:tcPr>
            <w:tcW w:w="3024" w:type="dxa"/>
            <w:shd w:val="clear" w:color="auto" w:fill="auto"/>
            <w:noWrap/>
            <w:hideMark/>
          </w:tcPr>
          <w:p w14:paraId="54E4B6F6" w14:textId="77777777" w:rsidR="006214F6" w:rsidRPr="008F0B2B" w:rsidRDefault="006214F6" w:rsidP="008F0B2B">
            <w:pPr>
              <w:pStyle w:val="Tabletext"/>
              <w:spacing w:before="60"/>
              <w:jc w:val="center"/>
              <w:rPr>
                <w:szCs w:val="20"/>
              </w:rPr>
            </w:pPr>
            <w:r w:rsidRPr="008F0B2B">
              <w:rPr>
                <w:szCs w:val="20"/>
              </w:rPr>
              <w:t>11%</w:t>
            </w:r>
          </w:p>
        </w:tc>
      </w:tr>
      <w:tr w:rsidR="006214F6" w:rsidRPr="00FF3267" w14:paraId="78519111" w14:textId="77777777" w:rsidTr="008F0B2B">
        <w:trPr>
          <w:trHeight w:val="255"/>
        </w:trPr>
        <w:tc>
          <w:tcPr>
            <w:tcW w:w="3024" w:type="dxa"/>
            <w:shd w:val="clear" w:color="auto" w:fill="auto"/>
            <w:noWrap/>
            <w:hideMark/>
          </w:tcPr>
          <w:p w14:paraId="281FB0DC" w14:textId="77777777" w:rsidR="006214F6" w:rsidRPr="008F0B2B" w:rsidRDefault="006214F6" w:rsidP="008F0B2B">
            <w:pPr>
              <w:pStyle w:val="Tabletext"/>
              <w:spacing w:before="60"/>
              <w:jc w:val="center"/>
              <w:rPr>
                <w:szCs w:val="20"/>
              </w:rPr>
            </w:pPr>
            <w:r w:rsidRPr="008F0B2B">
              <w:rPr>
                <w:szCs w:val="20"/>
              </w:rPr>
              <w:t>75-79</w:t>
            </w:r>
          </w:p>
        </w:tc>
        <w:tc>
          <w:tcPr>
            <w:tcW w:w="3024" w:type="dxa"/>
            <w:shd w:val="clear" w:color="auto" w:fill="auto"/>
            <w:noWrap/>
            <w:hideMark/>
          </w:tcPr>
          <w:p w14:paraId="62D0B76B" w14:textId="77777777" w:rsidR="006214F6" w:rsidRPr="008F0B2B" w:rsidRDefault="006214F6" w:rsidP="00E90C0F">
            <w:pPr>
              <w:pStyle w:val="TableTextDecimalAlign"/>
              <w:jc w:val="center"/>
            </w:pPr>
            <w:r w:rsidRPr="008F0B2B">
              <w:t>7,393</w:t>
            </w:r>
          </w:p>
        </w:tc>
        <w:tc>
          <w:tcPr>
            <w:tcW w:w="3024" w:type="dxa"/>
            <w:shd w:val="clear" w:color="auto" w:fill="auto"/>
            <w:noWrap/>
            <w:hideMark/>
          </w:tcPr>
          <w:p w14:paraId="7C19795B" w14:textId="77777777" w:rsidR="006214F6" w:rsidRPr="008F0B2B" w:rsidRDefault="006214F6" w:rsidP="008F0B2B">
            <w:pPr>
              <w:pStyle w:val="Tabletext"/>
              <w:spacing w:before="60"/>
              <w:jc w:val="center"/>
              <w:rPr>
                <w:szCs w:val="20"/>
              </w:rPr>
            </w:pPr>
            <w:r w:rsidRPr="008F0B2B">
              <w:rPr>
                <w:szCs w:val="20"/>
              </w:rPr>
              <w:t>9%</w:t>
            </w:r>
          </w:p>
        </w:tc>
      </w:tr>
      <w:tr w:rsidR="006214F6" w:rsidRPr="00FF3267" w14:paraId="165968F1" w14:textId="77777777" w:rsidTr="008F0B2B">
        <w:trPr>
          <w:trHeight w:val="255"/>
        </w:trPr>
        <w:tc>
          <w:tcPr>
            <w:tcW w:w="3024" w:type="dxa"/>
            <w:shd w:val="clear" w:color="auto" w:fill="auto"/>
            <w:noWrap/>
            <w:hideMark/>
          </w:tcPr>
          <w:p w14:paraId="6C372080" w14:textId="77777777" w:rsidR="006214F6" w:rsidRPr="008F0B2B" w:rsidRDefault="006214F6" w:rsidP="008F0B2B">
            <w:pPr>
              <w:pStyle w:val="Tabletext"/>
              <w:spacing w:before="60"/>
              <w:jc w:val="center"/>
              <w:rPr>
                <w:szCs w:val="20"/>
              </w:rPr>
            </w:pPr>
            <w:r w:rsidRPr="008F0B2B">
              <w:rPr>
                <w:szCs w:val="20"/>
              </w:rPr>
              <w:t>80-84</w:t>
            </w:r>
          </w:p>
        </w:tc>
        <w:tc>
          <w:tcPr>
            <w:tcW w:w="3024" w:type="dxa"/>
            <w:shd w:val="clear" w:color="auto" w:fill="auto"/>
            <w:noWrap/>
            <w:hideMark/>
          </w:tcPr>
          <w:p w14:paraId="19E6BAED" w14:textId="77777777" w:rsidR="006214F6" w:rsidRPr="008F0B2B" w:rsidRDefault="006214F6" w:rsidP="00E90C0F">
            <w:pPr>
              <w:pStyle w:val="TableTextDecimalAlign"/>
              <w:jc w:val="center"/>
            </w:pPr>
            <w:r w:rsidRPr="008F0B2B">
              <w:t>4,984</w:t>
            </w:r>
          </w:p>
        </w:tc>
        <w:tc>
          <w:tcPr>
            <w:tcW w:w="3024" w:type="dxa"/>
            <w:shd w:val="clear" w:color="auto" w:fill="auto"/>
            <w:noWrap/>
            <w:hideMark/>
          </w:tcPr>
          <w:p w14:paraId="439DC348" w14:textId="77777777" w:rsidR="006214F6" w:rsidRPr="008F0B2B" w:rsidRDefault="006214F6" w:rsidP="008F0B2B">
            <w:pPr>
              <w:pStyle w:val="Tabletext"/>
              <w:spacing w:before="60"/>
              <w:jc w:val="center"/>
              <w:rPr>
                <w:szCs w:val="20"/>
              </w:rPr>
            </w:pPr>
            <w:r w:rsidRPr="008F0B2B">
              <w:rPr>
                <w:szCs w:val="20"/>
              </w:rPr>
              <w:t>6%</w:t>
            </w:r>
          </w:p>
        </w:tc>
      </w:tr>
      <w:tr w:rsidR="006214F6" w:rsidRPr="00FF3267" w14:paraId="69D391F4" w14:textId="77777777" w:rsidTr="008F0B2B">
        <w:trPr>
          <w:trHeight w:val="255"/>
        </w:trPr>
        <w:tc>
          <w:tcPr>
            <w:tcW w:w="3024" w:type="dxa"/>
            <w:shd w:val="clear" w:color="auto" w:fill="auto"/>
            <w:noWrap/>
            <w:hideMark/>
          </w:tcPr>
          <w:p w14:paraId="7F1B9979" w14:textId="77777777" w:rsidR="006214F6" w:rsidRPr="008F0B2B" w:rsidRDefault="006214F6" w:rsidP="008F0B2B">
            <w:pPr>
              <w:pStyle w:val="Tabletext"/>
              <w:spacing w:before="60"/>
              <w:jc w:val="center"/>
              <w:rPr>
                <w:szCs w:val="20"/>
              </w:rPr>
            </w:pPr>
            <w:r w:rsidRPr="008F0B2B">
              <w:rPr>
                <w:szCs w:val="20"/>
              </w:rPr>
              <w:t>&gt;=85</w:t>
            </w:r>
          </w:p>
        </w:tc>
        <w:tc>
          <w:tcPr>
            <w:tcW w:w="3024" w:type="dxa"/>
            <w:shd w:val="clear" w:color="auto" w:fill="auto"/>
            <w:noWrap/>
            <w:hideMark/>
          </w:tcPr>
          <w:p w14:paraId="60DBB270" w14:textId="77777777" w:rsidR="006214F6" w:rsidRPr="008F0B2B" w:rsidRDefault="006214F6" w:rsidP="00E90C0F">
            <w:pPr>
              <w:pStyle w:val="TableTextDecimalAlign"/>
              <w:jc w:val="center"/>
            </w:pPr>
            <w:r w:rsidRPr="008F0B2B">
              <w:t>2,790</w:t>
            </w:r>
          </w:p>
        </w:tc>
        <w:tc>
          <w:tcPr>
            <w:tcW w:w="3024" w:type="dxa"/>
            <w:shd w:val="clear" w:color="auto" w:fill="auto"/>
            <w:noWrap/>
            <w:hideMark/>
          </w:tcPr>
          <w:p w14:paraId="675959B6" w14:textId="77777777" w:rsidR="006214F6" w:rsidRPr="008F0B2B" w:rsidRDefault="006214F6" w:rsidP="008F0B2B">
            <w:pPr>
              <w:pStyle w:val="Tabletext"/>
              <w:spacing w:before="60"/>
              <w:jc w:val="center"/>
              <w:rPr>
                <w:szCs w:val="20"/>
              </w:rPr>
            </w:pPr>
            <w:r w:rsidRPr="008F0B2B">
              <w:rPr>
                <w:szCs w:val="20"/>
              </w:rPr>
              <w:t>3%</w:t>
            </w:r>
          </w:p>
        </w:tc>
      </w:tr>
    </w:tbl>
    <w:p w14:paraId="74931AA0" w14:textId="77777777" w:rsidR="004A278B" w:rsidRDefault="007769BD" w:rsidP="0099709F">
      <w:pPr>
        <w:pStyle w:val="TableUnder"/>
      </w:pPr>
      <w:r w:rsidRPr="00DA5B19">
        <w:t>Unpublished data (Department of Health)</w:t>
      </w:r>
    </w:p>
    <w:p w14:paraId="4A7155EC" w14:textId="77777777" w:rsidR="00D93CF8" w:rsidRPr="00DA5B19" w:rsidRDefault="00D93CF8" w:rsidP="008F23CC">
      <w:pPr>
        <w:pStyle w:val="TableUnderLast"/>
      </w:pPr>
      <w:r>
        <w:t xml:space="preserve">Note: Total </w:t>
      </w:r>
      <w:r w:rsidRPr="008F23CC">
        <w:t>number</w:t>
      </w:r>
      <w:r>
        <w:t xml:space="preserve"> of services is </w:t>
      </w:r>
      <w:r w:rsidRPr="00D93CF8">
        <w:t>82,705</w:t>
      </w:r>
      <w:r>
        <w:t>.</w:t>
      </w:r>
    </w:p>
    <w:p w14:paraId="78FA2ADA" w14:textId="77777777" w:rsidR="006214F6" w:rsidRPr="003C25D3" w:rsidRDefault="006214F6" w:rsidP="00DA5B19">
      <w:pPr>
        <w:rPr>
          <w:highlight w:val="yellow"/>
        </w:rPr>
      </w:pPr>
      <w:r w:rsidRPr="0002627F">
        <w:rPr>
          <w:noProof/>
        </w:rPr>
        <w:lastRenderedPageBreak/>
        <w:drawing>
          <wp:inline distT="0" distB="0" distL="0" distR="0" wp14:anchorId="44AE2C06" wp14:editId="68DBC455">
            <wp:extent cx="6246421" cy="2956956"/>
            <wp:effectExtent l="0" t="0" r="21590" b="15240"/>
            <wp:docPr id="6" name="Chart 6" descr="Figure D3 is a grouped bar chart showing the number of services for item 11512 was much higher in New South Wales, Victoria, Queensland and, to a leeser extent Western Australia, than in other states and territories for the 6 years 2009-10 to 2014-15. "/>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04AF185" w14:textId="77777777" w:rsidR="004A278B" w:rsidRDefault="004A278B" w:rsidP="00DA5B19">
      <w:pPr>
        <w:pStyle w:val="TableUnderLast"/>
      </w:pPr>
      <w:r w:rsidRPr="00DA5B19">
        <w:t>Public data (Department of Human Services website)</w:t>
      </w:r>
    </w:p>
    <w:p w14:paraId="46204CC3" w14:textId="77777777" w:rsidR="009E1A78" w:rsidRPr="00C01DBC" w:rsidRDefault="009E1A78" w:rsidP="00187D14">
      <w:pPr>
        <w:pStyle w:val="FigureCaption"/>
        <w:numPr>
          <w:ilvl w:val="0"/>
          <w:numId w:val="0"/>
        </w:numPr>
        <w:ind w:left="851" w:hanging="851"/>
      </w:pPr>
      <w:r>
        <w:t>Figure D3:</w:t>
      </w:r>
      <w:r>
        <w:tab/>
      </w:r>
      <w:r w:rsidRPr="00C01DBC">
        <w:t>Number of services by state, 2009-10 to 2014-15, item 11512</w:t>
      </w:r>
    </w:p>
    <w:p w14:paraId="602DBFB0" w14:textId="77777777" w:rsidR="006214F6" w:rsidRPr="00420131" w:rsidRDefault="008A4CE9" w:rsidP="008A4CE9">
      <w:pPr>
        <w:pStyle w:val="Caption"/>
        <w:rPr>
          <w:lang w:val="en-US"/>
        </w:rPr>
      </w:pPr>
      <w:bookmarkStart w:id="435" w:name="_Toc478721572"/>
      <w:r>
        <w:rPr>
          <w:lang w:val="en-US"/>
        </w:rPr>
        <w:t>Table D</w:t>
      </w:r>
      <w:r w:rsidR="009E1A78">
        <w:rPr>
          <w:lang w:val="en-US"/>
        </w:rPr>
        <w:t>6</w:t>
      </w:r>
      <w:r>
        <w:rPr>
          <w:lang w:val="en-US"/>
        </w:rPr>
        <w:t>:</w:t>
      </w:r>
      <w:r>
        <w:rPr>
          <w:lang w:val="en-US"/>
        </w:rPr>
        <w:tab/>
      </w:r>
      <w:r w:rsidR="006214F6" w:rsidRPr="00420131">
        <w:rPr>
          <w:lang w:val="en-US"/>
        </w:rPr>
        <w:t>Top 10 same day item combinations - item 11512 with other MBS items, 2014-15</w:t>
      </w:r>
      <w:bookmarkEnd w:id="435"/>
    </w:p>
    <w:tbl>
      <w:tblPr>
        <w:tblW w:w="9072" w:type="dxa"/>
        <w:tblBorders>
          <w:top w:val="single" w:sz="4" w:space="0" w:color="B56011"/>
          <w:bottom w:val="single" w:sz="4" w:space="0" w:color="B56011"/>
          <w:insideH w:val="single" w:sz="4" w:space="0" w:color="B56011"/>
        </w:tblBorders>
        <w:tblLook w:val="04A0" w:firstRow="1" w:lastRow="0" w:firstColumn="1" w:lastColumn="0" w:noHBand="0" w:noVBand="1"/>
        <w:tblDescription w:val="Table D6 provides the number of episodes, the number of services, the percentage of total episodes and a description of the episode for the top 10 same day item combinations that included item 11512 in 2014-15."/>
      </w:tblPr>
      <w:tblGrid>
        <w:gridCol w:w="1266"/>
        <w:gridCol w:w="1155"/>
        <w:gridCol w:w="1154"/>
        <w:gridCol w:w="1155"/>
        <w:gridCol w:w="4342"/>
      </w:tblGrid>
      <w:tr w:rsidR="008F0B2B" w:rsidRPr="008F0B2B" w14:paraId="3A089A0B" w14:textId="77777777" w:rsidTr="008F0B2B">
        <w:trPr>
          <w:trHeight w:val="676"/>
          <w:tblHeader/>
        </w:trPr>
        <w:tc>
          <w:tcPr>
            <w:tcW w:w="1161" w:type="dxa"/>
            <w:shd w:val="clear" w:color="auto" w:fill="auto"/>
            <w:hideMark/>
          </w:tcPr>
          <w:p w14:paraId="561F9D86" w14:textId="77777777" w:rsidR="006214F6" w:rsidRPr="008F0B2B" w:rsidRDefault="006214F6" w:rsidP="0089666D">
            <w:pPr>
              <w:pStyle w:val="Tableheading"/>
            </w:pPr>
            <w:r w:rsidRPr="008F0B2B">
              <w:t>Item combination</w:t>
            </w:r>
          </w:p>
        </w:tc>
        <w:tc>
          <w:tcPr>
            <w:tcW w:w="1161" w:type="dxa"/>
            <w:shd w:val="clear" w:color="auto" w:fill="auto"/>
            <w:hideMark/>
          </w:tcPr>
          <w:p w14:paraId="15EB0EAD" w14:textId="77777777" w:rsidR="006214F6" w:rsidRPr="008F0B2B" w:rsidRDefault="006214F6" w:rsidP="0089666D">
            <w:pPr>
              <w:pStyle w:val="Tableheading"/>
            </w:pPr>
            <w:r w:rsidRPr="008F0B2B">
              <w:t>Number of Episodes</w:t>
            </w:r>
          </w:p>
        </w:tc>
        <w:tc>
          <w:tcPr>
            <w:tcW w:w="1161" w:type="dxa"/>
            <w:shd w:val="clear" w:color="auto" w:fill="auto"/>
            <w:hideMark/>
          </w:tcPr>
          <w:p w14:paraId="759EB306" w14:textId="77777777" w:rsidR="006214F6" w:rsidRPr="008F0B2B" w:rsidRDefault="006214F6" w:rsidP="0089666D">
            <w:pPr>
              <w:pStyle w:val="Tableheading"/>
            </w:pPr>
            <w:r w:rsidRPr="008F0B2B">
              <w:t>Number of services</w:t>
            </w:r>
          </w:p>
        </w:tc>
        <w:tc>
          <w:tcPr>
            <w:tcW w:w="1161" w:type="dxa"/>
            <w:shd w:val="clear" w:color="auto" w:fill="auto"/>
            <w:hideMark/>
          </w:tcPr>
          <w:p w14:paraId="6446E583" w14:textId="77777777" w:rsidR="006214F6" w:rsidRPr="008F0B2B" w:rsidRDefault="006214F6" w:rsidP="0089666D">
            <w:pPr>
              <w:pStyle w:val="Tableheading"/>
            </w:pPr>
            <w:r w:rsidRPr="008F0B2B">
              <w:t>% of total episodes</w:t>
            </w:r>
          </w:p>
        </w:tc>
        <w:tc>
          <w:tcPr>
            <w:tcW w:w="4428" w:type="dxa"/>
            <w:shd w:val="clear" w:color="auto" w:fill="auto"/>
            <w:hideMark/>
          </w:tcPr>
          <w:p w14:paraId="0EDFC801" w14:textId="77777777" w:rsidR="006214F6" w:rsidRPr="008F0B2B" w:rsidRDefault="006214F6" w:rsidP="0089666D">
            <w:pPr>
              <w:pStyle w:val="Tableheading"/>
            </w:pPr>
            <w:r w:rsidRPr="008F0B2B">
              <w:t>Description of episodes</w:t>
            </w:r>
          </w:p>
        </w:tc>
      </w:tr>
      <w:tr w:rsidR="008F0B2B" w:rsidRPr="008F0B2B" w14:paraId="5407D821" w14:textId="77777777" w:rsidTr="008F0B2B">
        <w:trPr>
          <w:trHeight w:val="80"/>
        </w:trPr>
        <w:tc>
          <w:tcPr>
            <w:tcW w:w="1161" w:type="dxa"/>
            <w:shd w:val="clear" w:color="auto" w:fill="auto"/>
          </w:tcPr>
          <w:p w14:paraId="770A5D01" w14:textId="77777777" w:rsidR="006214F6" w:rsidRPr="00CC2025" w:rsidRDefault="006214F6" w:rsidP="0089666D">
            <w:pPr>
              <w:pStyle w:val="Tabletext"/>
            </w:pPr>
            <w:r w:rsidRPr="00CC2025">
              <w:t>11512</w:t>
            </w:r>
          </w:p>
        </w:tc>
        <w:tc>
          <w:tcPr>
            <w:tcW w:w="1161" w:type="dxa"/>
            <w:shd w:val="clear" w:color="auto" w:fill="auto"/>
          </w:tcPr>
          <w:p w14:paraId="639ED45D" w14:textId="77777777" w:rsidR="006214F6" w:rsidRPr="00CC2025" w:rsidRDefault="006214F6" w:rsidP="0089666D">
            <w:pPr>
              <w:pStyle w:val="Tabletext"/>
            </w:pPr>
            <w:r w:rsidRPr="00CC2025">
              <w:t>36466</w:t>
            </w:r>
          </w:p>
        </w:tc>
        <w:tc>
          <w:tcPr>
            <w:tcW w:w="1161" w:type="dxa"/>
            <w:shd w:val="clear" w:color="auto" w:fill="auto"/>
          </w:tcPr>
          <w:p w14:paraId="5F45EE4B" w14:textId="77777777" w:rsidR="006214F6" w:rsidRPr="00CC2025" w:rsidRDefault="006214F6" w:rsidP="0089666D">
            <w:pPr>
              <w:pStyle w:val="Tabletext"/>
            </w:pPr>
            <w:r w:rsidRPr="00CC2025">
              <w:t>36480</w:t>
            </w:r>
          </w:p>
        </w:tc>
        <w:tc>
          <w:tcPr>
            <w:tcW w:w="1161" w:type="dxa"/>
            <w:shd w:val="clear" w:color="auto" w:fill="auto"/>
          </w:tcPr>
          <w:p w14:paraId="18D38C6A" w14:textId="77777777" w:rsidR="006214F6" w:rsidRPr="00CC2025" w:rsidRDefault="006214F6" w:rsidP="0089666D">
            <w:pPr>
              <w:pStyle w:val="Tabletext"/>
            </w:pPr>
            <w:r w:rsidRPr="00CC2025">
              <w:t>44%</w:t>
            </w:r>
          </w:p>
        </w:tc>
        <w:tc>
          <w:tcPr>
            <w:tcW w:w="4428" w:type="dxa"/>
            <w:shd w:val="clear" w:color="auto" w:fill="auto"/>
          </w:tcPr>
          <w:p w14:paraId="06BE77D5" w14:textId="77777777" w:rsidR="006214F6" w:rsidRPr="00CC2025" w:rsidRDefault="006214F6" w:rsidP="0089666D">
            <w:pPr>
              <w:pStyle w:val="Tabletext"/>
            </w:pPr>
            <w:r w:rsidRPr="00CC2025">
              <w:t>Continuous measurement of flow and volume only</w:t>
            </w:r>
          </w:p>
        </w:tc>
      </w:tr>
      <w:tr w:rsidR="008F0B2B" w:rsidRPr="008F0B2B" w14:paraId="6582FB27" w14:textId="77777777" w:rsidTr="008F0B2B">
        <w:trPr>
          <w:trHeight w:val="80"/>
        </w:trPr>
        <w:tc>
          <w:tcPr>
            <w:tcW w:w="1161" w:type="dxa"/>
            <w:shd w:val="clear" w:color="auto" w:fill="auto"/>
          </w:tcPr>
          <w:p w14:paraId="4BFB5B34" w14:textId="77777777" w:rsidR="006214F6" w:rsidRPr="00CC2025" w:rsidRDefault="006214F6" w:rsidP="0089666D">
            <w:pPr>
              <w:pStyle w:val="Tabletext"/>
            </w:pPr>
            <w:r w:rsidRPr="00CC2025">
              <w:t>11512, 00116</w:t>
            </w:r>
          </w:p>
        </w:tc>
        <w:tc>
          <w:tcPr>
            <w:tcW w:w="1161" w:type="dxa"/>
            <w:shd w:val="clear" w:color="auto" w:fill="auto"/>
          </w:tcPr>
          <w:p w14:paraId="04E6C557" w14:textId="77777777" w:rsidR="006214F6" w:rsidRPr="00CC2025" w:rsidRDefault="006214F6" w:rsidP="0089666D">
            <w:pPr>
              <w:pStyle w:val="Tabletext"/>
            </w:pPr>
            <w:r w:rsidRPr="00CC2025">
              <w:t>25563</w:t>
            </w:r>
          </w:p>
        </w:tc>
        <w:tc>
          <w:tcPr>
            <w:tcW w:w="1161" w:type="dxa"/>
            <w:shd w:val="clear" w:color="auto" w:fill="auto"/>
          </w:tcPr>
          <w:p w14:paraId="242D6037" w14:textId="77777777" w:rsidR="006214F6" w:rsidRPr="00CC2025" w:rsidRDefault="006214F6" w:rsidP="0089666D">
            <w:pPr>
              <w:pStyle w:val="Tabletext"/>
            </w:pPr>
            <w:r w:rsidRPr="00CC2025">
              <w:t>51201</w:t>
            </w:r>
          </w:p>
        </w:tc>
        <w:tc>
          <w:tcPr>
            <w:tcW w:w="1161" w:type="dxa"/>
            <w:shd w:val="clear" w:color="auto" w:fill="auto"/>
          </w:tcPr>
          <w:p w14:paraId="7BD0EE00" w14:textId="77777777" w:rsidR="006214F6" w:rsidRPr="00CC2025" w:rsidRDefault="006214F6" w:rsidP="0089666D">
            <w:pPr>
              <w:pStyle w:val="Tabletext"/>
            </w:pPr>
            <w:r w:rsidRPr="00CC2025">
              <w:t>31%</w:t>
            </w:r>
          </w:p>
        </w:tc>
        <w:tc>
          <w:tcPr>
            <w:tcW w:w="4428" w:type="dxa"/>
            <w:shd w:val="clear" w:color="auto" w:fill="auto"/>
          </w:tcPr>
          <w:p w14:paraId="194775E8" w14:textId="77777777" w:rsidR="006214F6" w:rsidRPr="00CC2025" w:rsidRDefault="006214F6" w:rsidP="0089666D">
            <w:pPr>
              <w:pStyle w:val="Tabletext"/>
            </w:pPr>
            <w:r w:rsidRPr="00CC2025">
              <w:t>Continuous measurement of flow and volume &amp;</w:t>
            </w:r>
            <w:r w:rsidRPr="00CC2025">
              <w:rPr>
                <w:rFonts w:eastAsiaTheme="minorHAnsi"/>
              </w:rPr>
              <w:t xml:space="preserve"> subsequent consultant physician consultation</w:t>
            </w:r>
          </w:p>
        </w:tc>
      </w:tr>
      <w:tr w:rsidR="008F0B2B" w:rsidRPr="008F0B2B" w14:paraId="3A694856" w14:textId="77777777" w:rsidTr="008F0B2B">
        <w:trPr>
          <w:trHeight w:val="520"/>
        </w:trPr>
        <w:tc>
          <w:tcPr>
            <w:tcW w:w="1161" w:type="dxa"/>
            <w:shd w:val="clear" w:color="auto" w:fill="auto"/>
          </w:tcPr>
          <w:p w14:paraId="6CE9F802" w14:textId="77777777" w:rsidR="006214F6" w:rsidRPr="00CC2025" w:rsidRDefault="006214F6" w:rsidP="0089666D">
            <w:pPr>
              <w:pStyle w:val="Tabletext"/>
            </w:pPr>
            <w:r w:rsidRPr="00CC2025">
              <w:t>11512, 00110</w:t>
            </w:r>
          </w:p>
        </w:tc>
        <w:tc>
          <w:tcPr>
            <w:tcW w:w="1161" w:type="dxa"/>
            <w:shd w:val="clear" w:color="auto" w:fill="auto"/>
          </w:tcPr>
          <w:p w14:paraId="66DC53B1" w14:textId="77777777" w:rsidR="006214F6" w:rsidRPr="00CC2025" w:rsidRDefault="006214F6" w:rsidP="0089666D">
            <w:pPr>
              <w:pStyle w:val="Tabletext"/>
            </w:pPr>
            <w:r w:rsidRPr="00CC2025">
              <w:t>8440</w:t>
            </w:r>
          </w:p>
        </w:tc>
        <w:tc>
          <w:tcPr>
            <w:tcW w:w="1161" w:type="dxa"/>
            <w:shd w:val="clear" w:color="auto" w:fill="auto"/>
          </w:tcPr>
          <w:p w14:paraId="2D83ADF4" w14:textId="77777777" w:rsidR="006214F6" w:rsidRPr="00CC2025" w:rsidRDefault="006214F6" w:rsidP="0089666D">
            <w:pPr>
              <w:pStyle w:val="Tabletext"/>
            </w:pPr>
            <w:r w:rsidRPr="00CC2025">
              <w:t>16880</w:t>
            </w:r>
          </w:p>
        </w:tc>
        <w:tc>
          <w:tcPr>
            <w:tcW w:w="1161" w:type="dxa"/>
            <w:shd w:val="clear" w:color="auto" w:fill="auto"/>
          </w:tcPr>
          <w:p w14:paraId="2FB53EC3" w14:textId="77777777" w:rsidR="006214F6" w:rsidRPr="00CC2025" w:rsidRDefault="006214F6" w:rsidP="0089666D">
            <w:pPr>
              <w:pStyle w:val="Tabletext"/>
            </w:pPr>
            <w:r w:rsidRPr="00CC2025">
              <w:t>10%</w:t>
            </w:r>
          </w:p>
        </w:tc>
        <w:tc>
          <w:tcPr>
            <w:tcW w:w="4428" w:type="dxa"/>
            <w:shd w:val="clear" w:color="auto" w:fill="auto"/>
          </w:tcPr>
          <w:p w14:paraId="57357F80" w14:textId="77777777" w:rsidR="006214F6" w:rsidRPr="00CC2025" w:rsidRDefault="006214F6" w:rsidP="0089666D">
            <w:pPr>
              <w:pStyle w:val="Tabletext"/>
            </w:pPr>
            <w:r w:rsidRPr="00CC2025">
              <w:t>Continuous measurement of flow and volume &amp;</w:t>
            </w:r>
            <w:r w:rsidRPr="00CC2025">
              <w:rPr>
                <w:rFonts w:eastAsiaTheme="minorHAnsi"/>
              </w:rPr>
              <w:t xml:space="preserve"> initial consultant physician consultation</w:t>
            </w:r>
          </w:p>
        </w:tc>
      </w:tr>
      <w:tr w:rsidR="008F0B2B" w:rsidRPr="008F0B2B" w14:paraId="3BE62F42" w14:textId="77777777" w:rsidTr="008F0B2B">
        <w:trPr>
          <w:trHeight w:val="90"/>
        </w:trPr>
        <w:tc>
          <w:tcPr>
            <w:tcW w:w="1161" w:type="dxa"/>
            <w:shd w:val="clear" w:color="auto" w:fill="auto"/>
          </w:tcPr>
          <w:p w14:paraId="7408E83A" w14:textId="77777777" w:rsidR="006214F6" w:rsidRPr="00CC2025" w:rsidRDefault="006214F6" w:rsidP="0089666D">
            <w:pPr>
              <w:pStyle w:val="Tabletext"/>
            </w:pPr>
            <w:r w:rsidRPr="00CC2025">
              <w:t>11512, 00132</w:t>
            </w:r>
          </w:p>
        </w:tc>
        <w:tc>
          <w:tcPr>
            <w:tcW w:w="1161" w:type="dxa"/>
            <w:shd w:val="clear" w:color="auto" w:fill="auto"/>
          </w:tcPr>
          <w:p w14:paraId="14C1E2DF" w14:textId="77777777" w:rsidR="006214F6" w:rsidRPr="00CC2025" w:rsidRDefault="006214F6" w:rsidP="0089666D">
            <w:pPr>
              <w:pStyle w:val="Tabletext"/>
            </w:pPr>
            <w:r w:rsidRPr="00CC2025">
              <w:t>4432</w:t>
            </w:r>
          </w:p>
        </w:tc>
        <w:tc>
          <w:tcPr>
            <w:tcW w:w="1161" w:type="dxa"/>
            <w:shd w:val="clear" w:color="auto" w:fill="auto"/>
          </w:tcPr>
          <w:p w14:paraId="6D294AC4" w14:textId="77777777" w:rsidR="006214F6" w:rsidRPr="00CC2025" w:rsidRDefault="006214F6" w:rsidP="0089666D">
            <w:pPr>
              <w:pStyle w:val="Tabletext"/>
            </w:pPr>
            <w:r w:rsidRPr="00CC2025">
              <w:t>8864</w:t>
            </w:r>
          </w:p>
        </w:tc>
        <w:tc>
          <w:tcPr>
            <w:tcW w:w="1161" w:type="dxa"/>
            <w:shd w:val="clear" w:color="auto" w:fill="auto"/>
          </w:tcPr>
          <w:p w14:paraId="64264586" w14:textId="77777777" w:rsidR="006214F6" w:rsidRPr="00CC2025" w:rsidRDefault="006214F6" w:rsidP="0089666D">
            <w:pPr>
              <w:pStyle w:val="Tabletext"/>
            </w:pPr>
            <w:r w:rsidRPr="00CC2025">
              <w:t>5%</w:t>
            </w:r>
          </w:p>
        </w:tc>
        <w:tc>
          <w:tcPr>
            <w:tcW w:w="4428" w:type="dxa"/>
            <w:shd w:val="clear" w:color="auto" w:fill="auto"/>
          </w:tcPr>
          <w:p w14:paraId="2B461D7E" w14:textId="77777777" w:rsidR="006214F6" w:rsidRPr="00CC2025" w:rsidRDefault="006214F6" w:rsidP="0089666D">
            <w:pPr>
              <w:pStyle w:val="Tabletext"/>
            </w:pPr>
            <w:r w:rsidRPr="00CC2025">
              <w:t>Continuous measurement of flow and volume &amp;</w:t>
            </w:r>
            <w:r w:rsidRPr="00CC2025">
              <w:rPr>
                <w:rFonts w:eastAsiaTheme="minorHAnsi"/>
              </w:rPr>
              <w:t xml:space="preserve"> consultant physician treatment and management plan</w:t>
            </w:r>
          </w:p>
        </w:tc>
      </w:tr>
      <w:tr w:rsidR="008F0B2B" w:rsidRPr="008F0B2B" w14:paraId="58865F8E" w14:textId="77777777" w:rsidTr="008F0B2B">
        <w:trPr>
          <w:trHeight w:val="90"/>
        </w:trPr>
        <w:tc>
          <w:tcPr>
            <w:tcW w:w="1161" w:type="dxa"/>
            <w:shd w:val="clear" w:color="auto" w:fill="auto"/>
          </w:tcPr>
          <w:p w14:paraId="08AFD192" w14:textId="77777777" w:rsidR="006214F6" w:rsidRPr="00CC2025" w:rsidRDefault="006214F6" w:rsidP="0089666D">
            <w:pPr>
              <w:pStyle w:val="Tabletext"/>
            </w:pPr>
            <w:r w:rsidRPr="00CC2025">
              <w:t>11512, 00133</w:t>
            </w:r>
          </w:p>
        </w:tc>
        <w:tc>
          <w:tcPr>
            <w:tcW w:w="1161" w:type="dxa"/>
            <w:shd w:val="clear" w:color="auto" w:fill="auto"/>
          </w:tcPr>
          <w:p w14:paraId="5C07724E" w14:textId="77777777" w:rsidR="006214F6" w:rsidRPr="00CC2025" w:rsidRDefault="006214F6" w:rsidP="0089666D">
            <w:pPr>
              <w:pStyle w:val="Tabletext"/>
            </w:pPr>
            <w:r w:rsidRPr="00CC2025">
              <w:t>2085</w:t>
            </w:r>
          </w:p>
        </w:tc>
        <w:tc>
          <w:tcPr>
            <w:tcW w:w="1161" w:type="dxa"/>
            <w:shd w:val="clear" w:color="auto" w:fill="auto"/>
          </w:tcPr>
          <w:p w14:paraId="24B8F0E1" w14:textId="77777777" w:rsidR="006214F6" w:rsidRPr="00CC2025" w:rsidRDefault="006214F6" w:rsidP="0089666D">
            <w:pPr>
              <w:pStyle w:val="Tabletext"/>
            </w:pPr>
            <w:r w:rsidRPr="00CC2025">
              <w:t>4170</w:t>
            </w:r>
          </w:p>
        </w:tc>
        <w:tc>
          <w:tcPr>
            <w:tcW w:w="1161" w:type="dxa"/>
            <w:shd w:val="clear" w:color="auto" w:fill="auto"/>
          </w:tcPr>
          <w:p w14:paraId="65FDB9B5" w14:textId="77777777" w:rsidR="006214F6" w:rsidRPr="00CC2025" w:rsidRDefault="006214F6" w:rsidP="0089666D">
            <w:pPr>
              <w:pStyle w:val="Tabletext"/>
            </w:pPr>
            <w:r w:rsidRPr="00CC2025">
              <w:t>3%</w:t>
            </w:r>
          </w:p>
        </w:tc>
        <w:tc>
          <w:tcPr>
            <w:tcW w:w="4428" w:type="dxa"/>
            <w:shd w:val="clear" w:color="auto" w:fill="auto"/>
          </w:tcPr>
          <w:p w14:paraId="51CA4A04" w14:textId="77777777" w:rsidR="006214F6" w:rsidRPr="00CC2025" w:rsidRDefault="006214F6" w:rsidP="0089666D">
            <w:pPr>
              <w:pStyle w:val="Tabletext"/>
            </w:pPr>
            <w:r w:rsidRPr="00CC2025">
              <w:t>Continuous measurement of flow and volume &amp;</w:t>
            </w:r>
            <w:r w:rsidRPr="00CC2025">
              <w:rPr>
                <w:rFonts w:eastAsiaTheme="minorHAnsi"/>
              </w:rPr>
              <w:t xml:space="preserve"> review of consultant physician treatment and management plan</w:t>
            </w:r>
          </w:p>
        </w:tc>
      </w:tr>
      <w:tr w:rsidR="008F0B2B" w:rsidRPr="008F0B2B" w14:paraId="685021BA" w14:textId="77777777" w:rsidTr="008F0B2B">
        <w:trPr>
          <w:trHeight w:val="80"/>
        </w:trPr>
        <w:tc>
          <w:tcPr>
            <w:tcW w:w="1161" w:type="dxa"/>
            <w:shd w:val="clear" w:color="auto" w:fill="auto"/>
          </w:tcPr>
          <w:p w14:paraId="360CBE34" w14:textId="77777777" w:rsidR="006214F6" w:rsidRPr="00CC2025" w:rsidRDefault="006214F6" w:rsidP="0089666D">
            <w:pPr>
              <w:pStyle w:val="Tabletext"/>
            </w:pPr>
            <w:r w:rsidRPr="00CC2025">
              <w:t>11713, 11610, 11512, 00116</w:t>
            </w:r>
          </w:p>
        </w:tc>
        <w:tc>
          <w:tcPr>
            <w:tcW w:w="1161" w:type="dxa"/>
            <w:shd w:val="clear" w:color="auto" w:fill="auto"/>
          </w:tcPr>
          <w:p w14:paraId="21E98EC9" w14:textId="77777777" w:rsidR="006214F6" w:rsidRPr="00CC2025" w:rsidRDefault="006214F6" w:rsidP="0089666D">
            <w:pPr>
              <w:pStyle w:val="Tabletext"/>
            </w:pPr>
            <w:r w:rsidRPr="00CC2025">
              <w:t>1495</w:t>
            </w:r>
          </w:p>
        </w:tc>
        <w:tc>
          <w:tcPr>
            <w:tcW w:w="1161" w:type="dxa"/>
            <w:shd w:val="clear" w:color="auto" w:fill="auto"/>
          </w:tcPr>
          <w:p w14:paraId="181769D9" w14:textId="77777777" w:rsidR="006214F6" w:rsidRPr="00CC2025" w:rsidRDefault="006214F6" w:rsidP="0089666D">
            <w:pPr>
              <w:pStyle w:val="Tabletext"/>
            </w:pPr>
            <w:r w:rsidRPr="00CC2025">
              <w:t>5981</w:t>
            </w:r>
          </w:p>
        </w:tc>
        <w:tc>
          <w:tcPr>
            <w:tcW w:w="1161" w:type="dxa"/>
            <w:shd w:val="clear" w:color="auto" w:fill="auto"/>
          </w:tcPr>
          <w:p w14:paraId="55445F7B" w14:textId="77777777" w:rsidR="006214F6" w:rsidRPr="00CC2025" w:rsidRDefault="006214F6" w:rsidP="0089666D">
            <w:pPr>
              <w:pStyle w:val="Tabletext"/>
            </w:pPr>
            <w:r w:rsidRPr="00CC2025">
              <w:t>2%</w:t>
            </w:r>
          </w:p>
        </w:tc>
        <w:tc>
          <w:tcPr>
            <w:tcW w:w="4428" w:type="dxa"/>
            <w:shd w:val="clear" w:color="auto" w:fill="auto"/>
          </w:tcPr>
          <w:p w14:paraId="3B0FCD9F" w14:textId="77777777" w:rsidR="006214F6" w:rsidRPr="00CC2025" w:rsidRDefault="006214F6" w:rsidP="0089666D">
            <w:pPr>
              <w:pStyle w:val="Tabletext"/>
            </w:pPr>
            <w:r w:rsidRPr="00CC2025">
              <w:t>Continuous measurement of flow and volume &amp;</w:t>
            </w:r>
            <w:r w:rsidRPr="00CC2025">
              <w:rPr>
                <w:rFonts w:eastAsiaTheme="minorHAnsi"/>
              </w:rPr>
              <w:t xml:space="preserve"> measurement of ankle brachial indices and arterial waveform analysis, subsequent consultant physician consultation</w:t>
            </w:r>
            <w:r w:rsidRPr="00CC2025">
              <w:t xml:space="preserve"> &amp; signal averaged ECG recording.</w:t>
            </w:r>
          </w:p>
        </w:tc>
      </w:tr>
      <w:tr w:rsidR="008F0B2B" w:rsidRPr="008F0B2B" w14:paraId="00C12340" w14:textId="77777777" w:rsidTr="008F0B2B">
        <w:trPr>
          <w:trHeight w:val="80"/>
        </w:trPr>
        <w:tc>
          <w:tcPr>
            <w:tcW w:w="1161" w:type="dxa"/>
            <w:shd w:val="clear" w:color="auto" w:fill="auto"/>
          </w:tcPr>
          <w:p w14:paraId="652ADC05" w14:textId="77777777" w:rsidR="006214F6" w:rsidRPr="00CC2025" w:rsidRDefault="006214F6" w:rsidP="0089666D">
            <w:pPr>
              <w:pStyle w:val="Tabletext"/>
            </w:pPr>
            <w:r w:rsidRPr="00CC2025">
              <w:t>11512, 11503</w:t>
            </w:r>
          </w:p>
        </w:tc>
        <w:tc>
          <w:tcPr>
            <w:tcW w:w="1161" w:type="dxa"/>
            <w:shd w:val="clear" w:color="auto" w:fill="auto"/>
          </w:tcPr>
          <w:p w14:paraId="3847AAE5" w14:textId="77777777" w:rsidR="006214F6" w:rsidRPr="00CC2025" w:rsidRDefault="006214F6" w:rsidP="0089666D">
            <w:pPr>
              <w:pStyle w:val="Tabletext"/>
            </w:pPr>
            <w:r w:rsidRPr="00CC2025">
              <w:t>924</w:t>
            </w:r>
          </w:p>
        </w:tc>
        <w:tc>
          <w:tcPr>
            <w:tcW w:w="1161" w:type="dxa"/>
            <w:shd w:val="clear" w:color="auto" w:fill="auto"/>
          </w:tcPr>
          <w:p w14:paraId="3073EF6E" w14:textId="77777777" w:rsidR="006214F6" w:rsidRPr="00CC2025" w:rsidRDefault="006214F6" w:rsidP="0089666D">
            <w:pPr>
              <w:pStyle w:val="Tabletext"/>
            </w:pPr>
            <w:r w:rsidRPr="00CC2025">
              <w:t>1851</w:t>
            </w:r>
          </w:p>
        </w:tc>
        <w:tc>
          <w:tcPr>
            <w:tcW w:w="1161" w:type="dxa"/>
            <w:shd w:val="clear" w:color="auto" w:fill="auto"/>
          </w:tcPr>
          <w:p w14:paraId="6AB51970" w14:textId="77777777" w:rsidR="006214F6" w:rsidRPr="00CC2025" w:rsidRDefault="006214F6" w:rsidP="0089666D">
            <w:pPr>
              <w:pStyle w:val="Tabletext"/>
            </w:pPr>
            <w:r w:rsidRPr="00CC2025">
              <w:t>1%</w:t>
            </w:r>
          </w:p>
        </w:tc>
        <w:tc>
          <w:tcPr>
            <w:tcW w:w="4428" w:type="dxa"/>
            <w:shd w:val="clear" w:color="auto" w:fill="auto"/>
          </w:tcPr>
          <w:p w14:paraId="409DCCA8" w14:textId="77777777" w:rsidR="006214F6" w:rsidRPr="00CC2025" w:rsidRDefault="006214F6" w:rsidP="0089666D">
            <w:pPr>
              <w:pStyle w:val="Tabletext"/>
            </w:pPr>
            <w:r w:rsidRPr="00CC2025">
              <w:t>Continuous measurement of flow and volume &amp;</w:t>
            </w:r>
            <w:r w:rsidRPr="00CC2025">
              <w:rPr>
                <w:rFonts w:eastAsiaTheme="minorHAnsi"/>
              </w:rPr>
              <w:t xml:space="preserve"> </w:t>
            </w:r>
            <w:r w:rsidRPr="00CC2025">
              <w:t>Various respiratory function tests</w:t>
            </w:r>
          </w:p>
        </w:tc>
      </w:tr>
      <w:tr w:rsidR="008F0B2B" w:rsidRPr="008F0B2B" w14:paraId="1E8AE7DC" w14:textId="77777777" w:rsidTr="008F0B2B">
        <w:trPr>
          <w:trHeight w:val="80"/>
        </w:trPr>
        <w:tc>
          <w:tcPr>
            <w:tcW w:w="1161" w:type="dxa"/>
            <w:shd w:val="clear" w:color="auto" w:fill="auto"/>
          </w:tcPr>
          <w:p w14:paraId="0C71F60A" w14:textId="77777777" w:rsidR="006214F6" w:rsidRPr="00CC2025" w:rsidRDefault="006214F6" w:rsidP="0089666D">
            <w:pPr>
              <w:pStyle w:val="Tabletext"/>
            </w:pPr>
            <w:r w:rsidRPr="00CC2025">
              <w:t>12000, 11512</w:t>
            </w:r>
          </w:p>
        </w:tc>
        <w:tc>
          <w:tcPr>
            <w:tcW w:w="1161" w:type="dxa"/>
            <w:shd w:val="clear" w:color="auto" w:fill="auto"/>
          </w:tcPr>
          <w:p w14:paraId="0AF8A26C" w14:textId="77777777" w:rsidR="006214F6" w:rsidRPr="00CC2025" w:rsidRDefault="006214F6" w:rsidP="0089666D">
            <w:pPr>
              <w:pStyle w:val="Tabletext"/>
            </w:pPr>
            <w:r w:rsidRPr="00CC2025">
              <w:t>306</w:t>
            </w:r>
          </w:p>
        </w:tc>
        <w:tc>
          <w:tcPr>
            <w:tcW w:w="1161" w:type="dxa"/>
            <w:shd w:val="clear" w:color="auto" w:fill="auto"/>
          </w:tcPr>
          <w:p w14:paraId="7F7BBE78" w14:textId="77777777" w:rsidR="006214F6" w:rsidRPr="00CC2025" w:rsidRDefault="006214F6" w:rsidP="0089666D">
            <w:pPr>
              <w:pStyle w:val="Tabletext"/>
            </w:pPr>
            <w:r w:rsidRPr="00CC2025">
              <w:t>612</w:t>
            </w:r>
          </w:p>
        </w:tc>
        <w:tc>
          <w:tcPr>
            <w:tcW w:w="1161" w:type="dxa"/>
            <w:shd w:val="clear" w:color="auto" w:fill="auto"/>
          </w:tcPr>
          <w:p w14:paraId="4946F0C0" w14:textId="77777777" w:rsidR="006214F6" w:rsidRPr="00CC2025" w:rsidRDefault="006214F6" w:rsidP="0089666D">
            <w:pPr>
              <w:pStyle w:val="Tabletext"/>
            </w:pPr>
            <w:r w:rsidRPr="00CC2025">
              <w:t>0%</w:t>
            </w:r>
          </w:p>
        </w:tc>
        <w:tc>
          <w:tcPr>
            <w:tcW w:w="4428" w:type="dxa"/>
            <w:shd w:val="clear" w:color="auto" w:fill="auto"/>
          </w:tcPr>
          <w:p w14:paraId="418ECE3E" w14:textId="77777777" w:rsidR="006214F6" w:rsidRPr="00CC2025" w:rsidRDefault="006214F6" w:rsidP="0089666D">
            <w:pPr>
              <w:pStyle w:val="Tabletext"/>
            </w:pPr>
            <w:r w:rsidRPr="00CC2025">
              <w:t>Continuous measurement of flow and volume &amp;</w:t>
            </w:r>
            <w:r w:rsidRPr="00CC2025">
              <w:rPr>
                <w:rFonts w:eastAsiaTheme="minorHAnsi"/>
              </w:rPr>
              <w:t xml:space="preserve"> </w:t>
            </w:r>
            <w:r w:rsidRPr="00CC2025">
              <w:t>Skin sensitivity testing (less than 20 allergens)</w:t>
            </w:r>
          </w:p>
        </w:tc>
      </w:tr>
      <w:tr w:rsidR="008F0B2B" w:rsidRPr="008F0B2B" w14:paraId="001CA52E" w14:textId="77777777" w:rsidTr="008F0B2B">
        <w:trPr>
          <w:trHeight w:val="676"/>
        </w:trPr>
        <w:tc>
          <w:tcPr>
            <w:tcW w:w="1161" w:type="dxa"/>
            <w:shd w:val="clear" w:color="auto" w:fill="auto"/>
          </w:tcPr>
          <w:p w14:paraId="51ED9366" w14:textId="77777777" w:rsidR="006214F6" w:rsidRPr="00CC2025" w:rsidRDefault="006214F6" w:rsidP="0089666D">
            <w:pPr>
              <w:pStyle w:val="Tabletext"/>
            </w:pPr>
            <w:r w:rsidRPr="00CC2025">
              <w:t>11713, 11610, 11512</w:t>
            </w:r>
          </w:p>
        </w:tc>
        <w:tc>
          <w:tcPr>
            <w:tcW w:w="1161" w:type="dxa"/>
            <w:shd w:val="clear" w:color="auto" w:fill="auto"/>
          </w:tcPr>
          <w:p w14:paraId="223C9DE7" w14:textId="77777777" w:rsidR="006214F6" w:rsidRPr="00CC2025" w:rsidRDefault="006214F6" w:rsidP="0089666D">
            <w:pPr>
              <w:pStyle w:val="Tabletext"/>
            </w:pPr>
            <w:r w:rsidRPr="00CC2025">
              <w:t>281</w:t>
            </w:r>
          </w:p>
        </w:tc>
        <w:tc>
          <w:tcPr>
            <w:tcW w:w="1161" w:type="dxa"/>
            <w:shd w:val="clear" w:color="auto" w:fill="auto"/>
          </w:tcPr>
          <w:p w14:paraId="0A826556" w14:textId="77777777" w:rsidR="006214F6" w:rsidRPr="00CC2025" w:rsidRDefault="006214F6" w:rsidP="0089666D">
            <w:pPr>
              <w:pStyle w:val="Tabletext"/>
            </w:pPr>
            <w:r w:rsidRPr="00CC2025">
              <w:t>843</w:t>
            </w:r>
          </w:p>
        </w:tc>
        <w:tc>
          <w:tcPr>
            <w:tcW w:w="1161" w:type="dxa"/>
            <w:shd w:val="clear" w:color="auto" w:fill="auto"/>
          </w:tcPr>
          <w:p w14:paraId="4776537B" w14:textId="77777777" w:rsidR="006214F6" w:rsidRPr="00CC2025" w:rsidRDefault="006214F6" w:rsidP="0089666D">
            <w:pPr>
              <w:pStyle w:val="Tabletext"/>
            </w:pPr>
            <w:r w:rsidRPr="00CC2025">
              <w:t>0%</w:t>
            </w:r>
          </w:p>
        </w:tc>
        <w:tc>
          <w:tcPr>
            <w:tcW w:w="4428" w:type="dxa"/>
            <w:shd w:val="clear" w:color="auto" w:fill="auto"/>
          </w:tcPr>
          <w:p w14:paraId="216D7B37" w14:textId="77777777" w:rsidR="006214F6" w:rsidRPr="00CC2025" w:rsidRDefault="006214F6" w:rsidP="0089666D">
            <w:pPr>
              <w:pStyle w:val="Tabletext"/>
            </w:pPr>
            <w:r w:rsidRPr="00CC2025">
              <w:t>Continuous measurement of flow and volume &amp;</w:t>
            </w:r>
            <w:r w:rsidRPr="00CC2025">
              <w:rPr>
                <w:rFonts w:eastAsiaTheme="minorHAnsi"/>
              </w:rPr>
              <w:t xml:space="preserve"> measurement of ankle brachial indices and arterial waveform analysis </w:t>
            </w:r>
            <w:r w:rsidRPr="00CC2025">
              <w:t>&amp; signal averaged ECG recording.</w:t>
            </w:r>
          </w:p>
        </w:tc>
      </w:tr>
      <w:tr w:rsidR="008F0B2B" w:rsidRPr="008F0B2B" w14:paraId="4D1E3455" w14:textId="77777777" w:rsidTr="008F0B2B">
        <w:trPr>
          <w:trHeight w:val="402"/>
        </w:trPr>
        <w:tc>
          <w:tcPr>
            <w:tcW w:w="1161" w:type="dxa"/>
            <w:shd w:val="clear" w:color="auto" w:fill="auto"/>
          </w:tcPr>
          <w:p w14:paraId="65F99207" w14:textId="77777777" w:rsidR="006214F6" w:rsidRPr="00CC2025" w:rsidRDefault="006214F6" w:rsidP="0089666D">
            <w:pPr>
              <w:pStyle w:val="Tabletext"/>
            </w:pPr>
            <w:r w:rsidRPr="00CC2025">
              <w:lastRenderedPageBreak/>
              <w:t>12003, 11512</w:t>
            </w:r>
          </w:p>
        </w:tc>
        <w:tc>
          <w:tcPr>
            <w:tcW w:w="1161" w:type="dxa"/>
            <w:shd w:val="clear" w:color="auto" w:fill="auto"/>
          </w:tcPr>
          <w:p w14:paraId="3263F8DA" w14:textId="77777777" w:rsidR="006214F6" w:rsidRPr="00CC2025" w:rsidRDefault="006214F6" w:rsidP="0089666D">
            <w:pPr>
              <w:pStyle w:val="Tabletext"/>
            </w:pPr>
            <w:r w:rsidRPr="00CC2025">
              <w:t>278</w:t>
            </w:r>
          </w:p>
        </w:tc>
        <w:tc>
          <w:tcPr>
            <w:tcW w:w="1161" w:type="dxa"/>
            <w:shd w:val="clear" w:color="auto" w:fill="auto"/>
          </w:tcPr>
          <w:p w14:paraId="404E910C" w14:textId="77777777" w:rsidR="006214F6" w:rsidRPr="00CC2025" w:rsidRDefault="006214F6" w:rsidP="0089666D">
            <w:pPr>
              <w:pStyle w:val="Tabletext"/>
            </w:pPr>
            <w:r w:rsidRPr="00CC2025">
              <w:t>556</w:t>
            </w:r>
          </w:p>
        </w:tc>
        <w:tc>
          <w:tcPr>
            <w:tcW w:w="1161" w:type="dxa"/>
            <w:shd w:val="clear" w:color="auto" w:fill="auto"/>
          </w:tcPr>
          <w:p w14:paraId="211F48A3" w14:textId="77777777" w:rsidR="006214F6" w:rsidRPr="00CC2025" w:rsidRDefault="006214F6" w:rsidP="0089666D">
            <w:pPr>
              <w:pStyle w:val="Tabletext"/>
            </w:pPr>
            <w:r w:rsidRPr="00CC2025">
              <w:t>0%</w:t>
            </w:r>
          </w:p>
        </w:tc>
        <w:tc>
          <w:tcPr>
            <w:tcW w:w="4428" w:type="dxa"/>
            <w:shd w:val="clear" w:color="auto" w:fill="auto"/>
          </w:tcPr>
          <w:p w14:paraId="48324F6F" w14:textId="77777777" w:rsidR="006214F6" w:rsidRPr="00CC2025" w:rsidRDefault="006214F6" w:rsidP="0089666D">
            <w:pPr>
              <w:pStyle w:val="Tabletext"/>
            </w:pPr>
            <w:r w:rsidRPr="00CC2025">
              <w:t>Continuous measurement of flow and volume &amp; Skin sensitivity testing (more than 20 allergens)</w:t>
            </w:r>
          </w:p>
        </w:tc>
      </w:tr>
    </w:tbl>
    <w:p w14:paraId="1ACA8702" w14:textId="77777777" w:rsidR="004A278B" w:rsidRPr="00DA5B19" w:rsidRDefault="004A278B" w:rsidP="00DA5B19">
      <w:pPr>
        <w:pStyle w:val="TableUnderLast"/>
      </w:pPr>
      <w:r w:rsidRPr="00DA5B19">
        <w:t>Unpublished data (Department of Health)</w:t>
      </w:r>
    </w:p>
    <w:p w14:paraId="66AA214E" w14:textId="77777777" w:rsidR="00D826BE" w:rsidRDefault="00D826BE" w:rsidP="006618D2">
      <w:pPr>
        <w:sectPr w:rsidR="00D826BE" w:rsidSect="008F0B2B">
          <w:headerReference w:type="default" r:id="rId45"/>
          <w:footerReference w:type="default" r:id="rId46"/>
          <w:endnotePr>
            <w:numFmt w:val="decimal"/>
          </w:endnotePr>
          <w:pgSz w:w="11901" w:h="16840" w:code="9"/>
          <w:pgMar w:top="1440" w:right="1021" w:bottom="1440" w:left="1021" w:header="567" w:footer="567" w:gutter="0"/>
          <w:paperSrc w:first="2" w:other="2"/>
          <w:cols w:space="720"/>
          <w:docGrid w:linePitch="326"/>
        </w:sectPr>
      </w:pPr>
    </w:p>
    <w:p w14:paraId="27CC956A" w14:textId="77777777" w:rsidR="00F85147" w:rsidRPr="008343A1" w:rsidRDefault="00E8524B" w:rsidP="008A4CE9">
      <w:pPr>
        <w:pStyle w:val="AppendixStyle1"/>
      </w:pPr>
      <w:bookmarkStart w:id="436" w:name="_Toc458510028"/>
      <w:bookmarkStart w:id="437" w:name="_Toc458768513"/>
      <w:bookmarkStart w:id="438" w:name="_Toc458768673"/>
      <w:bookmarkStart w:id="439" w:name="_Toc478721532"/>
      <w:r w:rsidRPr="008A4CE9">
        <w:lastRenderedPageBreak/>
        <w:t>Summary</w:t>
      </w:r>
      <w:r w:rsidRPr="008343A1">
        <w:t xml:space="preserve"> </w:t>
      </w:r>
      <w:bookmarkEnd w:id="436"/>
      <w:bookmarkEnd w:id="437"/>
      <w:bookmarkEnd w:id="438"/>
      <w:r w:rsidR="00992A24">
        <w:t>for consumers</w:t>
      </w:r>
      <w:bookmarkEnd w:id="439"/>
    </w:p>
    <w:p w14:paraId="6E8CC272" w14:textId="77777777" w:rsidR="00F85147" w:rsidRPr="001F3D23" w:rsidRDefault="009F47E0" w:rsidP="006618D2">
      <w:pPr>
        <w:pStyle w:val="Heading2a"/>
      </w:pPr>
      <w:bookmarkStart w:id="440" w:name="_Toc458510029"/>
      <w:r>
        <w:t xml:space="preserve">Thoracic medicine </w:t>
      </w:r>
      <w:r w:rsidR="00F85147">
        <w:t>i</w:t>
      </w:r>
      <w:r w:rsidR="00F85147" w:rsidRPr="001F3D23">
        <w:t>tem recommendations</w:t>
      </w:r>
      <w:bookmarkEnd w:id="440"/>
    </w:p>
    <w:p w14:paraId="290C7F6F" w14:textId="77777777" w:rsidR="00F85147" w:rsidRDefault="00F85147" w:rsidP="00DA5B19">
      <w:r w:rsidRPr="001F3D23">
        <w:t>Th</w:t>
      </w:r>
      <w:r w:rsidR="009F4C14">
        <w:t xml:space="preserve">e following </w:t>
      </w:r>
      <w:r w:rsidRPr="001F3D23">
        <w:t>table</w:t>
      </w:r>
      <w:r w:rsidR="009F4C14">
        <w:t>s</w:t>
      </w:r>
      <w:r w:rsidRPr="001F3D23">
        <w:t xml:space="preserve"> describe the medical service, recommendation of the Clinical Experts and why the recommendation has been made.</w:t>
      </w:r>
      <w:r w:rsidR="005B65C7">
        <w:t xml:space="preserve"> </w:t>
      </w:r>
    </w:p>
    <w:p w14:paraId="5F818E14" w14:textId="77777777" w:rsidR="00D00205" w:rsidRDefault="00D00205" w:rsidP="0099709F">
      <w:pPr>
        <w:pStyle w:val="Caption"/>
      </w:pPr>
      <w:bookmarkStart w:id="441" w:name="_Toc478721573"/>
      <w:r>
        <w:t>Table E1:</w:t>
      </w:r>
      <w:r>
        <w:tab/>
        <w:t>MBS items for re</w:t>
      </w:r>
      <w:r w:rsidRPr="0099709F">
        <w:t>spiratory function tests</w:t>
      </w:r>
      <w:bookmarkEnd w:id="441"/>
    </w:p>
    <w:tbl>
      <w:tblPr>
        <w:tblStyle w:val="TableGrid4"/>
        <w:tblW w:w="14175" w:type="dxa"/>
        <w:tblInd w:w="250"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E1 lists the items for respiratory function tests, and provides recommendations for these items by the clinical experts and why the recommendations have been made."/>
      </w:tblPr>
      <w:tblGrid>
        <w:gridCol w:w="1843"/>
        <w:gridCol w:w="2626"/>
        <w:gridCol w:w="2628"/>
        <w:gridCol w:w="3540"/>
        <w:gridCol w:w="3538"/>
      </w:tblGrid>
      <w:tr w:rsidR="00CF584E" w:rsidRPr="008F0B2B" w14:paraId="5B249021" w14:textId="77777777" w:rsidTr="002264E3">
        <w:trPr>
          <w:tblHeader/>
        </w:trPr>
        <w:tc>
          <w:tcPr>
            <w:tcW w:w="1843" w:type="dxa"/>
          </w:tcPr>
          <w:p w14:paraId="08347D6B" w14:textId="77777777" w:rsidR="00CF584E" w:rsidRPr="008F0B2B" w:rsidRDefault="00CF584E" w:rsidP="00CB6E2A">
            <w:pPr>
              <w:pStyle w:val="01Tableheaderrow"/>
            </w:pPr>
            <w:r w:rsidRPr="008F0B2B">
              <w:t xml:space="preserve">Item </w:t>
            </w:r>
          </w:p>
        </w:tc>
        <w:tc>
          <w:tcPr>
            <w:tcW w:w="2626" w:type="dxa"/>
          </w:tcPr>
          <w:p w14:paraId="60BC37C7" w14:textId="77777777" w:rsidR="00CF584E" w:rsidRPr="008F0B2B" w:rsidRDefault="00CF584E" w:rsidP="00CB6E2A">
            <w:pPr>
              <w:pStyle w:val="01Tableheaderrow"/>
            </w:pPr>
            <w:r w:rsidRPr="008F0B2B">
              <w:t xml:space="preserve">What it does </w:t>
            </w:r>
          </w:p>
        </w:tc>
        <w:tc>
          <w:tcPr>
            <w:tcW w:w="2628" w:type="dxa"/>
          </w:tcPr>
          <w:p w14:paraId="2FB4B931" w14:textId="77777777" w:rsidR="00CF584E" w:rsidRPr="008F0B2B" w:rsidRDefault="00CF584E" w:rsidP="00CB6E2A">
            <w:pPr>
              <w:pStyle w:val="01Tableheaderrow"/>
            </w:pPr>
            <w:r w:rsidRPr="008F0B2B">
              <w:t>Committee Recommendation</w:t>
            </w:r>
          </w:p>
        </w:tc>
        <w:tc>
          <w:tcPr>
            <w:tcW w:w="3540" w:type="dxa"/>
          </w:tcPr>
          <w:p w14:paraId="433155DB" w14:textId="77777777" w:rsidR="00CF584E" w:rsidRPr="008F0B2B" w:rsidRDefault="00CF584E" w:rsidP="00CB6E2A">
            <w:pPr>
              <w:pStyle w:val="01Tableheaderrow"/>
            </w:pPr>
            <w:r w:rsidRPr="008F0B2B">
              <w:t>What would be different</w:t>
            </w:r>
          </w:p>
        </w:tc>
        <w:tc>
          <w:tcPr>
            <w:tcW w:w="3538" w:type="dxa"/>
          </w:tcPr>
          <w:p w14:paraId="56B79038" w14:textId="77777777" w:rsidR="00CF584E" w:rsidRPr="008F0B2B" w:rsidRDefault="00CF584E" w:rsidP="00CB6E2A">
            <w:pPr>
              <w:pStyle w:val="01Tableheaderrow"/>
            </w:pPr>
            <w:r w:rsidRPr="008F0B2B">
              <w:t>Why</w:t>
            </w:r>
          </w:p>
        </w:tc>
      </w:tr>
      <w:tr w:rsidR="00CF584E" w:rsidRPr="008F0B2B" w14:paraId="71B74345" w14:textId="77777777" w:rsidTr="002264E3">
        <w:tc>
          <w:tcPr>
            <w:tcW w:w="1843" w:type="dxa"/>
          </w:tcPr>
          <w:p w14:paraId="24BA2F63" w14:textId="77777777" w:rsidR="00CF584E" w:rsidRPr="008F0B2B" w:rsidRDefault="00CF584E" w:rsidP="002264E3">
            <w:pPr>
              <w:pStyle w:val="Tabletext"/>
            </w:pPr>
            <w:r w:rsidRPr="008F0B2B">
              <w:rPr>
                <w:b/>
              </w:rPr>
              <w:t xml:space="preserve">11503 </w:t>
            </w:r>
            <w:r>
              <w:rPr>
                <w:b/>
              </w:rPr>
              <w:t xml:space="preserve">– </w:t>
            </w:r>
            <w:r w:rsidRPr="008F0B2B">
              <w:t xml:space="preserve">Laboratory based Complex Lung Function Tests </w:t>
            </w:r>
          </w:p>
        </w:tc>
        <w:tc>
          <w:tcPr>
            <w:tcW w:w="2626" w:type="dxa"/>
          </w:tcPr>
          <w:p w14:paraId="15B8A3F0" w14:textId="77777777" w:rsidR="00CF584E" w:rsidRPr="008F0B2B" w:rsidRDefault="00CF584E" w:rsidP="002264E3">
            <w:pPr>
              <w:pStyle w:val="Tabletext"/>
            </w:pPr>
            <w:r w:rsidRPr="008F0B2B">
              <w:t xml:space="preserve">A number of common, complex tests which are performed in a laboratory and which are used to diagnose and manage a range of lung diseases. </w:t>
            </w:r>
          </w:p>
        </w:tc>
        <w:tc>
          <w:tcPr>
            <w:tcW w:w="2628" w:type="dxa"/>
          </w:tcPr>
          <w:p w14:paraId="6775DFCA" w14:textId="77777777" w:rsidR="00CF584E" w:rsidRPr="008F0B2B" w:rsidRDefault="00CF584E" w:rsidP="002264E3">
            <w:pPr>
              <w:pStyle w:val="Tabletext"/>
            </w:pPr>
            <w:r w:rsidRPr="008F0B2B">
              <w:t xml:space="preserve">The list of tests has been updated to describe which tests can be undertaken under the item and to include more modern tests. </w:t>
            </w:r>
          </w:p>
        </w:tc>
        <w:tc>
          <w:tcPr>
            <w:tcW w:w="3540" w:type="dxa"/>
          </w:tcPr>
          <w:p w14:paraId="30172BAA" w14:textId="77777777" w:rsidR="00CF584E" w:rsidRPr="008F0B2B" w:rsidRDefault="00CF584E" w:rsidP="002264E3">
            <w:pPr>
              <w:pStyle w:val="Tabletext"/>
            </w:pPr>
            <w:r w:rsidRPr="008F0B2B">
              <w:t>This change:</w:t>
            </w:r>
          </w:p>
          <w:p w14:paraId="03F2E616" w14:textId="77777777" w:rsidR="00CF584E" w:rsidRPr="008F0B2B" w:rsidRDefault="00CF584E" w:rsidP="002264E3">
            <w:pPr>
              <w:pStyle w:val="06Tablebullet"/>
            </w:pPr>
            <w:r w:rsidRPr="008F0B2B">
              <w:t>introduces a new test for patients who need subsidised medicines or portable oxygen;</w:t>
            </w:r>
          </w:p>
          <w:p w14:paraId="18719EDB" w14:textId="77777777" w:rsidR="00CF584E" w:rsidRPr="008F0B2B" w:rsidRDefault="00CF584E" w:rsidP="002264E3">
            <w:pPr>
              <w:pStyle w:val="06Tablebullet"/>
            </w:pPr>
            <w:r w:rsidRPr="008F0B2B">
              <w:t>removes some tests that are not used often because more modern tests are available; and</w:t>
            </w:r>
          </w:p>
          <w:p w14:paraId="59E7E843" w14:textId="77777777" w:rsidR="00CF584E" w:rsidRPr="008F0B2B" w:rsidRDefault="00CF584E" w:rsidP="002264E3">
            <w:pPr>
              <w:pStyle w:val="06Tablebullet"/>
            </w:pPr>
            <w:r w:rsidRPr="008F0B2B">
              <w:t xml:space="preserve">provides a clear description of each test in the item description. </w:t>
            </w:r>
          </w:p>
          <w:p w14:paraId="30C62EBA" w14:textId="77777777" w:rsidR="00CF584E" w:rsidRPr="008F0B2B" w:rsidRDefault="00CF584E" w:rsidP="002264E3">
            <w:pPr>
              <w:pStyle w:val="Tabletext"/>
            </w:pPr>
            <w:r w:rsidRPr="008F0B2B">
              <w:t xml:space="preserve">The item will include all the tests that can be performed under this item.  The current item suggests which tests may be performed but doctors may choose to perform others.  </w:t>
            </w:r>
          </w:p>
        </w:tc>
        <w:tc>
          <w:tcPr>
            <w:tcW w:w="3538" w:type="dxa"/>
          </w:tcPr>
          <w:p w14:paraId="3DFB6DFC" w14:textId="77777777" w:rsidR="00CF584E" w:rsidRPr="008F0B2B" w:rsidRDefault="00CF584E" w:rsidP="002264E3">
            <w:pPr>
              <w:pStyle w:val="Tabletext"/>
            </w:pPr>
            <w:r w:rsidRPr="008F0B2B">
              <w:t xml:space="preserve">These changes will improve the quality of the service patients receive as they ensure access to modern </w:t>
            </w:r>
            <w:r w:rsidRPr="008F0B2B">
              <w:rPr>
                <w:lang w:val="en"/>
              </w:rPr>
              <w:t xml:space="preserve">tests, performed in a suitable setting by a specially trained provider so that an appropriate diagnosis can be made. </w:t>
            </w:r>
          </w:p>
        </w:tc>
      </w:tr>
      <w:tr w:rsidR="00CF584E" w:rsidRPr="008F0B2B" w14:paraId="20CEB5C0" w14:textId="77777777" w:rsidTr="002264E3">
        <w:tc>
          <w:tcPr>
            <w:tcW w:w="1843" w:type="dxa"/>
          </w:tcPr>
          <w:p w14:paraId="1E9CAF65" w14:textId="77777777" w:rsidR="00CF584E" w:rsidRDefault="00CF584E" w:rsidP="009E6EE1">
            <w:pPr>
              <w:pStyle w:val="Tabletext"/>
              <w:numPr>
                <w:ilvl w:val="0"/>
                <w:numId w:val="56"/>
              </w:numPr>
              <w:ind w:left="317"/>
            </w:pPr>
            <w:r w:rsidRPr="0099709F">
              <w:rPr>
                <w:b/>
              </w:rPr>
              <w:t>11500</w:t>
            </w:r>
            <w:r>
              <w:t xml:space="preserve"> – O</w:t>
            </w:r>
            <w:r w:rsidRPr="008F0B2B">
              <w:t>ffice based spirometry</w:t>
            </w:r>
          </w:p>
          <w:p w14:paraId="7C017CF2" w14:textId="77777777" w:rsidR="00CF584E" w:rsidRDefault="00CF584E" w:rsidP="009E6EE1">
            <w:pPr>
              <w:pStyle w:val="Tabletext"/>
              <w:numPr>
                <w:ilvl w:val="0"/>
                <w:numId w:val="56"/>
              </w:numPr>
              <w:ind w:left="317"/>
            </w:pPr>
            <w:r w:rsidRPr="0099709F">
              <w:rPr>
                <w:b/>
              </w:rPr>
              <w:t>11506</w:t>
            </w:r>
            <w:r>
              <w:t xml:space="preserve"> – </w:t>
            </w:r>
            <w:r w:rsidRPr="008F0B2B">
              <w:t>Office based spirometry</w:t>
            </w:r>
          </w:p>
          <w:p w14:paraId="60234626" w14:textId="77777777" w:rsidR="00CF584E" w:rsidRDefault="00CF584E" w:rsidP="009E6EE1">
            <w:pPr>
              <w:pStyle w:val="Tabletext"/>
              <w:numPr>
                <w:ilvl w:val="0"/>
                <w:numId w:val="56"/>
              </w:numPr>
              <w:ind w:left="317"/>
            </w:pPr>
            <w:r w:rsidRPr="008F0B2B">
              <w:t>11509</w:t>
            </w:r>
            <w:r>
              <w:t xml:space="preserve"> – </w:t>
            </w:r>
            <w:r w:rsidRPr="008F0B2B">
              <w:t>Laboratory based spirometry</w:t>
            </w:r>
          </w:p>
          <w:p w14:paraId="444711EC" w14:textId="77777777" w:rsidR="00CF584E" w:rsidRPr="008F0B2B" w:rsidRDefault="00CF584E" w:rsidP="009E6EE1">
            <w:pPr>
              <w:pStyle w:val="Tabletext"/>
              <w:numPr>
                <w:ilvl w:val="0"/>
                <w:numId w:val="56"/>
              </w:numPr>
              <w:ind w:left="317"/>
              <w:rPr>
                <w:szCs w:val="20"/>
              </w:rPr>
            </w:pPr>
            <w:r w:rsidRPr="0099709F">
              <w:rPr>
                <w:b/>
              </w:rPr>
              <w:t>11512</w:t>
            </w:r>
            <w:r w:rsidRPr="0099709F">
              <w:t xml:space="preserve"> – </w:t>
            </w:r>
            <w:r w:rsidRPr="008F0B2B">
              <w:t xml:space="preserve">Laboratory </w:t>
            </w:r>
            <w:r w:rsidRPr="008F0B2B">
              <w:lastRenderedPageBreak/>
              <w:t>based spirometry</w:t>
            </w:r>
          </w:p>
        </w:tc>
        <w:tc>
          <w:tcPr>
            <w:tcW w:w="2626" w:type="dxa"/>
          </w:tcPr>
          <w:p w14:paraId="758756B5" w14:textId="77777777" w:rsidR="00CF584E" w:rsidRPr="008F0B2B" w:rsidRDefault="00CF584E" w:rsidP="009E6EE1">
            <w:pPr>
              <w:pStyle w:val="Tabletext"/>
              <w:numPr>
                <w:ilvl w:val="0"/>
                <w:numId w:val="57"/>
              </w:numPr>
              <w:ind w:left="317"/>
            </w:pPr>
            <w:r w:rsidRPr="00FF30E3">
              <w:lastRenderedPageBreak/>
              <w:t>Spirometry measures the amount and speed of air that is breathed in and out before and after using an inhaler such as Ventolin.  For diagnosis and monitoring of asthma and COPD</w:t>
            </w:r>
            <w:r w:rsidRPr="008F0B2B">
              <w:t>.</w:t>
            </w:r>
          </w:p>
          <w:p w14:paraId="641664FF" w14:textId="77777777" w:rsidR="00CF584E" w:rsidRPr="008F0B2B" w:rsidRDefault="00CF584E" w:rsidP="009E6EE1">
            <w:pPr>
              <w:pStyle w:val="Tabletext"/>
              <w:numPr>
                <w:ilvl w:val="0"/>
                <w:numId w:val="57"/>
              </w:numPr>
              <w:ind w:left="317"/>
            </w:pPr>
            <w:r w:rsidRPr="008F0B2B">
              <w:t xml:space="preserve">At present, there are four items – two for testing in a doctor’s surgery (11500; 11506) and two </w:t>
            </w:r>
            <w:r w:rsidRPr="008F0B2B">
              <w:lastRenderedPageBreak/>
              <w:t>for testing in a laboratory (11509; 11512).</w:t>
            </w:r>
          </w:p>
        </w:tc>
        <w:tc>
          <w:tcPr>
            <w:tcW w:w="2628" w:type="dxa"/>
          </w:tcPr>
          <w:p w14:paraId="4A2D8598" w14:textId="77777777" w:rsidR="00CF584E" w:rsidRPr="008F0B2B" w:rsidRDefault="00CF584E" w:rsidP="009E6EE1">
            <w:pPr>
              <w:pStyle w:val="Tabletext"/>
              <w:numPr>
                <w:ilvl w:val="0"/>
                <w:numId w:val="54"/>
              </w:numPr>
              <w:ind w:left="384"/>
            </w:pPr>
            <w:r w:rsidRPr="008F0B2B">
              <w:lastRenderedPageBreak/>
              <w:t>Remove items 11500 and 11509.</w:t>
            </w:r>
          </w:p>
          <w:p w14:paraId="4F6AF4D4" w14:textId="77777777" w:rsidR="00CF584E" w:rsidRPr="008F0B2B" w:rsidRDefault="00CF584E" w:rsidP="009E6EE1">
            <w:pPr>
              <w:pStyle w:val="Tabletext"/>
              <w:numPr>
                <w:ilvl w:val="0"/>
                <w:numId w:val="54"/>
              </w:numPr>
              <w:ind w:left="384"/>
            </w:pPr>
            <w:r w:rsidRPr="008F0B2B">
              <w:t>Increase the MBS Fee for item 11506.</w:t>
            </w:r>
          </w:p>
          <w:p w14:paraId="553F5656" w14:textId="77777777" w:rsidR="00CF584E" w:rsidRPr="008F0B2B" w:rsidRDefault="00CF584E" w:rsidP="009E6EE1">
            <w:pPr>
              <w:pStyle w:val="Tabletext"/>
              <w:numPr>
                <w:ilvl w:val="0"/>
                <w:numId w:val="54"/>
              </w:numPr>
              <w:ind w:left="384"/>
            </w:pPr>
            <w:r w:rsidRPr="008F0B2B">
              <w:t>Keep item 11512.</w:t>
            </w:r>
          </w:p>
        </w:tc>
        <w:tc>
          <w:tcPr>
            <w:tcW w:w="3540" w:type="dxa"/>
          </w:tcPr>
          <w:p w14:paraId="79DFFB9A" w14:textId="77777777" w:rsidR="00CF584E" w:rsidRPr="008F0B2B" w:rsidRDefault="00CF584E" w:rsidP="009E6EE1">
            <w:pPr>
              <w:pStyle w:val="Tabletext"/>
              <w:numPr>
                <w:ilvl w:val="0"/>
                <w:numId w:val="55"/>
              </w:numPr>
              <w:ind w:left="308"/>
            </w:pPr>
            <w:r w:rsidRPr="008F0B2B">
              <w:t>For item 11500, more modern tests are available under MBS items 11506, 11512 and 11503.</w:t>
            </w:r>
          </w:p>
          <w:p w14:paraId="20C44566" w14:textId="77777777" w:rsidR="00CF584E" w:rsidRPr="008F0B2B" w:rsidRDefault="00CF584E" w:rsidP="009E6EE1">
            <w:pPr>
              <w:pStyle w:val="Tabletext"/>
              <w:numPr>
                <w:ilvl w:val="0"/>
                <w:numId w:val="55"/>
              </w:numPr>
              <w:ind w:left="308"/>
            </w:pPr>
            <w:r w:rsidRPr="008F0B2B">
              <w:t>Item 11509 services will be provided under existing MBS item 11512.</w:t>
            </w:r>
          </w:p>
          <w:p w14:paraId="24A716AC" w14:textId="77777777" w:rsidR="00CF584E" w:rsidRPr="008F0B2B" w:rsidRDefault="00CF584E" w:rsidP="009E6EE1">
            <w:pPr>
              <w:pStyle w:val="Tabletext"/>
              <w:numPr>
                <w:ilvl w:val="0"/>
                <w:numId w:val="55"/>
              </w:numPr>
              <w:ind w:left="308"/>
            </w:pPr>
            <w:r w:rsidRPr="008F0B2B">
              <w:t>For item 11506 an MBS fee of approx $40-$45.  The current fee is $20.55</w:t>
            </w:r>
          </w:p>
        </w:tc>
        <w:tc>
          <w:tcPr>
            <w:tcW w:w="3538" w:type="dxa"/>
          </w:tcPr>
          <w:p w14:paraId="391D9C4D" w14:textId="77777777" w:rsidR="00CF584E" w:rsidRPr="008F0B2B" w:rsidRDefault="00CF584E" w:rsidP="00FF30E3">
            <w:pPr>
              <w:pStyle w:val="Tabletext"/>
            </w:pPr>
            <w:r w:rsidRPr="008F0B2B">
              <w:t>These changes will improve the quality of the service as they:</w:t>
            </w:r>
          </w:p>
          <w:p w14:paraId="40020B51" w14:textId="77777777" w:rsidR="00CF584E" w:rsidRPr="008F0B2B" w:rsidRDefault="00CF584E" w:rsidP="00FF30E3">
            <w:pPr>
              <w:pStyle w:val="06Tablebullet"/>
            </w:pPr>
            <w:r w:rsidRPr="008F0B2B">
              <w:t>reflect recommendations of the Australian Asthma Handbook (2015) and Lung Foundation Australia (2015) COPD-X guidelines; and</w:t>
            </w:r>
          </w:p>
          <w:p w14:paraId="2978F7FF" w14:textId="77777777" w:rsidR="00CF584E" w:rsidRPr="008F0B2B" w:rsidRDefault="00CF584E" w:rsidP="00FF30E3">
            <w:pPr>
              <w:pStyle w:val="06Tablebullet"/>
            </w:pPr>
            <w:r w:rsidRPr="008F0B2B">
              <w:t>support improved diagnosis of asthma in general practice.  At present, the test is underused and some people may not be properly diagnosed.</w:t>
            </w:r>
          </w:p>
        </w:tc>
      </w:tr>
      <w:tr w:rsidR="00CF584E" w:rsidRPr="008F0B2B" w14:paraId="1AEFA0B7" w14:textId="77777777" w:rsidTr="002264E3">
        <w:tc>
          <w:tcPr>
            <w:tcW w:w="1843" w:type="dxa"/>
          </w:tcPr>
          <w:p w14:paraId="351F3E7F" w14:textId="77777777" w:rsidR="00CF584E" w:rsidRPr="008F0B2B" w:rsidRDefault="00CF584E" w:rsidP="00CB6E2A">
            <w:pPr>
              <w:pStyle w:val="Tabletext"/>
            </w:pPr>
            <w:r w:rsidRPr="008F0B2B">
              <w:rPr>
                <w:b/>
              </w:rPr>
              <w:t>New item</w:t>
            </w:r>
            <w:r w:rsidRPr="008F0B2B">
              <w:t xml:space="preserve"> </w:t>
            </w:r>
            <w:r w:rsidR="00B1613D">
              <w:t xml:space="preserve">– </w:t>
            </w:r>
            <w:r w:rsidRPr="008F0B2B">
              <w:t>Spirometry pre OR post bronchodilator</w:t>
            </w:r>
          </w:p>
        </w:tc>
        <w:tc>
          <w:tcPr>
            <w:tcW w:w="2626" w:type="dxa"/>
          </w:tcPr>
          <w:p w14:paraId="0AAD6D60" w14:textId="77777777" w:rsidR="00CF584E" w:rsidRPr="008F0B2B" w:rsidRDefault="00CF584E" w:rsidP="00FF30E3">
            <w:pPr>
              <w:pStyle w:val="Tabletext"/>
              <w:rPr>
                <w:color w:val="221E1F"/>
              </w:rPr>
            </w:pPr>
            <w:r w:rsidRPr="008F0B2B">
              <w:t>Similar to the test done in a doctor’s surgery (item 11506) but done either before OR after using an inhaler such as Ventolin. For diagnosing and monitoring asthma and other lung diseases.</w:t>
            </w:r>
          </w:p>
        </w:tc>
        <w:tc>
          <w:tcPr>
            <w:tcW w:w="2628" w:type="dxa"/>
          </w:tcPr>
          <w:p w14:paraId="3A49AA2E" w14:textId="77777777" w:rsidR="00CF584E" w:rsidRPr="008F0B2B" w:rsidRDefault="00CF584E" w:rsidP="00CB6E2A">
            <w:pPr>
              <w:pStyle w:val="Tabletext"/>
            </w:pPr>
            <w:r w:rsidRPr="008F0B2B">
              <w:t>Create a new MBS item.</w:t>
            </w:r>
          </w:p>
        </w:tc>
        <w:tc>
          <w:tcPr>
            <w:tcW w:w="3540" w:type="dxa"/>
          </w:tcPr>
          <w:p w14:paraId="37128A4B" w14:textId="77777777" w:rsidR="00CF584E" w:rsidRPr="008F0B2B" w:rsidRDefault="00CF584E" w:rsidP="009E6EE1">
            <w:pPr>
              <w:pStyle w:val="Tabletext"/>
              <w:numPr>
                <w:ilvl w:val="0"/>
                <w:numId w:val="60"/>
              </w:numPr>
              <w:ind w:left="308"/>
            </w:pPr>
            <w:r w:rsidRPr="008F0B2B">
              <w:t>This service will be billed under its own MBS item.</w:t>
            </w:r>
          </w:p>
          <w:p w14:paraId="5D502215" w14:textId="77777777" w:rsidR="00CF584E" w:rsidRPr="008F0B2B" w:rsidRDefault="00CF584E" w:rsidP="009E6EE1">
            <w:pPr>
              <w:pStyle w:val="Tabletext"/>
              <w:numPr>
                <w:ilvl w:val="0"/>
                <w:numId w:val="60"/>
              </w:numPr>
              <w:ind w:left="308"/>
            </w:pPr>
            <w:r w:rsidRPr="008F0B2B">
              <w:t>The Committee has suggested a MBS fee of $20.55.</w:t>
            </w:r>
          </w:p>
        </w:tc>
        <w:tc>
          <w:tcPr>
            <w:tcW w:w="3538" w:type="dxa"/>
          </w:tcPr>
          <w:p w14:paraId="66385A5D" w14:textId="77777777" w:rsidR="00CF584E" w:rsidRPr="008F0B2B" w:rsidRDefault="00CF584E" w:rsidP="00CB6E2A">
            <w:pPr>
              <w:pStyle w:val="Tabletext"/>
            </w:pPr>
            <w:r w:rsidRPr="008F0B2B">
              <w:t>This test is done currently but there is no MBS payment for it. The new item and rebate will improve the assessment and monitoring of patients with asthma and other lung diseases.</w:t>
            </w:r>
          </w:p>
        </w:tc>
      </w:tr>
      <w:tr w:rsidR="00CF584E" w:rsidRPr="008F0B2B" w14:paraId="18E7A754" w14:textId="77777777" w:rsidTr="002264E3">
        <w:tc>
          <w:tcPr>
            <w:tcW w:w="1843" w:type="dxa"/>
          </w:tcPr>
          <w:p w14:paraId="75F55AC7" w14:textId="77777777" w:rsidR="00CF584E" w:rsidRPr="008F0B2B" w:rsidRDefault="00CF584E" w:rsidP="00CB6E2A">
            <w:pPr>
              <w:pStyle w:val="Tabletext"/>
            </w:pPr>
            <w:r w:rsidRPr="008F0B2B">
              <w:rPr>
                <w:b/>
              </w:rPr>
              <w:t>New item</w:t>
            </w:r>
            <w:r w:rsidR="00B1613D" w:rsidRPr="0099709F">
              <w:t xml:space="preserve"> – </w:t>
            </w:r>
            <w:r w:rsidRPr="008F0B2B">
              <w:t>Laboratory based spirometry with Fraction of Exhaled Nitric Oxide (FeNO)</w:t>
            </w:r>
          </w:p>
        </w:tc>
        <w:tc>
          <w:tcPr>
            <w:tcW w:w="2626" w:type="dxa"/>
          </w:tcPr>
          <w:p w14:paraId="60A87D60" w14:textId="77777777" w:rsidR="00CF584E" w:rsidRPr="008F0B2B" w:rsidRDefault="00CF584E" w:rsidP="00CB6E2A">
            <w:pPr>
              <w:pStyle w:val="Tabletext"/>
              <w:rPr>
                <w:lang w:val="en"/>
              </w:rPr>
            </w:pPr>
            <w:r w:rsidRPr="008F0B2B">
              <w:rPr>
                <w:lang w:val="en"/>
              </w:rPr>
              <w:t xml:space="preserve">FeNO is a test to measure </w:t>
            </w:r>
            <w:r w:rsidRPr="008F0B2B">
              <w:t>airway inflammation which may help in finding the best treatment.</w:t>
            </w:r>
          </w:p>
        </w:tc>
        <w:tc>
          <w:tcPr>
            <w:tcW w:w="2628" w:type="dxa"/>
          </w:tcPr>
          <w:p w14:paraId="3ADEBA18" w14:textId="77777777" w:rsidR="00CF584E" w:rsidRPr="008F0B2B" w:rsidRDefault="00CF584E" w:rsidP="00CB6E2A">
            <w:pPr>
              <w:pStyle w:val="Tabletext"/>
            </w:pPr>
            <w:r w:rsidRPr="008F0B2B">
              <w:t>Create a new MBS item for FeNO with spirometry.</w:t>
            </w:r>
          </w:p>
        </w:tc>
        <w:tc>
          <w:tcPr>
            <w:tcW w:w="3540" w:type="dxa"/>
          </w:tcPr>
          <w:p w14:paraId="0D960BFB" w14:textId="77777777" w:rsidR="00CF584E" w:rsidRPr="008F0B2B" w:rsidRDefault="00CF584E" w:rsidP="00CB6E2A">
            <w:pPr>
              <w:pStyle w:val="Tabletext"/>
            </w:pPr>
            <w:r w:rsidRPr="00E96004">
              <w:t>This test is used for patients with more complex lung disease who are under the care of a specialist. It is laboratory based.  FeNO is not useful if it is performed alone.</w:t>
            </w:r>
          </w:p>
        </w:tc>
        <w:tc>
          <w:tcPr>
            <w:tcW w:w="3538" w:type="dxa"/>
          </w:tcPr>
          <w:p w14:paraId="505646D1" w14:textId="77777777" w:rsidR="00CF584E" w:rsidRPr="008F0B2B" w:rsidRDefault="00CF584E" w:rsidP="00CB6E2A">
            <w:pPr>
              <w:pStyle w:val="Tabletext"/>
            </w:pPr>
            <w:r w:rsidRPr="008F0B2B">
              <w:t>This will provided a separate MBS fee for FeNO with spirometry for patients who have airway inflammation as a cause of their symptoms.</w:t>
            </w:r>
          </w:p>
        </w:tc>
      </w:tr>
      <w:tr w:rsidR="00CF584E" w:rsidRPr="008F0B2B" w14:paraId="10DCF6D3" w14:textId="77777777" w:rsidTr="002264E3">
        <w:tc>
          <w:tcPr>
            <w:tcW w:w="1843" w:type="dxa"/>
          </w:tcPr>
          <w:p w14:paraId="0A0B0E78" w14:textId="77777777" w:rsidR="00CF584E" w:rsidRPr="008F0B2B" w:rsidRDefault="00CF584E" w:rsidP="009E6EE1">
            <w:pPr>
              <w:pStyle w:val="Tabletext"/>
            </w:pPr>
            <w:r w:rsidRPr="008F0B2B">
              <w:rPr>
                <w:b/>
              </w:rPr>
              <w:t>New item</w:t>
            </w:r>
            <w:r w:rsidRPr="008F0B2B">
              <w:t xml:space="preserve"> Cardiopulmonary Exercise Testing</w:t>
            </w:r>
          </w:p>
        </w:tc>
        <w:tc>
          <w:tcPr>
            <w:tcW w:w="2626" w:type="dxa"/>
          </w:tcPr>
          <w:p w14:paraId="6536D9F9" w14:textId="77777777" w:rsidR="00CF584E" w:rsidRPr="008F0B2B" w:rsidRDefault="00CF584E" w:rsidP="009E6EE1">
            <w:pPr>
              <w:pStyle w:val="Tabletext"/>
            </w:pPr>
            <w:r w:rsidRPr="008F0B2B">
              <w:t>A relatively non-invasive way to assess how the heart and lungs work at the same time and during exercise.</w:t>
            </w:r>
          </w:p>
        </w:tc>
        <w:tc>
          <w:tcPr>
            <w:tcW w:w="2628" w:type="dxa"/>
          </w:tcPr>
          <w:p w14:paraId="04551122" w14:textId="77777777" w:rsidR="00CF584E" w:rsidRPr="008F0B2B" w:rsidRDefault="00CF584E" w:rsidP="009E6EE1">
            <w:pPr>
              <w:pStyle w:val="Tabletext"/>
            </w:pPr>
            <w:r w:rsidRPr="008F0B2B">
              <w:t>Introduce a new item with a higher MBS fee than for MBS 11503.</w:t>
            </w:r>
          </w:p>
        </w:tc>
        <w:tc>
          <w:tcPr>
            <w:tcW w:w="3540" w:type="dxa"/>
          </w:tcPr>
          <w:p w14:paraId="4E7EF980" w14:textId="77777777" w:rsidR="00CF584E" w:rsidRPr="008F0B2B" w:rsidRDefault="00CF584E" w:rsidP="009E6EE1">
            <w:pPr>
              <w:pStyle w:val="Tabletext"/>
              <w:numPr>
                <w:ilvl w:val="0"/>
                <w:numId w:val="63"/>
              </w:numPr>
              <w:ind w:left="308"/>
            </w:pPr>
            <w:r w:rsidRPr="008F0B2B">
              <w:t xml:space="preserve">This test is currently billed under two existing items. It would now be billed under one item and be available for patients: </w:t>
            </w:r>
          </w:p>
          <w:p w14:paraId="78368D85" w14:textId="77777777" w:rsidR="00CF584E" w:rsidRPr="008F0B2B" w:rsidRDefault="00CF584E" w:rsidP="00CB6E2A">
            <w:pPr>
              <w:pStyle w:val="06Tablebullet"/>
            </w:pPr>
            <w:r w:rsidRPr="008F0B2B">
              <w:t xml:space="preserve">with breathlessness but standard tests do not result in a diagnosis; or </w:t>
            </w:r>
          </w:p>
          <w:p w14:paraId="5FE02857" w14:textId="77777777" w:rsidR="00CF584E" w:rsidRPr="008343A1" w:rsidRDefault="00CF584E" w:rsidP="00CB6E2A">
            <w:pPr>
              <w:pStyle w:val="06Tablebullet"/>
            </w:pPr>
            <w:r w:rsidRPr="008F0B2B">
              <w:t>who are having major surgery and are at high risk of a complication due to their lung or heart disease.</w:t>
            </w:r>
            <w:r w:rsidRPr="008F0B2B">
              <w:rPr>
                <w:color w:val="222222"/>
              </w:rPr>
              <w:t xml:space="preserve"> </w:t>
            </w:r>
          </w:p>
          <w:p w14:paraId="357889B7" w14:textId="77777777" w:rsidR="00CF584E" w:rsidRPr="008F0B2B" w:rsidRDefault="00CF584E" w:rsidP="009E6EE1">
            <w:pPr>
              <w:pStyle w:val="Tabletext"/>
              <w:numPr>
                <w:ilvl w:val="0"/>
                <w:numId w:val="62"/>
              </w:numPr>
              <w:ind w:left="308"/>
            </w:pPr>
            <w:r w:rsidRPr="008F0B2B">
              <w:t>An MBS fee that is equivalent to that for item 11503 plus item 1172 is recommended for the new item as these are the items doctors are currently using.</w:t>
            </w:r>
          </w:p>
        </w:tc>
        <w:tc>
          <w:tcPr>
            <w:tcW w:w="3538" w:type="dxa"/>
          </w:tcPr>
          <w:p w14:paraId="6C4811D6" w14:textId="77777777" w:rsidR="00CF584E" w:rsidRPr="008F0B2B" w:rsidRDefault="00CF584E" w:rsidP="009E6EE1">
            <w:pPr>
              <w:pStyle w:val="Tabletext"/>
              <w:numPr>
                <w:ilvl w:val="0"/>
                <w:numId w:val="61"/>
              </w:numPr>
              <w:ind w:left="312"/>
            </w:pPr>
            <w:r w:rsidRPr="008F0B2B">
              <w:t xml:space="preserve">At present, when doctors perform this test they bill two items (11503 and 1172). The new item, with fee equivalent to item 11503 plus item 1172, will mean that doctors will only need to bill one item. </w:t>
            </w:r>
          </w:p>
          <w:p w14:paraId="23E12F36" w14:textId="77777777" w:rsidR="00CF584E" w:rsidRPr="008F0B2B" w:rsidRDefault="00CF584E" w:rsidP="009E6EE1">
            <w:pPr>
              <w:pStyle w:val="Tabletext"/>
              <w:numPr>
                <w:ilvl w:val="0"/>
                <w:numId w:val="61"/>
              </w:numPr>
              <w:ind w:left="312"/>
            </w:pPr>
            <w:r w:rsidRPr="008F0B2B">
              <w:t>The test will target patients with specific symptoms who might benefit the most from the test</w:t>
            </w:r>
          </w:p>
        </w:tc>
      </w:tr>
    </w:tbl>
    <w:p w14:paraId="07F5A5B8" w14:textId="77777777" w:rsidR="00E96004" w:rsidRDefault="00E96004" w:rsidP="00DA5B19"/>
    <w:p w14:paraId="75E325A2" w14:textId="77777777" w:rsidR="00E96004" w:rsidRDefault="00E96004">
      <w:pPr>
        <w:spacing w:before="0" w:after="0" w:line="240" w:lineRule="auto"/>
      </w:pPr>
      <w:r>
        <w:br w:type="page"/>
      </w:r>
    </w:p>
    <w:p w14:paraId="2627B4FC" w14:textId="77777777" w:rsidR="00F85147" w:rsidRDefault="00F85147" w:rsidP="00DA5B19"/>
    <w:p w14:paraId="5C56E835" w14:textId="77777777" w:rsidR="00E96004" w:rsidRDefault="00E96004" w:rsidP="00E96004">
      <w:pPr>
        <w:pStyle w:val="Caption"/>
      </w:pPr>
      <w:bookmarkStart w:id="442" w:name="_Toc478721574"/>
      <w:r>
        <w:t>Table E2:</w:t>
      </w:r>
      <w:r>
        <w:tab/>
        <w:t>MBS items for sleep studies</w:t>
      </w:r>
      <w:bookmarkEnd w:id="442"/>
    </w:p>
    <w:tbl>
      <w:tblPr>
        <w:tblStyle w:val="TableGrid4"/>
        <w:tblW w:w="14175" w:type="dxa"/>
        <w:tblInd w:w="250"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E2 descibes the Clinical Committee's recommended changes to the current sleep studies MBS items, what will be different from the current structure and why."/>
      </w:tblPr>
      <w:tblGrid>
        <w:gridCol w:w="1582"/>
        <w:gridCol w:w="2887"/>
        <w:gridCol w:w="2628"/>
        <w:gridCol w:w="3540"/>
        <w:gridCol w:w="3538"/>
      </w:tblGrid>
      <w:tr w:rsidR="00E96004" w:rsidRPr="008F0B2B" w14:paraId="72A5672A" w14:textId="77777777" w:rsidTr="00326F6E">
        <w:trPr>
          <w:tblHeader/>
        </w:trPr>
        <w:tc>
          <w:tcPr>
            <w:tcW w:w="1582" w:type="dxa"/>
          </w:tcPr>
          <w:p w14:paraId="0D173018" w14:textId="77777777" w:rsidR="00E96004" w:rsidRPr="008F0B2B" w:rsidRDefault="00E96004" w:rsidP="00326F6E">
            <w:pPr>
              <w:spacing w:before="60"/>
              <w:ind w:left="57" w:right="57"/>
              <w:rPr>
                <w:rFonts w:cs="Arial"/>
                <w:b/>
                <w:sz w:val="20"/>
                <w:szCs w:val="20"/>
              </w:rPr>
            </w:pPr>
            <w:r w:rsidRPr="008F0B2B">
              <w:rPr>
                <w:rFonts w:cs="Arial"/>
                <w:b/>
                <w:sz w:val="20"/>
                <w:szCs w:val="20"/>
              </w:rPr>
              <w:t xml:space="preserve">Item </w:t>
            </w:r>
          </w:p>
        </w:tc>
        <w:tc>
          <w:tcPr>
            <w:tcW w:w="2887" w:type="dxa"/>
          </w:tcPr>
          <w:p w14:paraId="4D9CBF57" w14:textId="77777777" w:rsidR="00E96004" w:rsidRPr="008F0B2B" w:rsidRDefault="00E96004" w:rsidP="00326F6E">
            <w:pPr>
              <w:spacing w:before="60"/>
              <w:ind w:left="57" w:right="57"/>
              <w:rPr>
                <w:rFonts w:cs="Arial"/>
                <w:b/>
                <w:sz w:val="20"/>
                <w:szCs w:val="20"/>
              </w:rPr>
            </w:pPr>
            <w:r w:rsidRPr="008F0B2B">
              <w:rPr>
                <w:rFonts w:cs="Arial"/>
                <w:b/>
                <w:sz w:val="20"/>
                <w:szCs w:val="20"/>
              </w:rPr>
              <w:t xml:space="preserve">What it does </w:t>
            </w:r>
          </w:p>
        </w:tc>
        <w:tc>
          <w:tcPr>
            <w:tcW w:w="2628" w:type="dxa"/>
          </w:tcPr>
          <w:p w14:paraId="11655668" w14:textId="77777777" w:rsidR="00E96004" w:rsidRPr="008F0B2B" w:rsidRDefault="00E96004" w:rsidP="00326F6E">
            <w:pPr>
              <w:spacing w:before="60"/>
              <w:ind w:left="57" w:right="57"/>
              <w:rPr>
                <w:rFonts w:cs="Arial"/>
                <w:b/>
                <w:sz w:val="20"/>
                <w:szCs w:val="20"/>
              </w:rPr>
            </w:pPr>
            <w:r w:rsidRPr="008F0B2B">
              <w:rPr>
                <w:rFonts w:cs="Arial"/>
                <w:b/>
                <w:sz w:val="20"/>
                <w:szCs w:val="20"/>
              </w:rPr>
              <w:t>Committee Recommendation</w:t>
            </w:r>
          </w:p>
        </w:tc>
        <w:tc>
          <w:tcPr>
            <w:tcW w:w="3540" w:type="dxa"/>
          </w:tcPr>
          <w:p w14:paraId="77B09989" w14:textId="77777777" w:rsidR="00E96004" w:rsidRPr="008F0B2B" w:rsidRDefault="00E96004" w:rsidP="00326F6E">
            <w:pPr>
              <w:spacing w:before="60"/>
              <w:ind w:left="57" w:right="57"/>
              <w:rPr>
                <w:rFonts w:cs="Arial"/>
                <w:b/>
                <w:sz w:val="20"/>
                <w:szCs w:val="20"/>
              </w:rPr>
            </w:pPr>
            <w:r w:rsidRPr="008F0B2B">
              <w:rPr>
                <w:rFonts w:cs="Arial"/>
                <w:b/>
                <w:sz w:val="20"/>
                <w:szCs w:val="20"/>
              </w:rPr>
              <w:t>What would be different</w:t>
            </w:r>
          </w:p>
        </w:tc>
        <w:tc>
          <w:tcPr>
            <w:tcW w:w="3538" w:type="dxa"/>
          </w:tcPr>
          <w:p w14:paraId="4CFF2118" w14:textId="77777777" w:rsidR="00E96004" w:rsidRPr="008F0B2B" w:rsidRDefault="00E96004" w:rsidP="00326F6E">
            <w:pPr>
              <w:spacing w:before="60"/>
              <w:ind w:left="57" w:right="57"/>
              <w:rPr>
                <w:rFonts w:cs="Arial"/>
                <w:b/>
                <w:sz w:val="20"/>
                <w:szCs w:val="20"/>
              </w:rPr>
            </w:pPr>
            <w:r w:rsidRPr="008F0B2B">
              <w:rPr>
                <w:rFonts w:cs="Arial"/>
                <w:b/>
                <w:sz w:val="20"/>
                <w:szCs w:val="20"/>
              </w:rPr>
              <w:t>Why</w:t>
            </w:r>
          </w:p>
        </w:tc>
      </w:tr>
      <w:tr w:rsidR="00E96004" w:rsidRPr="008F0B2B" w14:paraId="44F8638C" w14:textId="77777777" w:rsidTr="00326F6E">
        <w:tc>
          <w:tcPr>
            <w:tcW w:w="14175" w:type="dxa"/>
            <w:gridSpan w:val="5"/>
          </w:tcPr>
          <w:p w14:paraId="4E73A11B" w14:textId="77777777" w:rsidR="00E96004" w:rsidRPr="008F0B2B" w:rsidRDefault="00E96004" w:rsidP="00326F6E">
            <w:pPr>
              <w:shd w:val="clear" w:color="auto" w:fill="FFFFFF"/>
              <w:spacing w:before="60"/>
              <w:rPr>
                <w:rFonts w:cs="Arial"/>
                <w:sz w:val="20"/>
                <w:szCs w:val="20"/>
              </w:rPr>
            </w:pPr>
            <w:r>
              <w:rPr>
                <w:rFonts w:cs="Arial"/>
                <w:b/>
                <w:i/>
                <w:iCs/>
                <w:color w:val="222222"/>
                <w:sz w:val="20"/>
                <w:szCs w:val="20"/>
                <w:lang w:eastAsia="en-AU"/>
              </w:rPr>
              <w:t>Sleep studies</w:t>
            </w:r>
          </w:p>
        </w:tc>
      </w:tr>
      <w:tr w:rsidR="00E96004" w:rsidRPr="008F0B2B" w14:paraId="3FB3FAE9" w14:textId="77777777" w:rsidTr="00326F6E">
        <w:tc>
          <w:tcPr>
            <w:tcW w:w="1582" w:type="dxa"/>
          </w:tcPr>
          <w:p w14:paraId="080FCA6E" w14:textId="77777777" w:rsidR="00E96004" w:rsidRPr="007A1B82" w:rsidRDefault="00E96004" w:rsidP="00CB6E2A">
            <w:pPr>
              <w:pStyle w:val="Tabletext"/>
            </w:pPr>
            <w:r w:rsidRPr="007A1B82">
              <w:t xml:space="preserve">12203 </w:t>
            </w:r>
          </w:p>
          <w:p w14:paraId="60D585E5" w14:textId="77777777" w:rsidR="00E96004" w:rsidRPr="007A1B82" w:rsidRDefault="00E96004" w:rsidP="00CB6E2A">
            <w:pPr>
              <w:pStyle w:val="Tabletext"/>
              <w:rPr>
                <w:lang w:eastAsia="en-AU"/>
              </w:rPr>
            </w:pPr>
            <w:r w:rsidRPr="007A1B82">
              <w:rPr>
                <w:lang w:eastAsia="en-AU"/>
              </w:rPr>
              <w:t>Diagnostic laboratory based adult sleep study</w:t>
            </w:r>
          </w:p>
        </w:tc>
        <w:tc>
          <w:tcPr>
            <w:tcW w:w="2887" w:type="dxa"/>
            <w:vMerge w:val="restart"/>
          </w:tcPr>
          <w:p w14:paraId="7A7E9B46" w14:textId="77777777" w:rsidR="00E96004" w:rsidRPr="00CB6E2A" w:rsidRDefault="00E96004" w:rsidP="009E6EE1">
            <w:pPr>
              <w:pStyle w:val="Tabletext"/>
              <w:numPr>
                <w:ilvl w:val="0"/>
                <w:numId w:val="64"/>
              </w:numPr>
              <w:ind w:left="295"/>
            </w:pPr>
            <w:r w:rsidRPr="00CB6E2A">
              <w:t xml:space="preserve">During a sleep study, sensors attached to the scalp, face, chest, fingers and legs monitor how the body functions during sleep.  This information is used to decide whether a patient has a sleep disorder including sleep apnoea.  </w:t>
            </w:r>
          </w:p>
          <w:p w14:paraId="6617BAA6" w14:textId="77777777" w:rsidR="00E96004" w:rsidRPr="008F0B2B" w:rsidRDefault="00E96004" w:rsidP="009E6EE1">
            <w:pPr>
              <w:pStyle w:val="Tabletext"/>
              <w:numPr>
                <w:ilvl w:val="0"/>
                <w:numId w:val="58"/>
              </w:numPr>
              <w:ind w:left="295"/>
              <w:rPr>
                <w:szCs w:val="20"/>
              </w:rPr>
            </w:pPr>
            <w:r w:rsidRPr="00FF30E3">
              <w:t>The study may be done overnight in a sleep studies centre and with a trained sleep technician present OR it may be performed at home.</w:t>
            </w:r>
          </w:p>
        </w:tc>
        <w:tc>
          <w:tcPr>
            <w:tcW w:w="2628" w:type="dxa"/>
            <w:vMerge w:val="restart"/>
          </w:tcPr>
          <w:p w14:paraId="376053A3" w14:textId="77777777" w:rsidR="00E96004" w:rsidRPr="00FF30E3" w:rsidRDefault="00E96004" w:rsidP="009E6EE1">
            <w:pPr>
              <w:pStyle w:val="Tabletext"/>
              <w:numPr>
                <w:ilvl w:val="0"/>
                <w:numId w:val="59"/>
              </w:numPr>
              <w:ind w:left="243"/>
            </w:pPr>
            <w:r w:rsidRPr="00FF30E3">
              <w:t xml:space="preserve">Improve access to appropriate testing.  GPs will be able to refer people with symptoms of sleep apnoea for a sleep study. </w:t>
            </w:r>
          </w:p>
          <w:p w14:paraId="05756C2F" w14:textId="77777777" w:rsidR="00E96004" w:rsidRPr="007A1B82" w:rsidRDefault="00E96004" w:rsidP="009E6EE1">
            <w:pPr>
              <w:pStyle w:val="Tabletext"/>
              <w:numPr>
                <w:ilvl w:val="0"/>
                <w:numId w:val="59"/>
              </w:numPr>
              <w:ind w:left="243"/>
              <w:rPr>
                <w:szCs w:val="20"/>
              </w:rPr>
            </w:pPr>
            <w:r w:rsidRPr="00FF30E3">
              <w:t>The person will not have to consult with a specialist before the test.</w:t>
            </w:r>
          </w:p>
          <w:p w14:paraId="04C403FF" w14:textId="77777777" w:rsidR="00E96004" w:rsidRPr="007A1B82" w:rsidRDefault="00E96004" w:rsidP="009E6EE1">
            <w:pPr>
              <w:pStyle w:val="Tabletext"/>
              <w:numPr>
                <w:ilvl w:val="0"/>
                <w:numId w:val="59"/>
              </w:numPr>
              <w:ind w:left="243"/>
              <w:rPr>
                <w:szCs w:val="20"/>
              </w:rPr>
            </w:pPr>
            <w:r w:rsidRPr="007A1B82">
              <w:rPr>
                <w:szCs w:val="20"/>
              </w:rPr>
              <w:t xml:space="preserve">Enable testing for an increased  range of sleep disorders following assessment by a specialist  </w:t>
            </w:r>
          </w:p>
          <w:p w14:paraId="6ED9F499" w14:textId="77777777" w:rsidR="00E96004" w:rsidRPr="007A1B82" w:rsidRDefault="00E96004" w:rsidP="009E6EE1">
            <w:pPr>
              <w:pStyle w:val="Tabletext"/>
              <w:numPr>
                <w:ilvl w:val="0"/>
                <w:numId w:val="59"/>
              </w:numPr>
              <w:ind w:left="243"/>
              <w:rPr>
                <w:szCs w:val="20"/>
              </w:rPr>
            </w:pPr>
            <w:r w:rsidRPr="007A1B82">
              <w:rPr>
                <w:szCs w:val="20"/>
              </w:rPr>
              <w:t xml:space="preserve">Improve the quality of sleep studies by ensuring that: </w:t>
            </w:r>
          </w:p>
          <w:p w14:paraId="3A897CCE" w14:textId="77777777" w:rsidR="00E96004" w:rsidRPr="007A1B82" w:rsidRDefault="00E96004" w:rsidP="00456E37">
            <w:pPr>
              <w:pStyle w:val="06Tablebullet"/>
              <w:ind w:left="526"/>
            </w:pPr>
            <w:r w:rsidRPr="007A1B82">
              <w:t xml:space="preserve">patients have the right test for their symptoms </w:t>
            </w:r>
          </w:p>
          <w:p w14:paraId="4785C1FA" w14:textId="77777777" w:rsidR="00E96004" w:rsidRPr="007A1B82" w:rsidRDefault="00E96004" w:rsidP="00456E37">
            <w:pPr>
              <w:pStyle w:val="06Tablebullet"/>
              <w:ind w:left="526"/>
            </w:pPr>
            <w:r w:rsidRPr="007A1B82">
              <w:t>the patient will be personally assessed by a sleep or respiratory doctor if they are diagnosed with a sleep disorder but need further testing to decide on treatment</w:t>
            </w:r>
          </w:p>
          <w:p w14:paraId="716F772C" w14:textId="77777777" w:rsidR="00E96004" w:rsidRPr="008F0B2B" w:rsidRDefault="00E96004" w:rsidP="00456E37">
            <w:pPr>
              <w:pStyle w:val="06Tablebullet"/>
              <w:ind w:left="526"/>
              <w:rPr>
                <w:rFonts w:cs="Arial"/>
                <w:sz w:val="20"/>
                <w:szCs w:val="20"/>
              </w:rPr>
            </w:pPr>
            <w:r w:rsidRPr="007A1B82">
              <w:t>the performance of the sleep studies meets appropriate standards.</w:t>
            </w:r>
          </w:p>
        </w:tc>
        <w:tc>
          <w:tcPr>
            <w:tcW w:w="3540" w:type="dxa"/>
            <w:vMerge w:val="restart"/>
          </w:tcPr>
          <w:p w14:paraId="5C3BCDA4" w14:textId="77777777" w:rsidR="00E96004" w:rsidRPr="006F002C" w:rsidRDefault="00E96004" w:rsidP="00CB6E2A">
            <w:pPr>
              <w:pStyle w:val="Tabletext"/>
            </w:pPr>
            <w:r w:rsidRPr="006F002C">
              <w:t>These changes mean that:</w:t>
            </w:r>
          </w:p>
          <w:p w14:paraId="7D4CF3C0" w14:textId="77777777" w:rsidR="00E96004" w:rsidRPr="006F002C" w:rsidRDefault="00E96004" w:rsidP="00CB6E2A">
            <w:pPr>
              <w:pStyle w:val="06Tablebullet"/>
            </w:pPr>
            <w:r w:rsidRPr="006F002C">
              <w:t>patients will receive the most appropriate sleep studies for their symptoms</w:t>
            </w:r>
          </w:p>
          <w:p w14:paraId="0C301187" w14:textId="77777777" w:rsidR="00E96004" w:rsidRPr="006F002C" w:rsidRDefault="00E96004" w:rsidP="00CB6E2A">
            <w:pPr>
              <w:pStyle w:val="06Tablebullet"/>
            </w:pPr>
            <w:r w:rsidRPr="006F002C">
              <w:t>patients do not have unnecessary testing</w:t>
            </w:r>
          </w:p>
          <w:p w14:paraId="2B1D166D" w14:textId="77777777" w:rsidR="00E96004" w:rsidRPr="006F002C" w:rsidRDefault="00E96004" w:rsidP="00CB6E2A">
            <w:pPr>
              <w:pStyle w:val="06Tablebullet"/>
            </w:pPr>
            <w:r w:rsidRPr="006F002C">
              <w:t xml:space="preserve">the testing is high quality </w:t>
            </w:r>
          </w:p>
          <w:p w14:paraId="15F217C9" w14:textId="77777777" w:rsidR="00E96004" w:rsidRPr="008F0B2B" w:rsidRDefault="00E96004" w:rsidP="00CB6E2A">
            <w:pPr>
              <w:pStyle w:val="Tabletext"/>
            </w:pPr>
            <w:r w:rsidRPr="006F002C">
              <w:t>patients have opportunity to discuss the results of tests and treatment options with a doctor</w:t>
            </w:r>
          </w:p>
        </w:tc>
        <w:tc>
          <w:tcPr>
            <w:tcW w:w="3538" w:type="dxa"/>
            <w:vMerge w:val="restart"/>
          </w:tcPr>
          <w:p w14:paraId="038738BD" w14:textId="77777777" w:rsidR="00E96004" w:rsidRPr="00D02FE4" w:rsidRDefault="00E96004" w:rsidP="00CB6E2A">
            <w:pPr>
              <w:pStyle w:val="Tabletext"/>
            </w:pPr>
            <w:r w:rsidRPr="00D02FE4">
              <w:t>While the introduction of sleep studies to the MBS has improved access to testing, there is concern that:</w:t>
            </w:r>
          </w:p>
          <w:p w14:paraId="75985F68" w14:textId="77777777" w:rsidR="00E96004" w:rsidRPr="00D02FE4" w:rsidRDefault="00E96004" w:rsidP="00CB6E2A">
            <w:pPr>
              <w:pStyle w:val="06Tablebullet"/>
            </w:pPr>
            <w:r w:rsidRPr="00D02FE4">
              <w:t>this may have led to a decrease in the quality of testing</w:t>
            </w:r>
          </w:p>
          <w:p w14:paraId="7191142F" w14:textId="77777777" w:rsidR="00E96004" w:rsidRPr="00D02FE4" w:rsidRDefault="00E96004" w:rsidP="00CB6E2A">
            <w:pPr>
              <w:pStyle w:val="06Tablebullet"/>
            </w:pPr>
            <w:r w:rsidRPr="00D02FE4">
              <w:t>patients are sold expensive sleep devices when less costly, more appropriate treatment options might relieve their symptoms.</w:t>
            </w:r>
          </w:p>
          <w:p w14:paraId="65C05592" w14:textId="77777777" w:rsidR="00E96004" w:rsidRPr="00D02FE4" w:rsidRDefault="00E96004" w:rsidP="00CB6E2A">
            <w:pPr>
              <w:pStyle w:val="06Tablebullet"/>
            </w:pPr>
            <w:r w:rsidRPr="00D02FE4">
              <w:t>many patients who are having supervised testing at a sleep centre or hospital could have the testing done at home.  If more patients have tests at home, waiting lists for patient who need a more complex supervised test in a sleep centre or hospital should be reduced</w:t>
            </w:r>
            <w:r w:rsidR="001C53D8">
              <w:t xml:space="preserve"> </w:t>
            </w:r>
          </w:p>
          <w:p w14:paraId="1E9F9DAE" w14:textId="77777777" w:rsidR="00E96004" w:rsidRPr="00D02FE4" w:rsidRDefault="00E96004" w:rsidP="00326F6E">
            <w:pPr>
              <w:spacing w:before="60"/>
              <w:ind w:left="57" w:right="57"/>
              <w:rPr>
                <w:rFonts w:cs="Arial"/>
                <w:sz w:val="20"/>
                <w:szCs w:val="20"/>
              </w:rPr>
            </w:pPr>
          </w:p>
          <w:p w14:paraId="6C70D54E" w14:textId="77777777" w:rsidR="00E96004" w:rsidRPr="008F0B2B" w:rsidRDefault="00E96004" w:rsidP="00CB6E2A">
            <w:pPr>
              <w:pStyle w:val="Tabletext"/>
            </w:pPr>
            <w:r w:rsidRPr="00D02FE4">
              <w:t>The changes reflect the current Australasian Sleep Association guidelines.</w:t>
            </w:r>
          </w:p>
        </w:tc>
      </w:tr>
      <w:tr w:rsidR="00E96004" w:rsidRPr="008F0B2B" w14:paraId="7602454E" w14:textId="77777777" w:rsidTr="00326F6E">
        <w:tc>
          <w:tcPr>
            <w:tcW w:w="1582" w:type="dxa"/>
          </w:tcPr>
          <w:p w14:paraId="76AD93EF" w14:textId="77777777" w:rsidR="00E96004" w:rsidRPr="007A1B82" w:rsidRDefault="00E96004" w:rsidP="00456E37">
            <w:pPr>
              <w:pStyle w:val="Tabletext"/>
            </w:pPr>
            <w:r w:rsidRPr="007A1B82">
              <w:t xml:space="preserve">12250 </w:t>
            </w:r>
          </w:p>
          <w:p w14:paraId="7C11291D" w14:textId="77777777" w:rsidR="00E96004" w:rsidRPr="007A1B82" w:rsidRDefault="00E96004" w:rsidP="00456E37">
            <w:pPr>
              <w:pStyle w:val="Tabletext"/>
            </w:pPr>
            <w:r w:rsidRPr="007A1B82">
              <w:t>Diagnostic home based adult sleep study</w:t>
            </w:r>
          </w:p>
        </w:tc>
        <w:tc>
          <w:tcPr>
            <w:tcW w:w="2887" w:type="dxa"/>
            <w:vMerge/>
          </w:tcPr>
          <w:p w14:paraId="39632FF4" w14:textId="77777777" w:rsidR="00E96004" w:rsidRPr="008F0B2B" w:rsidRDefault="00E96004" w:rsidP="00326F6E">
            <w:pPr>
              <w:spacing w:before="60"/>
              <w:ind w:left="57" w:right="57"/>
              <w:rPr>
                <w:rFonts w:cs="Arial"/>
                <w:sz w:val="20"/>
                <w:szCs w:val="20"/>
              </w:rPr>
            </w:pPr>
          </w:p>
        </w:tc>
        <w:tc>
          <w:tcPr>
            <w:tcW w:w="2628" w:type="dxa"/>
            <w:vMerge/>
          </w:tcPr>
          <w:p w14:paraId="2D336534" w14:textId="77777777" w:rsidR="00E96004" w:rsidRPr="008F0B2B" w:rsidRDefault="00E96004" w:rsidP="00326F6E">
            <w:pPr>
              <w:spacing w:before="60"/>
              <w:ind w:left="57" w:right="57"/>
              <w:rPr>
                <w:rFonts w:cs="Arial"/>
                <w:sz w:val="20"/>
                <w:szCs w:val="20"/>
              </w:rPr>
            </w:pPr>
          </w:p>
        </w:tc>
        <w:tc>
          <w:tcPr>
            <w:tcW w:w="3540" w:type="dxa"/>
            <w:vMerge/>
          </w:tcPr>
          <w:p w14:paraId="27BE5342" w14:textId="77777777" w:rsidR="00E96004" w:rsidRPr="008F0B2B" w:rsidRDefault="00E96004" w:rsidP="00326F6E">
            <w:pPr>
              <w:spacing w:before="60"/>
              <w:ind w:left="57" w:right="57"/>
              <w:rPr>
                <w:rFonts w:cs="Arial"/>
                <w:sz w:val="20"/>
                <w:szCs w:val="20"/>
              </w:rPr>
            </w:pPr>
          </w:p>
        </w:tc>
        <w:tc>
          <w:tcPr>
            <w:tcW w:w="3538" w:type="dxa"/>
            <w:vMerge/>
          </w:tcPr>
          <w:p w14:paraId="4B8CDCDF" w14:textId="77777777" w:rsidR="00E96004" w:rsidRPr="008F0B2B" w:rsidRDefault="00E96004" w:rsidP="00326F6E">
            <w:pPr>
              <w:spacing w:before="60"/>
              <w:ind w:left="57" w:right="57"/>
              <w:rPr>
                <w:rFonts w:cs="Arial"/>
                <w:sz w:val="20"/>
                <w:szCs w:val="20"/>
              </w:rPr>
            </w:pPr>
          </w:p>
        </w:tc>
      </w:tr>
      <w:tr w:rsidR="00E96004" w:rsidRPr="008F0B2B" w14:paraId="57CAC3B9" w14:textId="77777777" w:rsidTr="00326F6E">
        <w:tc>
          <w:tcPr>
            <w:tcW w:w="1582" w:type="dxa"/>
          </w:tcPr>
          <w:p w14:paraId="5029A98F" w14:textId="77777777" w:rsidR="00E96004" w:rsidRPr="005F6657" w:rsidRDefault="00E96004" w:rsidP="00456E37">
            <w:pPr>
              <w:pStyle w:val="Tabletext"/>
            </w:pPr>
            <w:r w:rsidRPr="005F6657">
              <w:lastRenderedPageBreak/>
              <w:t xml:space="preserve">New item </w:t>
            </w:r>
          </w:p>
          <w:p w14:paraId="695AC643" w14:textId="77777777" w:rsidR="00E96004" w:rsidRPr="005F6657" w:rsidRDefault="00E96004" w:rsidP="00456E37">
            <w:pPr>
              <w:pStyle w:val="Tabletext"/>
            </w:pPr>
            <w:r w:rsidRPr="005F6657">
              <w:t>Laboratory based adult treatment initiation study</w:t>
            </w:r>
          </w:p>
        </w:tc>
        <w:tc>
          <w:tcPr>
            <w:tcW w:w="2887" w:type="dxa"/>
          </w:tcPr>
          <w:p w14:paraId="5A74E715" w14:textId="77777777" w:rsidR="00E96004" w:rsidRPr="005F6657" w:rsidRDefault="00E96004" w:rsidP="009E6EE1">
            <w:pPr>
              <w:pStyle w:val="Tabletext"/>
              <w:numPr>
                <w:ilvl w:val="0"/>
                <w:numId w:val="65"/>
              </w:numPr>
              <w:ind w:left="295"/>
              <w:rPr>
                <w:lang w:val="en"/>
              </w:rPr>
            </w:pPr>
            <w:r w:rsidRPr="005F6657">
              <w:t xml:space="preserve">A positive airway pressure (PAP) machine delivers </w:t>
            </w:r>
            <w:r w:rsidRPr="005F6657">
              <w:rPr>
                <w:lang w:val="en"/>
              </w:rPr>
              <w:t>air to the nose via mask that keeps the airway open to ensure unobstructed breathing.</w:t>
            </w:r>
          </w:p>
          <w:p w14:paraId="51D1FC4D" w14:textId="77777777" w:rsidR="00E96004" w:rsidRPr="008F0B2B" w:rsidRDefault="00E96004" w:rsidP="009E6EE1">
            <w:pPr>
              <w:pStyle w:val="Tabletext"/>
              <w:numPr>
                <w:ilvl w:val="0"/>
                <w:numId w:val="65"/>
              </w:numPr>
              <w:ind w:left="295"/>
            </w:pPr>
            <w:r w:rsidRPr="005F6657">
              <w:rPr>
                <w:lang w:val="en"/>
              </w:rPr>
              <w:t xml:space="preserve">A treatment initiation test </w:t>
            </w:r>
            <w:r w:rsidRPr="005F6657">
              <w:t xml:space="preserve">occurs in a sleep centre following diagnosis of a sleep disorder and the recommending of PAP therapy.  </w:t>
            </w:r>
          </w:p>
        </w:tc>
        <w:tc>
          <w:tcPr>
            <w:tcW w:w="2628" w:type="dxa"/>
          </w:tcPr>
          <w:p w14:paraId="7FC8F07C" w14:textId="77777777" w:rsidR="00E96004" w:rsidRPr="008F0B2B" w:rsidRDefault="00E96004" w:rsidP="00456E37">
            <w:pPr>
              <w:pStyle w:val="Tabletext"/>
            </w:pPr>
            <w:r w:rsidRPr="005F6657">
              <w:t>A new MBS item specifically for PAP initiation which may be claimed once in a 12 month period.</w:t>
            </w:r>
          </w:p>
        </w:tc>
        <w:tc>
          <w:tcPr>
            <w:tcW w:w="3540" w:type="dxa"/>
          </w:tcPr>
          <w:p w14:paraId="5ABEAF12" w14:textId="77777777" w:rsidR="00E96004" w:rsidRPr="008F0B2B" w:rsidRDefault="00E96004" w:rsidP="00456E37">
            <w:pPr>
              <w:pStyle w:val="Tabletext"/>
            </w:pPr>
            <w:r w:rsidRPr="001C7454">
              <w:t>At present, there are no items for treatment initiation.  However, some initiation studies are billed under MBS 12203.  These services will transfer to the new item.</w:t>
            </w:r>
          </w:p>
        </w:tc>
        <w:tc>
          <w:tcPr>
            <w:tcW w:w="3538" w:type="dxa"/>
          </w:tcPr>
          <w:p w14:paraId="604F2047" w14:textId="77777777" w:rsidR="00E96004" w:rsidRPr="00393FB0" w:rsidRDefault="00E96004" w:rsidP="00456E37">
            <w:pPr>
              <w:pStyle w:val="Tabletext"/>
            </w:pPr>
            <w:r w:rsidRPr="00393FB0">
              <w:t xml:space="preserve">This test helps doctors to work out the correct air pressure in PAP treatment that is needed to ensure the patient’s airway stays open.  </w:t>
            </w:r>
          </w:p>
          <w:p w14:paraId="56961C5B" w14:textId="77777777" w:rsidR="00E96004" w:rsidRPr="008F0B2B" w:rsidRDefault="00E96004" w:rsidP="00326F6E">
            <w:pPr>
              <w:spacing w:before="60"/>
              <w:ind w:left="57" w:right="57"/>
              <w:rPr>
                <w:rFonts w:cs="Arial"/>
                <w:sz w:val="20"/>
                <w:szCs w:val="20"/>
              </w:rPr>
            </w:pPr>
          </w:p>
        </w:tc>
      </w:tr>
      <w:tr w:rsidR="00E96004" w:rsidRPr="008F0B2B" w14:paraId="0E5DFDE0" w14:textId="77777777" w:rsidTr="00326F6E">
        <w:tc>
          <w:tcPr>
            <w:tcW w:w="1582" w:type="dxa"/>
          </w:tcPr>
          <w:p w14:paraId="18C362EE" w14:textId="77777777" w:rsidR="00E96004" w:rsidRPr="007A1B82" w:rsidRDefault="00E96004" w:rsidP="00456E37">
            <w:pPr>
              <w:pStyle w:val="Tabletext"/>
              <w:rPr>
                <w:b/>
              </w:rPr>
            </w:pPr>
            <w:r w:rsidRPr="00BF6744">
              <w:rPr>
                <w:b/>
              </w:rPr>
              <w:t xml:space="preserve">New item – </w:t>
            </w:r>
            <w:r w:rsidRPr="00BF6744">
              <w:t>Laboratory based adult treatment effectiveness study</w:t>
            </w:r>
          </w:p>
        </w:tc>
        <w:tc>
          <w:tcPr>
            <w:tcW w:w="2887" w:type="dxa"/>
          </w:tcPr>
          <w:p w14:paraId="1AB70C52" w14:textId="77777777" w:rsidR="00E96004" w:rsidRPr="008F0B2B" w:rsidRDefault="00E96004" w:rsidP="00456E37">
            <w:pPr>
              <w:pStyle w:val="Tabletext"/>
            </w:pPr>
            <w:r w:rsidRPr="00BF6744">
              <w:t xml:space="preserve">This test is used when a patient has been diagnosed with a sleep disorder and received treatment but symptoms recur or there is a significant change in weight or other medical conditions.  </w:t>
            </w:r>
          </w:p>
        </w:tc>
        <w:tc>
          <w:tcPr>
            <w:tcW w:w="2628" w:type="dxa"/>
          </w:tcPr>
          <w:p w14:paraId="7B6060AE" w14:textId="77777777" w:rsidR="00E96004" w:rsidRPr="008F0B2B" w:rsidRDefault="00E96004" w:rsidP="00456E37">
            <w:pPr>
              <w:pStyle w:val="Tabletext"/>
            </w:pPr>
            <w:r w:rsidRPr="00BF6744">
              <w:t>A new MBS item specifically for treatment effectiveness which may be claimed once in a 12 month period.</w:t>
            </w:r>
          </w:p>
        </w:tc>
        <w:tc>
          <w:tcPr>
            <w:tcW w:w="3540" w:type="dxa"/>
          </w:tcPr>
          <w:p w14:paraId="3B69EA93" w14:textId="77777777" w:rsidR="00E96004" w:rsidRPr="008F0B2B" w:rsidRDefault="00E96004" w:rsidP="00456E37">
            <w:pPr>
              <w:pStyle w:val="Tabletext"/>
            </w:pPr>
            <w:r w:rsidRPr="00BF6744">
              <w:t>At present, there are no items for this service.  However, some effectiveness studies may be being billed under MBS 12203.  These services are expected to transfer to the new item.</w:t>
            </w:r>
          </w:p>
        </w:tc>
        <w:tc>
          <w:tcPr>
            <w:tcW w:w="3538" w:type="dxa"/>
          </w:tcPr>
          <w:p w14:paraId="6958CA83" w14:textId="77777777" w:rsidR="00E96004" w:rsidRPr="008F0B2B" w:rsidRDefault="00E96004" w:rsidP="00456E37">
            <w:pPr>
              <w:pStyle w:val="Tabletext"/>
            </w:pPr>
            <w:r w:rsidRPr="00BF6744">
              <w:t>A change in symptoms, weight or other medical conditions may affect how well the PAP treatment works for a patient.  An effectiveness study is used to check whether the air pressure needs to be changed.</w:t>
            </w:r>
          </w:p>
        </w:tc>
      </w:tr>
      <w:tr w:rsidR="00E96004" w:rsidRPr="008F0B2B" w14:paraId="497BC548" w14:textId="77777777" w:rsidTr="00326F6E">
        <w:tc>
          <w:tcPr>
            <w:tcW w:w="1582" w:type="dxa"/>
          </w:tcPr>
          <w:p w14:paraId="46E13EA2" w14:textId="77777777" w:rsidR="00E96004" w:rsidRPr="007A1B82" w:rsidRDefault="00E96004" w:rsidP="001C53D8">
            <w:pPr>
              <w:pStyle w:val="Tabletext"/>
              <w:rPr>
                <w:b/>
              </w:rPr>
            </w:pPr>
            <w:r w:rsidRPr="00240FBC">
              <w:rPr>
                <w:b/>
              </w:rPr>
              <w:t xml:space="preserve">New item – </w:t>
            </w:r>
            <w:r w:rsidRPr="00240FBC">
              <w:t>Home based adult automatic</w:t>
            </w:r>
            <w:r w:rsidR="001C53D8">
              <w:t xml:space="preserve"> </w:t>
            </w:r>
            <w:r w:rsidRPr="00240FBC">
              <w:t>positive airway pressure (APAP) titration study</w:t>
            </w:r>
          </w:p>
        </w:tc>
        <w:tc>
          <w:tcPr>
            <w:tcW w:w="2887" w:type="dxa"/>
          </w:tcPr>
          <w:p w14:paraId="4A2CB8E6" w14:textId="77777777" w:rsidR="00E96004" w:rsidRPr="00BF6744" w:rsidRDefault="00E96004" w:rsidP="009E6EE1">
            <w:pPr>
              <w:pStyle w:val="Tabletext"/>
              <w:numPr>
                <w:ilvl w:val="0"/>
                <w:numId w:val="66"/>
              </w:numPr>
              <w:ind w:left="295"/>
            </w:pPr>
            <w:r w:rsidRPr="00BF6744">
              <w:t>Titration is a process used with PAP treatment where the air pressure is adjusted until the right pressure to keep the airway open is identified.</w:t>
            </w:r>
          </w:p>
          <w:p w14:paraId="30BE268C" w14:textId="77777777" w:rsidR="00E96004" w:rsidRPr="008F0B2B" w:rsidRDefault="00E96004" w:rsidP="009E6EE1">
            <w:pPr>
              <w:pStyle w:val="Tabletext"/>
              <w:numPr>
                <w:ilvl w:val="0"/>
                <w:numId w:val="66"/>
              </w:numPr>
              <w:ind w:left="295"/>
            </w:pPr>
            <w:r w:rsidRPr="00BF6744">
              <w:t xml:space="preserve">This item will allow patients who are diagnosed with uncomplicated sleep apnoea to undergo titration at home.  </w:t>
            </w:r>
          </w:p>
        </w:tc>
        <w:tc>
          <w:tcPr>
            <w:tcW w:w="2628" w:type="dxa"/>
          </w:tcPr>
          <w:p w14:paraId="09D99E48" w14:textId="77777777" w:rsidR="00E96004" w:rsidRPr="008F0B2B" w:rsidRDefault="00E96004" w:rsidP="00456E37">
            <w:pPr>
              <w:pStyle w:val="Tabletext"/>
            </w:pPr>
            <w:r w:rsidRPr="00BF6744">
              <w:t>The Committee noted that this proposal should be placed on hold for 2-3 years until the impact of the changes to items 12203 and 12250 is known.</w:t>
            </w:r>
          </w:p>
        </w:tc>
        <w:tc>
          <w:tcPr>
            <w:tcW w:w="3540" w:type="dxa"/>
          </w:tcPr>
          <w:p w14:paraId="7C99E653" w14:textId="77777777" w:rsidR="00E96004" w:rsidRPr="008F0B2B" w:rsidRDefault="00E96004" w:rsidP="00456E37">
            <w:pPr>
              <w:pStyle w:val="Tabletext"/>
            </w:pPr>
            <w:r w:rsidRPr="00BF6744">
              <w:t>Not applicable at this stage.</w:t>
            </w:r>
          </w:p>
        </w:tc>
        <w:tc>
          <w:tcPr>
            <w:tcW w:w="3538" w:type="dxa"/>
          </w:tcPr>
          <w:p w14:paraId="37260ADE" w14:textId="77777777" w:rsidR="00E96004" w:rsidRPr="008F0B2B" w:rsidRDefault="00E96004" w:rsidP="00456E37">
            <w:pPr>
              <w:pStyle w:val="Tabletext"/>
            </w:pPr>
            <w:r w:rsidRPr="00BF6744">
              <w:t>Not applicable at this stage.</w:t>
            </w:r>
          </w:p>
        </w:tc>
      </w:tr>
      <w:tr w:rsidR="00E96004" w:rsidRPr="008F0B2B" w14:paraId="476F6E56" w14:textId="77777777" w:rsidTr="00326F6E">
        <w:tc>
          <w:tcPr>
            <w:tcW w:w="1582" w:type="dxa"/>
          </w:tcPr>
          <w:p w14:paraId="2C4C44CF" w14:textId="77777777" w:rsidR="00E96004" w:rsidRPr="007A1B82" w:rsidRDefault="00E96004" w:rsidP="00456E37">
            <w:pPr>
              <w:pStyle w:val="Tabletext"/>
              <w:rPr>
                <w:b/>
              </w:rPr>
            </w:pPr>
            <w:r w:rsidRPr="00B36622">
              <w:rPr>
                <w:b/>
              </w:rPr>
              <w:t xml:space="preserve">New item – </w:t>
            </w:r>
            <w:r w:rsidRPr="00B36622">
              <w:t xml:space="preserve">Laboratory </w:t>
            </w:r>
            <w:r w:rsidRPr="00B36622">
              <w:lastRenderedPageBreak/>
              <w:t>based adult vigilance testing</w:t>
            </w:r>
          </w:p>
        </w:tc>
        <w:tc>
          <w:tcPr>
            <w:tcW w:w="2887" w:type="dxa"/>
          </w:tcPr>
          <w:p w14:paraId="04F87106" w14:textId="77777777" w:rsidR="00E96004" w:rsidRPr="008F0B2B" w:rsidRDefault="00E96004" w:rsidP="00456E37">
            <w:pPr>
              <w:pStyle w:val="Tabletext"/>
            </w:pPr>
            <w:r w:rsidRPr="00B36622">
              <w:lastRenderedPageBreak/>
              <w:t xml:space="preserve">This study involves an assessment of excessive daytime </w:t>
            </w:r>
            <w:r w:rsidRPr="00B36622">
              <w:lastRenderedPageBreak/>
              <w:t xml:space="preserve">sleepiness or the ability to stay alert using several tests.  </w:t>
            </w:r>
          </w:p>
        </w:tc>
        <w:tc>
          <w:tcPr>
            <w:tcW w:w="2628" w:type="dxa"/>
          </w:tcPr>
          <w:p w14:paraId="4A14B305" w14:textId="77777777" w:rsidR="00E96004" w:rsidRPr="008F0B2B" w:rsidRDefault="00E96004" w:rsidP="00456E37">
            <w:pPr>
              <w:pStyle w:val="Tabletext"/>
            </w:pPr>
            <w:r w:rsidRPr="00B36622">
              <w:lastRenderedPageBreak/>
              <w:t xml:space="preserve">The Committee recommend that vigilance testing be evaluated by the Medical </w:t>
            </w:r>
            <w:r w:rsidRPr="00B36622">
              <w:lastRenderedPageBreak/>
              <w:t>Services Advisory Committee as this service is not currently funded.</w:t>
            </w:r>
          </w:p>
        </w:tc>
        <w:tc>
          <w:tcPr>
            <w:tcW w:w="3540" w:type="dxa"/>
          </w:tcPr>
          <w:p w14:paraId="1724975E" w14:textId="77777777" w:rsidR="00E96004" w:rsidRPr="008F0B2B" w:rsidRDefault="00E96004" w:rsidP="00456E37">
            <w:pPr>
              <w:pStyle w:val="Tabletext"/>
            </w:pPr>
            <w:r w:rsidRPr="00BF6744">
              <w:lastRenderedPageBreak/>
              <w:t>Not applicable at this stage.</w:t>
            </w:r>
          </w:p>
        </w:tc>
        <w:tc>
          <w:tcPr>
            <w:tcW w:w="3538" w:type="dxa"/>
          </w:tcPr>
          <w:p w14:paraId="71CFAEBD" w14:textId="77777777" w:rsidR="00E96004" w:rsidRPr="008F0B2B" w:rsidRDefault="00E96004" w:rsidP="00456E37">
            <w:pPr>
              <w:pStyle w:val="Tabletext"/>
            </w:pPr>
            <w:r w:rsidRPr="00BF6744">
              <w:t>Not applicable at this stage.</w:t>
            </w:r>
          </w:p>
        </w:tc>
      </w:tr>
    </w:tbl>
    <w:p w14:paraId="18E8C5D1" w14:textId="77777777" w:rsidR="00E96004" w:rsidRPr="00DA5B19" w:rsidRDefault="00E96004" w:rsidP="00DA5B19">
      <w:pPr>
        <w:sectPr w:rsidR="00E96004" w:rsidRPr="00DA5B19" w:rsidSect="004F5FA8">
          <w:headerReference w:type="default" r:id="rId47"/>
          <w:endnotePr>
            <w:numFmt w:val="decimal"/>
          </w:endnotePr>
          <w:pgSz w:w="16838" w:h="11906" w:orient="landscape" w:code="9"/>
          <w:pgMar w:top="1021" w:right="1440" w:bottom="1021" w:left="1440" w:header="567" w:footer="567" w:gutter="0"/>
          <w:paperSrc w:first="2" w:other="2"/>
          <w:cols w:space="720"/>
          <w:docGrid w:linePitch="326"/>
        </w:sectPr>
      </w:pPr>
    </w:p>
    <w:p w14:paraId="34F99DF8" w14:textId="77777777" w:rsidR="00226919" w:rsidRPr="00D26E77" w:rsidRDefault="00226919" w:rsidP="00BE2BF4">
      <w:pPr>
        <w:pStyle w:val="AppendixStyle1"/>
      </w:pPr>
      <w:bookmarkStart w:id="443" w:name="_Toc458510030"/>
      <w:bookmarkStart w:id="444" w:name="_Toc458768514"/>
      <w:bookmarkStart w:id="445" w:name="_Toc458768674"/>
      <w:bookmarkStart w:id="446" w:name="_Toc478721533"/>
      <w:r w:rsidRPr="00D26E77">
        <w:lastRenderedPageBreak/>
        <w:t>High level review of Cardiopulmonary Exercise Testing (CPET)</w:t>
      </w:r>
      <w:bookmarkEnd w:id="443"/>
      <w:bookmarkEnd w:id="444"/>
      <w:bookmarkEnd w:id="445"/>
      <w:bookmarkEnd w:id="446"/>
    </w:p>
    <w:p w14:paraId="672E1207" w14:textId="77777777" w:rsidR="005B65C7" w:rsidRPr="007253D7" w:rsidRDefault="00B51DD8" w:rsidP="00E172E7">
      <w:pPr>
        <w:pStyle w:val="AppendixStyle2"/>
      </w:pPr>
      <w:r w:rsidRPr="007253D7">
        <w:t>Cardiopulmonary Exercise Testing</w:t>
      </w:r>
    </w:p>
    <w:p w14:paraId="6D7675B3" w14:textId="77777777" w:rsidR="005B65C7" w:rsidRPr="004B2BA0" w:rsidRDefault="005B65C7" w:rsidP="004B2BA0">
      <w:pPr>
        <w:pStyle w:val="Heading3F"/>
        <w:rPr>
          <w:i/>
        </w:rPr>
      </w:pPr>
      <w:r w:rsidRPr="004B2BA0">
        <w:rPr>
          <w:i/>
        </w:rPr>
        <w:t>Questions</w:t>
      </w:r>
    </w:p>
    <w:p w14:paraId="748E4817" w14:textId="77777777" w:rsidR="005B65C7" w:rsidRPr="00077A84" w:rsidRDefault="005B65C7" w:rsidP="005E16A1">
      <w:pPr>
        <w:pStyle w:val="ListParagraph"/>
        <w:widowControl w:val="0"/>
        <w:numPr>
          <w:ilvl w:val="0"/>
          <w:numId w:val="19"/>
        </w:numPr>
        <w:spacing w:before="120" w:after="120" w:line="240" w:lineRule="auto"/>
        <w:jc w:val="both"/>
        <w:rPr>
          <w:rFonts w:ascii="Times New Roman" w:hAnsi="Times New Roman"/>
          <w:szCs w:val="22"/>
        </w:rPr>
      </w:pPr>
      <w:r w:rsidRPr="00077A84">
        <w:rPr>
          <w:rFonts w:ascii="Times New Roman" w:hAnsi="Times New Roman"/>
          <w:szCs w:val="22"/>
        </w:rPr>
        <w:t>Is CPET clinically effective (diagnostic accuracy) compared to the comparator?</w:t>
      </w:r>
    </w:p>
    <w:p w14:paraId="11708222" w14:textId="77777777" w:rsidR="005B65C7" w:rsidRDefault="005B65C7" w:rsidP="005E16A1">
      <w:pPr>
        <w:pStyle w:val="ListParagraph"/>
        <w:widowControl w:val="0"/>
        <w:numPr>
          <w:ilvl w:val="0"/>
          <w:numId w:val="19"/>
        </w:numPr>
        <w:spacing w:before="120" w:after="120" w:line="240" w:lineRule="auto"/>
        <w:jc w:val="both"/>
        <w:rPr>
          <w:rFonts w:ascii="Times New Roman" w:hAnsi="Times New Roman"/>
          <w:szCs w:val="22"/>
        </w:rPr>
      </w:pPr>
      <w:r w:rsidRPr="005840C9">
        <w:rPr>
          <w:rFonts w:ascii="Times New Roman" w:hAnsi="Times New Roman"/>
          <w:szCs w:val="22"/>
        </w:rPr>
        <w:t>Is CPET comparatively safe when measured against the comparator?</w:t>
      </w:r>
    </w:p>
    <w:p w14:paraId="243D1BDC" w14:textId="77777777" w:rsidR="005B65C7" w:rsidRPr="0075170C" w:rsidRDefault="005B65C7" w:rsidP="005E16A1">
      <w:pPr>
        <w:pStyle w:val="ListParagraph"/>
        <w:widowControl w:val="0"/>
        <w:numPr>
          <w:ilvl w:val="0"/>
          <w:numId w:val="19"/>
        </w:numPr>
        <w:spacing w:before="120" w:after="120" w:line="240" w:lineRule="auto"/>
        <w:jc w:val="both"/>
        <w:rPr>
          <w:rFonts w:ascii="Times New Roman" w:hAnsi="Times New Roman"/>
          <w:szCs w:val="22"/>
        </w:rPr>
      </w:pPr>
      <w:r w:rsidRPr="0075170C">
        <w:rPr>
          <w:rFonts w:ascii="Times New Roman" w:hAnsi="Times New Roman"/>
          <w:bCs/>
          <w:szCs w:val="22"/>
        </w:rPr>
        <w:t>Are the clinical indications for CPET in paediatric patients different to those for adults?</w:t>
      </w:r>
    </w:p>
    <w:p w14:paraId="576281AA" w14:textId="77777777" w:rsidR="005B65C7" w:rsidRPr="00BF5208" w:rsidRDefault="00B51DD8" w:rsidP="00B51DD8">
      <w:pPr>
        <w:pStyle w:val="AttHeading2"/>
      </w:pPr>
      <w:r w:rsidRPr="00BF5208">
        <w:t xml:space="preserve">Introduction </w:t>
      </w:r>
    </w:p>
    <w:p w14:paraId="7915402E" w14:textId="77777777" w:rsidR="005B65C7" w:rsidRDefault="005B65C7" w:rsidP="00733DE0">
      <w:pPr>
        <w:pStyle w:val="NormalF"/>
        <w:rPr>
          <w:vertAlign w:val="superscript"/>
        </w:rPr>
      </w:pPr>
      <w:r w:rsidRPr="006641EA">
        <w:rPr>
          <w:rStyle w:val="StyleTimesNewRoman"/>
        </w:rPr>
        <w:t xml:space="preserve">Cardiopulmonary exercise testing (CPET) provides a relatively noninvasive global assessment of functional capacity involving multiple organ systems, allowing the evaluation of both submaximal and peak exercise responses. </w:t>
      </w:r>
      <w:r w:rsidRPr="00077A84">
        <w:rPr>
          <w:vertAlign w:val="superscript"/>
        </w:rPr>
        <w:fldChar w:fldCharType="begin"/>
      </w:r>
      <w:r w:rsidRPr="00077A84">
        <w:rPr>
          <w:vertAlign w:val="superscript"/>
        </w:rPr>
        <w:instrText xml:space="preserve"> ADDIN EN.CITE &lt;EndNote&gt;&lt;Cite&gt;&lt;Author&gt;ATS/ACCP&lt;/Author&gt;&lt;Year&gt;2003&lt;/Year&gt;&lt;RecNum&gt;1&lt;/RecNum&gt;&lt;DisplayText&gt;[1]&lt;/DisplayText&gt;&lt;record&gt;&lt;rec-number&gt;1&lt;/rec-number&gt;&lt;foreign-keys&gt;&lt;key app="EN" db-id="2s0zpwfdupzz5vea22r52zesva2xtrt0w5vv" timestamp="1456047133"&gt;1&lt;/key&gt;&lt;/foreign-keys&gt;&lt;ref-type name="Journal Article"&gt;17&lt;/ref-type&gt;&lt;contributors&gt;&lt;authors&gt;&lt;author&gt;ATS/ACCP &lt;/author&gt;&lt;/authors&gt;&lt;/contributors&gt;&lt;titles&gt;&lt;title&gt;ATS/ACCP Statement on Cardiopulmonary Exercise Testing&lt;/title&gt;&lt;secondary-title&gt;American Journal of Respiratory and and Critical Care Medicine&lt;/secondary-title&gt;&lt;/titles&gt;&lt;periodical&gt;&lt;full-title&gt;American Journal of Respiratory and and Critical Care Medicine&lt;/full-title&gt;&lt;/periodical&gt;&lt;pages&gt;211-277&lt;/pages&gt;&lt;volume&gt;167&lt;/volume&gt;&lt;dates&gt;&lt;year&gt;2003&lt;/year&gt;&lt;/dates&gt;&lt;urls&gt;&lt;/urls&gt;&lt;/record&gt;&lt;/Cite&gt;&lt;/EndNote&gt;</w:instrText>
      </w:r>
      <w:r w:rsidRPr="00077A84">
        <w:rPr>
          <w:vertAlign w:val="superscript"/>
        </w:rPr>
        <w:fldChar w:fldCharType="separate"/>
      </w:r>
      <w:r w:rsidRPr="00077A84">
        <w:rPr>
          <w:noProof/>
          <w:vertAlign w:val="superscript"/>
        </w:rPr>
        <w:t>[1]</w:t>
      </w:r>
      <w:r w:rsidRPr="00077A84">
        <w:rPr>
          <w:vertAlign w:val="superscript"/>
        </w:rPr>
        <w:fldChar w:fldCharType="end"/>
      </w:r>
      <w:r w:rsidRPr="006641EA">
        <w:rPr>
          <w:rStyle w:val="StyleTimesNewRoman"/>
        </w:rPr>
        <w:t xml:space="preserve"> It provides data as to respiratory gas exchange, including oxygen uptake (VO</w:t>
      </w:r>
      <w:r w:rsidRPr="00077A84">
        <w:rPr>
          <w:vertAlign w:val="subscript"/>
        </w:rPr>
        <w:t>2</w:t>
      </w:r>
      <w:r w:rsidRPr="006641EA">
        <w:rPr>
          <w:rStyle w:val="StyleTimesNewRoman"/>
        </w:rPr>
        <w:t>), carbon dioxide output (VCO</w:t>
      </w:r>
      <w:r w:rsidRPr="00077A84">
        <w:rPr>
          <w:vertAlign w:val="subscript"/>
        </w:rPr>
        <w:t>2</w:t>
      </w:r>
      <w:r w:rsidRPr="006641EA">
        <w:rPr>
          <w:rStyle w:val="StyleTimesNewRoman"/>
        </w:rPr>
        <w:t>), tidal volume (VT) and minute ventilation (VE) as well as other variables such as ECG, BP and oxygen saturation.</w:t>
      </w:r>
      <w:r w:rsidRPr="00077A84">
        <w:rPr>
          <w:vertAlign w:val="superscript"/>
        </w:rPr>
        <w:fldChar w:fldCharType="begin"/>
      </w:r>
      <w:r w:rsidRPr="00077A84">
        <w:rPr>
          <w:vertAlign w:val="superscript"/>
        </w:rPr>
        <w:instrText xml:space="preserve"> ADDIN EN.CITE &lt;EndNote&gt;&lt;Cite&gt;&lt;Author&gt;Debapriya&lt;/Author&gt;&lt;Year&gt;2015&lt;/Year&gt;&lt;RecNum&gt;21&lt;/RecNum&gt;&lt;DisplayText&gt;[2]&lt;/DisplayText&gt;&lt;record&gt;&lt;rec-number&gt;21&lt;/rec-number&gt;&lt;foreign-keys&gt;&lt;key app="EN" db-id="2s0zpwfdupzz5vea22r52zesva2xtrt0w5vv" timestamp="1457857250"&gt;21&lt;/key&gt;&lt;/foreign-keys&gt;&lt;ref-type name="Journal Article"&gt;17&lt;/ref-type&gt;&lt;contributors&gt;&lt;authors&gt;&lt;author&gt;Debapriya, Datta&lt;/author&gt;&lt;author&gt;Normandin, E&lt;/author&gt;&lt;author&gt;ZuWallack&lt;/author&gt;&lt;/authors&gt;&lt;/contributors&gt;&lt;titles&gt;&lt;title&gt;Cardiopulmonary exercise testing in the assessment of exertional dyspnoea &lt;/title&gt;&lt;secondary-title&gt;Ann Thoracic Med&lt;/secondary-title&gt;&lt;/titles&gt;&lt;periodical&gt;&lt;full-title&gt;Ann Thoracic Med&lt;/full-title&gt;&lt;/periodical&gt;&lt;pages&gt;77-86&lt;/pages&gt;&lt;volume&gt;10&lt;/volume&gt;&lt;number&gt;2&lt;/number&gt;&lt;dates&gt;&lt;year&gt;2015&lt;/year&gt;&lt;/dates&gt;&lt;urls&gt;&lt;/urls&gt;&lt;/record&gt;&lt;/Cite&gt;&lt;/EndNote&gt;</w:instrText>
      </w:r>
      <w:r w:rsidRPr="00077A84">
        <w:rPr>
          <w:vertAlign w:val="superscript"/>
        </w:rPr>
        <w:fldChar w:fldCharType="separate"/>
      </w:r>
      <w:r w:rsidRPr="00077A84">
        <w:rPr>
          <w:noProof/>
          <w:vertAlign w:val="superscript"/>
        </w:rPr>
        <w:t>[2]</w:t>
      </w:r>
      <w:r w:rsidRPr="00077A84">
        <w:rPr>
          <w:vertAlign w:val="superscript"/>
        </w:rPr>
        <w:fldChar w:fldCharType="end"/>
      </w:r>
      <w:r w:rsidRPr="006641EA">
        <w:rPr>
          <w:rStyle w:val="StyleTimesNewRoman"/>
        </w:rPr>
        <w:t xml:space="preserve"> Placing stress on respiratory mechanisms by way of exercise, may reveal abnormal cardiac or respiratory pathology that is not apparent at rest. In addition, pulmonary and cardiac function tests at rest cannot accurately determine exercise capacity or identify mechanisms underlying exercise intolerance in patients with cardiac or pulmonary disease. </w:t>
      </w:r>
      <w:r w:rsidRPr="00077A84">
        <w:rPr>
          <w:vertAlign w:val="superscript"/>
        </w:rPr>
        <w:fldChar w:fldCharType="begin"/>
      </w:r>
      <w:r w:rsidRPr="00077A84">
        <w:rPr>
          <w:vertAlign w:val="superscript"/>
        </w:rPr>
        <w:instrText xml:space="preserve"> ADDIN EN.CITE &lt;EndNote&gt;&lt;Cite&gt;&lt;Author&gt;Balady&lt;/Author&gt;&lt;Year&gt;2010&lt;/Year&gt;&lt;RecNum&gt;8&lt;/RecNum&gt;&lt;DisplayText&gt;[3]&lt;/DisplayText&gt;&lt;record&gt;&lt;rec-number&gt;8&lt;/rec-number&gt;&lt;foreign-keys&gt;&lt;key app="EN" db-id="2s0zpwfdupzz5vea22r52zesva2xtrt0w5vv" timestamp="1456609971"&gt;8&lt;/key&gt;&lt;/foreign-keys&gt;&lt;ref-type name="Journal Article"&gt;17&lt;/ref-type&gt;&lt;contributors&gt;&lt;authors&gt;&lt;author&gt;Balady, GJ&lt;/author&gt;&lt;author&gt;Arena, R&lt;/author&gt;&lt;author&gt;Siestema, K&lt;/author&gt;&lt;author&gt;Myers, J&lt;/author&gt;&lt;author&gt;Coke, L&lt;/author&gt;&lt;author&gt;Fletcher, GF&lt;/author&gt;&lt;author&gt;Forman, D&lt;/author&gt;&lt;author&gt;Franklin, B&lt;/author&gt;&lt;author&gt;Guazzi, M&lt;/author&gt;&lt;author&gt;Gulati, M&lt;/author&gt;&lt;author&gt;Keteyian, SJ&lt;/author&gt;&lt;author&gt;Lavie, CJ&lt;/author&gt;&lt;author&gt;Macko, R&lt;/author&gt;&lt;author&gt;Mancini, D&lt;/author&gt;&lt;author&gt;Milani, RV&lt;/author&gt;&lt;/authors&gt;&lt;/contributors&gt;&lt;titles&gt;&lt;title&gt;Clinician&amp;apos;s Guide to Cardiopulmonary Exercise Testing in Adults : A Scientific Statement from the American Heart Association &lt;/title&gt;&lt;secondary-title&gt;Circulation&lt;/secondary-title&gt;&lt;/titles&gt;&lt;periodical&gt;&lt;full-title&gt;Circulation&lt;/full-title&gt;&lt;/periodical&gt;&lt;pages&gt;191-225&lt;/pages&gt;&lt;volume&gt;122&lt;/volume&gt;&lt;dates&gt;&lt;year&gt;2010&lt;/year&gt;&lt;/dates&gt;&lt;urls&gt;&lt;/urls&gt;&lt;/record&gt;&lt;/Cite&gt;&lt;/EndNote&gt;</w:instrText>
      </w:r>
      <w:r w:rsidRPr="00077A84">
        <w:rPr>
          <w:vertAlign w:val="superscript"/>
        </w:rPr>
        <w:fldChar w:fldCharType="separate"/>
      </w:r>
      <w:r w:rsidRPr="00077A84">
        <w:rPr>
          <w:noProof/>
          <w:vertAlign w:val="superscript"/>
        </w:rPr>
        <w:t>[3]</w:t>
      </w:r>
      <w:r w:rsidRPr="00077A84">
        <w:rPr>
          <w:vertAlign w:val="superscript"/>
        </w:rPr>
        <w:fldChar w:fldCharType="end"/>
      </w:r>
      <w:r w:rsidRPr="006641EA">
        <w:rPr>
          <w:rStyle w:val="StyleTimesNewRoman"/>
        </w:rPr>
        <w:t xml:space="preserve"> CPET also has the potential to provide objective measures of task-related energy expenditure and associated cardiopulmonary responses, although data relating to this purpose is lacking.</w:t>
      </w:r>
      <w:r w:rsidRPr="00077A84">
        <w:rPr>
          <w:vertAlign w:val="superscript"/>
        </w:rPr>
        <w:fldChar w:fldCharType="begin"/>
      </w:r>
      <w:r w:rsidRPr="00077A84">
        <w:rPr>
          <w:vertAlign w:val="superscript"/>
        </w:rPr>
        <w:instrText xml:space="preserve"> ADDIN EN.CITE &lt;EndNote&gt;&lt;Cite&gt;&lt;Author&gt;Balady&lt;/Author&gt;&lt;Year&gt;2010&lt;/Year&gt;&lt;RecNum&gt;8&lt;/RecNum&gt;&lt;DisplayText&gt;[3]&lt;/DisplayText&gt;&lt;record&gt;&lt;rec-number&gt;8&lt;/rec-number&gt;&lt;foreign-keys&gt;&lt;key app="EN" db-id="2s0zpwfdupzz5vea22r52zesva2xtrt0w5vv" timestamp="1456609971"&gt;8&lt;/key&gt;&lt;/foreign-keys&gt;&lt;ref-type name="Journal Article"&gt;17&lt;/ref-type&gt;&lt;contributors&gt;&lt;authors&gt;&lt;author&gt;Balady, GJ&lt;/author&gt;&lt;author&gt;Arena, R&lt;/author&gt;&lt;author&gt;Siestema, K&lt;/author&gt;&lt;author&gt;Myers, J&lt;/author&gt;&lt;author&gt;Coke, L&lt;/author&gt;&lt;author&gt;Fletcher, GF&lt;/author&gt;&lt;author&gt;Forman, D&lt;/author&gt;&lt;author&gt;Franklin, B&lt;/author&gt;&lt;author&gt;Guazzi, M&lt;/author&gt;&lt;author&gt;Gulati, M&lt;/author&gt;&lt;author&gt;Keteyian, SJ&lt;/author&gt;&lt;author&gt;Lavie, CJ&lt;/author&gt;&lt;author&gt;Macko, R&lt;/author&gt;&lt;author&gt;Mancini, D&lt;/author&gt;&lt;author&gt;Milani, RV&lt;/author&gt;&lt;/authors&gt;&lt;/contributors&gt;&lt;titles&gt;&lt;title&gt;Clinician&amp;apos;s Guide to Cardiopulmonary Exercise Testing in Adults : A Scientific Statement from the American Heart Association &lt;/title&gt;&lt;secondary-title&gt;Circulation&lt;/secondary-title&gt;&lt;/titles&gt;&lt;periodical&gt;&lt;full-title&gt;Circulation&lt;/full-title&gt;&lt;/periodical&gt;&lt;pages&gt;191-225&lt;/pages&gt;&lt;volume&gt;122&lt;/volume&gt;&lt;dates&gt;&lt;year&gt;2010&lt;/year&gt;&lt;/dates&gt;&lt;urls&gt;&lt;/urls&gt;&lt;/record&gt;&lt;/Cite&gt;&lt;/EndNote&gt;</w:instrText>
      </w:r>
      <w:r w:rsidRPr="00077A84">
        <w:rPr>
          <w:vertAlign w:val="superscript"/>
        </w:rPr>
        <w:fldChar w:fldCharType="separate"/>
      </w:r>
      <w:r w:rsidRPr="00077A84">
        <w:rPr>
          <w:noProof/>
          <w:vertAlign w:val="superscript"/>
        </w:rPr>
        <w:t>[3]</w:t>
      </w:r>
      <w:r w:rsidRPr="00077A84">
        <w:rPr>
          <w:vertAlign w:val="superscript"/>
        </w:rPr>
        <w:fldChar w:fldCharType="end"/>
      </w:r>
      <w:r w:rsidRPr="006641EA">
        <w:rPr>
          <w:rStyle w:val="StyleTimesNewRoman"/>
        </w:rPr>
        <w:t xml:space="preserve"> CPET with metabolic monitoring is considered the gold standard modality for assessment of exercise capacity.</w:t>
      </w:r>
      <w:r w:rsidRPr="00077A84">
        <w:rPr>
          <w:vertAlign w:val="superscript"/>
        </w:rPr>
        <w:fldChar w:fldCharType="begin"/>
      </w:r>
      <w:r w:rsidRPr="00077A84">
        <w:rPr>
          <w:vertAlign w:val="superscript"/>
        </w:rPr>
        <w:instrText xml:space="preserve"> ADDIN EN.CITE &lt;EndNote&gt;&lt;Cite&gt;&lt;Author&gt;Struthers&lt;/Author&gt;&lt;Year&gt;2008&lt;/Year&gt;&lt;RecNum&gt;12&lt;/RecNum&gt;&lt;DisplayText&gt;[4, 5]&lt;/DisplayText&gt;&lt;record&gt;&lt;rec-number&gt;12&lt;/rec-number&gt;&lt;foreign-keys&gt;&lt;key app="EN" db-id="2s0zpwfdupzz5vea22r52zesva2xtrt0w5vv" timestamp="1456705502"&gt;12&lt;/key&gt;&lt;/foreign-keys&gt;&lt;ref-type name="Journal Article"&gt;17&lt;/ref-type&gt;&lt;contributors&gt;&lt;authors&gt;&lt;author&gt;Struthers, R&lt;/author&gt;&lt;author&gt;Erasmus, P&lt;/author&gt;&lt;author&gt;Holmes, K&lt;/author&gt;&lt;author&gt;Warman, P&lt;/author&gt;&lt;author&gt;Collingwood, A&lt;/author&gt;&lt;author&gt;Sneyd, JR&lt;/author&gt;&lt;/authors&gt;&lt;/contributors&gt;&lt;titles&gt;&lt;title&gt;Assessing fitness for surgery: a comparison of questionnaire, incremental shuttle walk, and cardiopulmonary exercise testing in general surgical patients &lt;/title&gt;&lt;secondary-title&gt;British Journal of Anaesthesia&lt;/secondary-title&gt;&lt;/titles&gt;&lt;periodical&gt;&lt;full-title&gt;British Journal of Anaesthesia&lt;/full-title&gt;&lt;/periodical&gt;&lt;pages&gt;774-80&lt;/pages&gt;&lt;volume&gt;101&lt;/volume&gt;&lt;number&gt;6&lt;/number&gt;&lt;dates&gt;&lt;year&gt;2008&lt;/year&gt;&lt;/dates&gt;&lt;urls&gt;&lt;/urls&gt;&lt;/record&gt;&lt;/Cite&gt;&lt;Cite&gt;&lt;Author&gt;Lammers&lt;/Author&gt;&lt;Year&gt;2011&lt;/Year&gt;&lt;RecNum&gt;24&lt;/RecNum&gt;&lt;record&gt;&lt;rec-number&gt;24&lt;/rec-number&gt;&lt;foreign-keys&gt;&lt;key app="EN" db-id="2s0zpwfdupzz5vea22r52zesva2xtrt0w5vv" timestamp="1457928568"&gt;24&lt;/key&gt;&lt;/foreign-keys&gt;&lt;ref-type name="Journal Article"&gt;17&lt;/ref-type&gt;&lt;contributors&gt;&lt;authors&gt;&lt;author&gt;Lammers, AE&lt;/author&gt;&lt;author&gt;Diller, GP&lt;/author&gt;&lt;author&gt;Odendaal, D&lt;/author&gt;&lt;author&gt;Tailor, S&lt;/author&gt;&lt;author&gt;Derrick, G&lt;/author&gt;&lt;author&gt;Haworth, SG&lt;/author&gt;&lt;/authors&gt;&lt;/contributors&gt;&lt;titles&gt;&lt;title&gt;Comparison of 6-min walk test distance and cardiopulmonary exercise performance in children with pulmonary hypertension&lt;/title&gt;&lt;secondary-title&gt;Arch Dis Child&lt;/secondary-title&gt;&lt;/titles&gt;&lt;periodical&gt;&lt;full-title&gt;Arch Dis Child&lt;/full-title&gt;&lt;/periodical&gt;&lt;pages&gt;141-147&lt;/pages&gt;&lt;volume&gt;96&lt;/volume&gt;&lt;dates&gt;&lt;year&gt;2011&lt;/year&gt;&lt;/dates&gt;&lt;urls&gt;&lt;/urls&gt;&lt;/record&gt;&lt;/Cite&gt;&lt;/EndNote&gt;</w:instrText>
      </w:r>
      <w:r w:rsidRPr="00077A84">
        <w:rPr>
          <w:vertAlign w:val="superscript"/>
        </w:rPr>
        <w:fldChar w:fldCharType="separate"/>
      </w:r>
      <w:r w:rsidRPr="00077A84">
        <w:rPr>
          <w:noProof/>
          <w:vertAlign w:val="superscript"/>
        </w:rPr>
        <w:t>[4, 5]</w:t>
      </w:r>
      <w:r w:rsidRPr="00077A84">
        <w:rPr>
          <w:vertAlign w:val="superscript"/>
        </w:rPr>
        <w:fldChar w:fldCharType="end"/>
      </w:r>
      <w:r>
        <w:rPr>
          <w:vertAlign w:val="superscript"/>
        </w:rPr>
        <w:t xml:space="preserve"> </w:t>
      </w:r>
    </w:p>
    <w:p w14:paraId="3F4C145B" w14:textId="77777777" w:rsidR="005B65C7" w:rsidRPr="006641EA" w:rsidRDefault="005B65C7" w:rsidP="00733DE0">
      <w:pPr>
        <w:pStyle w:val="NormalF"/>
        <w:rPr>
          <w:rStyle w:val="StyleTimesNewRoman"/>
        </w:rPr>
      </w:pPr>
      <w:r w:rsidRPr="006641EA">
        <w:rPr>
          <w:rStyle w:val="StyleTimesNewRoman"/>
        </w:rPr>
        <w:t>In basic terms, interpretation of CPET involves a comparison between the data from individual patients and that of healthy and disease populations.</w:t>
      </w:r>
      <w:r w:rsidRPr="000B0895">
        <w:rPr>
          <w:vertAlign w:val="superscript"/>
        </w:rPr>
        <w:fldChar w:fldCharType="begin"/>
      </w:r>
      <w:r w:rsidRPr="000B0895">
        <w:rPr>
          <w:vertAlign w:val="superscript"/>
        </w:rPr>
        <w:instrText xml:space="preserve"> ADDIN EN.CITE &lt;EndNote&gt;&lt;Cite&gt;&lt;Author&gt;Arena&lt;/Author&gt;&lt;Year&gt;2011&lt;/Year&gt;&lt;RecNum&gt;9&lt;/RecNum&gt;&lt;DisplayText&gt;[6]&lt;/DisplayText&gt;&lt;record&gt;&lt;rec-number&gt;9&lt;/rec-number&gt;&lt;foreign-keys&gt;&lt;key app="EN" db-id="2s0zpwfdupzz5vea22r52zesva2xtrt0w5vv" timestamp="1456610214"&gt;9&lt;/key&gt;&lt;/foreign-keys&gt;&lt;ref-type name="Journal Article"&gt;17&lt;/ref-type&gt;&lt;contributors&gt;&lt;authors&gt;&lt;author&gt;Arena, R&lt;/author&gt;&lt;author&gt;Siestema, K&lt;/author&gt;&lt;/authors&gt;&lt;/contributors&gt;&lt;titles&gt;&lt;title&gt;Cardiopulmonary Exercise Testing in the Clinical Evaluation of Patients with Heart and Lung Disease&lt;/title&gt;&lt;secondary-title&gt;Circulation&lt;/secondary-title&gt;&lt;/titles&gt;&lt;periodical&gt;&lt;full-title&gt;Circulation&lt;/full-title&gt;&lt;/periodical&gt;&lt;pages&gt;668-680&lt;/pages&gt;&lt;volume&gt;123&lt;/volume&gt;&lt;dates&gt;&lt;year&gt;2011&lt;/year&gt;&lt;/dates&gt;&lt;urls&gt;&lt;/urls&gt;&lt;/record&gt;&lt;/Cite&gt;&lt;/EndNote&gt;</w:instrText>
      </w:r>
      <w:r w:rsidRPr="000B0895">
        <w:rPr>
          <w:vertAlign w:val="superscript"/>
        </w:rPr>
        <w:fldChar w:fldCharType="separate"/>
      </w:r>
      <w:r w:rsidRPr="000B0895">
        <w:rPr>
          <w:noProof/>
          <w:vertAlign w:val="superscript"/>
        </w:rPr>
        <w:t>[6]</w:t>
      </w:r>
      <w:r w:rsidRPr="000B0895">
        <w:rPr>
          <w:vertAlign w:val="superscript"/>
        </w:rPr>
        <w:fldChar w:fldCharType="end"/>
      </w:r>
      <w:r w:rsidRPr="006641EA">
        <w:rPr>
          <w:rStyle w:val="StyleTimesNewRoman"/>
        </w:rPr>
        <w:t xml:space="preserve"> VO</w:t>
      </w:r>
      <w:r w:rsidRPr="001530F5">
        <w:rPr>
          <w:vertAlign w:val="subscript"/>
        </w:rPr>
        <w:t>2max</w:t>
      </w:r>
      <w:r w:rsidRPr="006641EA">
        <w:rPr>
          <w:rStyle w:val="StyleTimesNewRoman"/>
        </w:rPr>
        <w:t xml:space="preserve"> is considered the best indicator of aerobic activity, and the gold standard for cardiorespiratory fitness.</w:t>
      </w:r>
      <w:r w:rsidRPr="00BE1B89">
        <w:rPr>
          <w:vertAlign w:val="superscript"/>
        </w:rPr>
        <w:fldChar w:fldCharType="begin"/>
      </w:r>
      <w:r w:rsidRPr="00BE1B89">
        <w:rPr>
          <w:vertAlign w:val="superscript"/>
        </w:rPr>
        <w:instrText xml:space="preserve"> ADDIN EN.CITE &lt;EndNote&gt;&lt;Cite&gt;&lt;Author&gt;ATS/ACCP&lt;/Author&gt;&lt;Year&gt;2003&lt;/Year&gt;&lt;RecNum&gt;1&lt;/RecNum&gt;&lt;DisplayText&gt;[1]&lt;/DisplayText&gt;&lt;record&gt;&lt;rec-number&gt;1&lt;/rec-number&gt;&lt;foreign-keys&gt;&lt;key app="EN" db-id="2s0zpwfdupzz5vea22r52zesva2xtrt0w5vv" timestamp="1456047133"&gt;1&lt;/key&gt;&lt;/foreign-keys&gt;&lt;ref-type name="Journal Article"&gt;17&lt;/ref-type&gt;&lt;contributors&gt;&lt;authors&gt;&lt;author&gt;ATS/ACCP &lt;/author&gt;&lt;/authors&gt;&lt;/contributors&gt;&lt;titles&gt;&lt;title&gt;ATS/ACCP Statement on Cardiopulmonary Exercise Testing&lt;/title&gt;&lt;secondary-title&gt;American Journal of Respiratory and and Critical Care Medicine&lt;/secondary-title&gt;&lt;/titles&gt;&lt;periodical&gt;&lt;full-title&gt;American Journal of Respiratory and and Critical Care Medicine&lt;/full-title&gt;&lt;/periodical&gt;&lt;pages&gt;211-277&lt;/pages&gt;&lt;volume&gt;167&lt;/volume&gt;&lt;dates&gt;&lt;year&gt;2003&lt;/year&gt;&lt;/dates&gt;&lt;urls&gt;&lt;/urls&gt;&lt;/record&gt;&lt;/Cite&gt;&lt;/EndNote&gt;</w:instrText>
      </w:r>
      <w:r w:rsidRPr="00BE1B89">
        <w:rPr>
          <w:vertAlign w:val="superscript"/>
        </w:rPr>
        <w:fldChar w:fldCharType="separate"/>
      </w:r>
      <w:r w:rsidRPr="00BE1B89">
        <w:rPr>
          <w:noProof/>
          <w:vertAlign w:val="superscript"/>
        </w:rPr>
        <w:t>[1]</w:t>
      </w:r>
      <w:r w:rsidRPr="00BE1B89">
        <w:rPr>
          <w:vertAlign w:val="superscript"/>
        </w:rPr>
        <w:fldChar w:fldCharType="end"/>
      </w:r>
      <w:r w:rsidRPr="006641EA">
        <w:rPr>
          <w:rStyle w:val="StyleTimesNewRoman"/>
        </w:rPr>
        <w:t xml:space="preserve"> Generally the best evidence of VO</w:t>
      </w:r>
      <w:r w:rsidRPr="004814F8">
        <w:rPr>
          <w:vertAlign w:val="subscript"/>
        </w:rPr>
        <w:t>2max</w:t>
      </w:r>
      <w:r w:rsidRPr="006641EA">
        <w:rPr>
          <w:rStyle w:val="StyleTimesNewRoman"/>
        </w:rPr>
        <w:t xml:space="preserve"> is the attainment of a clear plateau in VO</w:t>
      </w:r>
      <w:r w:rsidRPr="004814F8">
        <w:rPr>
          <w:vertAlign w:val="subscript"/>
        </w:rPr>
        <w:t>2</w:t>
      </w:r>
      <w:r w:rsidRPr="006641EA">
        <w:rPr>
          <w:rStyle w:val="StyleTimesNewRoman"/>
        </w:rPr>
        <w:t>. However, in many clinical scenarios, a clear plateau may not be reached prior to symptom limitation of exercise, and VO</w:t>
      </w:r>
      <w:r w:rsidRPr="004814F8">
        <w:rPr>
          <w:vertAlign w:val="subscript"/>
        </w:rPr>
        <w:t>2peak</w:t>
      </w:r>
      <w:r w:rsidRPr="006641EA">
        <w:rPr>
          <w:rStyle w:val="StyleTimesNewRoman"/>
        </w:rPr>
        <w:t xml:space="preserve"> is used as an estimate of VO</w:t>
      </w:r>
      <w:r w:rsidRPr="004814F8">
        <w:rPr>
          <w:vertAlign w:val="subscript"/>
        </w:rPr>
        <w:t>2max</w:t>
      </w:r>
      <w:r w:rsidRPr="006641EA">
        <w:rPr>
          <w:rStyle w:val="StyleTimesNewRoman"/>
        </w:rPr>
        <w:t>.</w:t>
      </w:r>
      <w:r w:rsidRPr="00BE1B89">
        <w:rPr>
          <w:vertAlign w:val="superscript"/>
        </w:rPr>
        <w:fldChar w:fldCharType="begin"/>
      </w:r>
      <w:r w:rsidRPr="00BE1B89">
        <w:rPr>
          <w:vertAlign w:val="superscript"/>
        </w:rPr>
        <w:instrText xml:space="preserve"> ADDIN EN.CITE &lt;EndNote&gt;&lt;Cite&gt;&lt;Author&gt;ATS/ACCP&lt;/Author&gt;&lt;Year&gt;2003&lt;/Year&gt;&lt;RecNum&gt;1&lt;/RecNum&gt;&lt;DisplayText&gt;[1]&lt;/DisplayText&gt;&lt;record&gt;&lt;rec-number&gt;1&lt;/rec-number&gt;&lt;foreign-keys&gt;&lt;key app="EN" db-id="2s0zpwfdupzz5vea22r52zesva2xtrt0w5vv" timestamp="1456047133"&gt;1&lt;/key&gt;&lt;/foreign-keys&gt;&lt;ref-type name="Journal Article"&gt;17&lt;/ref-type&gt;&lt;contributors&gt;&lt;authors&gt;&lt;author&gt;ATS/ACCP &lt;/author&gt;&lt;/authors&gt;&lt;/contributors&gt;&lt;titles&gt;&lt;title&gt;ATS/ACCP Statement on Cardiopulmonary Exercise Testing&lt;/title&gt;&lt;secondary-title&gt;American Journal of Respiratory and and Critical Care Medicine&lt;/secondary-title&gt;&lt;/titles&gt;&lt;periodical&gt;&lt;full-title&gt;American Journal of Respiratory and and Critical Care Medicine&lt;/full-title&gt;&lt;/periodical&gt;&lt;pages&gt;211-277&lt;/pages&gt;&lt;volume&gt;167&lt;/volume&gt;&lt;dates&gt;&lt;year&gt;2003&lt;/year&gt;&lt;/dates&gt;&lt;urls&gt;&lt;/urls&gt;&lt;/record&gt;&lt;/Cite&gt;&lt;/EndNote&gt;</w:instrText>
      </w:r>
      <w:r w:rsidRPr="00BE1B89">
        <w:rPr>
          <w:vertAlign w:val="superscript"/>
        </w:rPr>
        <w:fldChar w:fldCharType="separate"/>
      </w:r>
      <w:r w:rsidRPr="00BE1B89">
        <w:rPr>
          <w:noProof/>
          <w:vertAlign w:val="superscript"/>
        </w:rPr>
        <w:t>[1]</w:t>
      </w:r>
      <w:r w:rsidRPr="00BE1B89">
        <w:rPr>
          <w:vertAlign w:val="superscript"/>
        </w:rPr>
        <w:fldChar w:fldCharType="end"/>
      </w:r>
      <w:r w:rsidRPr="006641EA">
        <w:rPr>
          <w:rStyle w:val="StyleTimesNewRoman"/>
        </w:rPr>
        <w:t xml:space="preserve"> For practical purposes, VO</w:t>
      </w:r>
      <w:r w:rsidRPr="00BE1B89">
        <w:rPr>
          <w:vertAlign w:val="subscript"/>
        </w:rPr>
        <w:t>2peak</w:t>
      </w:r>
      <w:r w:rsidRPr="006641EA">
        <w:rPr>
          <w:rStyle w:val="StyleTimesNewRoman"/>
        </w:rPr>
        <w:t xml:space="preserve"> and VO</w:t>
      </w:r>
      <w:r w:rsidRPr="00BE1B89">
        <w:rPr>
          <w:vertAlign w:val="subscript"/>
        </w:rPr>
        <w:t>2max</w:t>
      </w:r>
      <w:r w:rsidRPr="006641EA">
        <w:rPr>
          <w:rStyle w:val="StyleTimesNewRoman"/>
        </w:rPr>
        <w:t xml:space="preserve"> are used interchangeably. The VE/VCO</w:t>
      </w:r>
      <w:r w:rsidRPr="0008502A">
        <w:rPr>
          <w:vertAlign w:val="subscript"/>
        </w:rPr>
        <w:t>2</w:t>
      </w:r>
      <w:r w:rsidRPr="006641EA">
        <w:rPr>
          <w:rStyle w:val="StyleTimesNewRoman"/>
        </w:rPr>
        <w:t xml:space="preserve"> slope is an indication of ventilation efficiency and has been stated to be an independent prognostic indicator of poor outcome in particular patient groups including heart failure. </w:t>
      </w:r>
      <w:r w:rsidRPr="0008502A">
        <w:rPr>
          <w:vertAlign w:val="superscript"/>
        </w:rPr>
        <w:fldChar w:fldCharType="begin"/>
      </w:r>
      <w:r w:rsidRPr="0008502A">
        <w:rPr>
          <w:vertAlign w:val="superscript"/>
        </w:rPr>
        <w:instrText xml:space="preserve"> ADDIN EN.CITE &lt;EndNote&gt;&lt;Cite&gt;&lt;Author&gt;ATS/ACCP&lt;/Author&gt;&lt;Year&gt;2003&lt;/Year&gt;&lt;RecNum&gt;1&lt;/RecNum&gt;&lt;DisplayText&gt;[1]&lt;/DisplayText&gt;&lt;record&gt;&lt;rec-number&gt;1&lt;/rec-number&gt;&lt;foreign-keys&gt;&lt;key app="EN" db-id="2s0zpwfdupzz5vea22r52zesva2xtrt0w5vv" timestamp="1456047133"&gt;1&lt;/key&gt;&lt;/foreign-keys&gt;&lt;ref-type name="Journal Article"&gt;17&lt;/ref-type&gt;&lt;contributors&gt;&lt;authors&gt;&lt;author&gt;ATS/ACCP &lt;/author&gt;&lt;/authors&gt;&lt;/contributors&gt;&lt;titles&gt;&lt;title&gt;ATS/ACCP Statement on Cardiopulmonary Exercise Testing&lt;/title&gt;&lt;secondary-title&gt;American Journal of Respiratory and and Critical Care Medicine&lt;/secondary-title&gt;&lt;/titles&gt;&lt;periodical&gt;&lt;full-title&gt;American Journal of Respiratory and and Critical Care Medicine&lt;/full-title&gt;&lt;/periodical&gt;&lt;pages&gt;211-277&lt;/pages&gt;&lt;volume&gt;167&lt;/volume&gt;&lt;dates&gt;&lt;year&gt;2003&lt;/year&gt;&lt;/dates&gt;&lt;urls&gt;&lt;/urls&gt;&lt;/record&gt;&lt;/Cite&gt;&lt;/EndNote&gt;</w:instrText>
      </w:r>
      <w:r w:rsidRPr="0008502A">
        <w:rPr>
          <w:vertAlign w:val="superscript"/>
        </w:rPr>
        <w:fldChar w:fldCharType="separate"/>
      </w:r>
      <w:r w:rsidRPr="0008502A">
        <w:rPr>
          <w:noProof/>
          <w:vertAlign w:val="superscript"/>
        </w:rPr>
        <w:t>[1]</w:t>
      </w:r>
      <w:r w:rsidRPr="0008502A">
        <w:rPr>
          <w:vertAlign w:val="superscript"/>
        </w:rPr>
        <w:fldChar w:fldCharType="end"/>
      </w:r>
      <w:r w:rsidRPr="006641EA">
        <w:rPr>
          <w:rStyle w:val="StyleTimesNewRoman"/>
        </w:rPr>
        <w:t xml:space="preserve"> </w:t>
      </w:r>
    </w:p>
    <w:p w14:paraId="64B5B369" w14:textId="77777777" w:rsidR="005B65C7" w:rsidRPr="006641EA" w:rsidRDefault="005B65C7" w:rsidP="00733DE0">
      <w:pPr>
        <w:pStyle w:val="NormalF"/>
        <w:rPr>
          <w:rStyle w:val="StyleTimesNewRoman"/>
        </w:rPr>
      </w:pPr>
      <w:r w:rsidRPr="006641EA">
        <w:rPr>
          <w:rStyle w:val="StyleTimesNewRoman"/>
        </w:rPr>
        <w:t>CPET is generally performed by way of treadmill or cycle ergometer. In the US, treadmill is preferred as subjects may terminate cycle exercise due to quadriceps fatigue (at a lower VO</w:t>
      </w:r>
      <w:r w:rsidRPr="00077A84">
        <w:rPr>
          <w:vertAlign w:val="subscript"/>
        </w:rPr>
        <w:t>2</w:t>
      </w:r>
      <w:r w:rsidRPr="006641EA">
        <w:rPr>
          <w:rStyle w:val="StyleTimesNewRoman"/>
        </w:rPr>
        <w:t xml:space="preserve"> than treadmill peak), or may have difficulty maintaining desired pedal speed. Cycle ergometry, though tending to produce lower peak VO</w:t>
      </w:r>
      <w:r w:rsidRPr="00077A84">
        <w:rPr>
          <w:vertAlign w:val="subscript"/>
        </w:rPr>
        <w:t>2</w:t>
      </w:r>
      <w:r w:rsidRPr="006641EA">
        <w:rPr>
          <w:rStyle w:val="StyleTimesNewRoman"/>
        </w:rPr>
        <w:t xml:space="preserve"> (by around 10%), may be preferable in subjects with gait or balance instability, severe obesity or orthopaedic limitations, or when simultaneous cardiac imaging is planned.</w:t>
      </w:r>
      <w:r w:rsidRPr="00077A84">
        <w:rPr>
          <w:vertAlign w:val="superscript"/>
        </w:rPr>
        <w:fldChar w:fldCharType="begin"/>
      </w:r>
      <w:r w:rsidRPr="00077A84">
        <w:rPr>
          <w:vertAlign w:val="superscript"/>
        </w:rPr>
        <w:instrText xml:space="preserve"> ADDIN EN.CITE &lt;EndNote&gt;&lt;Cite&gt;&lt;Author&gt;Balady&lt;/Author&gt;&lt;Year&gt;2010&lt;/Year&gt;&lt;RecNum&gt;8&lt;/RecNum&gt;&lt;DisplayText&gt;[3]&lt;/DisplayText&gt;&lt;record&gt;&lt;rec-number&gt;8&lt;/rec-number&gt;&lt;foreign-keys&gt;&lt;key app="EN" db-id="2s0zpwfdupzz5vea22r52zesva2xtrt0w5vv" timestamp="1456609971"&gt;8&lt;/key&gt;&lt;/foreign-keys&gt;&lt;ref-type name="Journal Article"&gt;17&lt;/ref-type&gt;&lt;contributors&gt;&lt;authors&gt;&lt;author&gt;Balady, GJ&lt;/author&gt;&lt;author&gt;Arena, R&lt;/author&gt;&lt;author&gt;Siestema, K&lt;/author&gt;&lt;author&gt;Myers, J&lt;/author&gt;&lt;author&gt;Coke, L&lt;/author&gt;&lt;author&gt;Fletcher, GF&lt;/author&gt;&lt;author&gt;Forman, D&lt;/author&gt;&lt;author&gt;Franklin, B&lt;/author&gt;&lt;author&gt;Guazzi, M&lt;/author&gt;&lt;author&gt;Gulati, M&lt;/author&gt;&lt;author&gt;Keteyian, SJ&lt;/author&gt;&lt;author&gt;Lavie, CJ&lt;/author&gt;&lt;author&gt;Macko, R&lt;/author&gt;&lt;author&gt;Mancini, D&lt;/author&gt;&lt;author&gt;Milani, RV&lt;/author&gt;&lt;/authors&gt;&lt;/contributors&gt;&lt;titles&gt;&lt;title&gt;Clinician&amp;apos;s Guide to Cardiopulmonary Exercise Testing in Adults : A Scientific Statement from the American Heart Association &lt;/title&gt;&lt;secondary-title&gt;Circulation&lt;/secondary-title&gt;&lt;/titles&gt;&lt;periodical&gt;&lt;full-title&gt;Circulation&lt;/full-title&gt;&lt;/periodical&gt;&lt;pages&gt;191-225&lt;/pages&gt;&lt;volume&gt;122&lt;/volume&gt;&lt;dates&gt;&lt;year&gt;2010&lt;/year&gt;&lt;/dates&gt;&lt;urls&gt;&lt;/urls&gt;&lt;/record&gt;&lt;/Cite&gt;&lt;/EndNote&gt;</w:instrText>
      </w:r>
      <w:r w:rsidRPr="00077A84">
        <w:rPr>
          <w:vertAlign w:val="superscript"/>
        </w:rPr>
        <w:fldChar w:fldCharType="separate"/>
      </w:r>
      <w:r w:rsidRPr="00077A84">
        <w:rPr>
          <w:noProof/>
          <w:vertAlign w:val="superscript"/>
        </w:rPr>
        <w:t>[3]</w:t>
      </w:r>
      <w:r w:rsidRPr="00077A84">
        <w:rPr>
          <w:vertAlign w:val="superscript"/>
        </w:rPr>
        <w:fldChar w:fldCharType="end"/>
      </w:r>
      <w:r w:rsidRPr="006641EA">
        <w:rPr>
          <w:rStyle w:val="StyleTimesNewRoman"/>
        </w:rPr>
        <w:t xml:space="preserve"> Cycle may also be preferred, as it tends to produce less movement artifact, facilitates the taking of arterial blood samples, and provides a smooth increase in load.</w:t>
      </w:r>
      <w:r w:rsidRPr="00077A84">
        <w:rPr>
          <w:vertAlign w:val="superscript"/>
        </w:rPr>
        <w:t xml:space="preserve"> </w:t>
      </w:r>
      <w:r w:rsidRPr="00077A84">
        <w:rPr>
          <w:vertAlign w:val="superscript"/>
        </w:rPr>
        <w:fldChar w:fldCharType="begin"/>
      </w:r>
      <w:r w:rsidRPr="00077A84">
        <w:rPr>
          <w:vertAlign w:val="superscript"/>
        </w:rPr>
        <w:instrText xml:space="preserve"> ADDIN EN.CITE &lt;EndNote&gt;&lt;Cite&gt;&lt;Author&gt;Debapriya&lt;/Author&gt;&lt;Year&gt;2015&lt;/Year&gt;&lt;RecNum&gt;21&lt;/RecNum&gt;&lt;DisplayText&gt;[2]&lt;/DisplayText&gt;&lt;record&gt;&lt;rec-number&gt;21&lt;/rec-number&gt;&lt;foreign-keys&gt;&lt;key app="EN" db-id="2s0zpwfdupzz5vea22r52zesva2xtrt0w5vv" timestamp="1457857250"&gt;21&lt;/key&gt;&lt;/foreign-keys&gt;&lt;ref-type name="Journal Article"&gt;17&lt;/ref-type&gt;&lt;contributors&gt;&lt;authors&gt;&lt;author&gt;Debapriya, Datta&lt;/author&gt;&lt;author&gt;Normandin, E&lt;/author&gt;&lt;author&gt;ZuWallack&lt;/author&gt;&lt;/authors&gt;&lt;/contributors&gt;&lt;titles&gt;&lt;title&gt;Cardiopulmonary exercise testing in the assessment of exertional dyspnoea &lt;/title&gt;&lt;secondary-title&gt;Ann Thoracic Med&lt;/secondary-title&gt;&lt;/titles&gt;&lt;periodical&gt;&lt;full-title&gt;Ann Thoracic Med&lt;/full-title&gt;&lt;/periodical&gt;&lt;pages&gt;77-86&lt;/pages&gt;&lt;volume&gt;10&lt;/volume&gt;&lt;number&gt;2&lt;/number&gt;&lt;dates&gt;&lt;year&gt;2015&lt;/year&gt;&lt;/dates&gt;&lt;urls&gt;&lt;/urls&gt;&lt;/record&gt;&lt;/Cite&gt;&lt;/EndNote&gt;</w:instrText>
      </w:r>
      <w:r w:rsidRPr="00077A84">
        <w:rPr>
          <w:vertAlign w:val="superscript"/>
        </w:rPr>
        <w:fldChar w:fldCharType="separate"/>
      </w:r>
      <w:r w:rsidRPr="00077A84">
        <w:rPr>
          <w:noProof/>
          <w:vertAlign w:val="superscript"/>
        </w:rPr>
        <w:t>[2]</w:t>
      </w:r>
      <w:r w:rsidRPr="00077A84">
        <w:rPr>
          <w:vertAlign w:val="superscript"/>
        </w:rPr>
        <w:fldChar w:fldCharType="end"/>
      </w:r>
      <w:r w:rsidRPr="006641EA">
        <w:rPr>
          <w:rStyle w:val="StyleTimesNewRoman"/>
        </w:rPr>
        <w:t xml:space="preserve"> </w:t>
      </w:r>
    </w:p>
    <w:p w14:paraId="29B0A082" w14:textId="77777777" w:rsidR="006641EA" w:rsidRDefault="005B65C7" w:rsidP="00733DE0">
      <w:pPr>
        <w:pStyle w:val="NormalF"/>
      </w:pPr>
      <w:r w:rsidRPr="006641EA">
        <w:t>Comparative tests include functional exercise assessments such as the 6-minute walk test (6MWT), the incremental shuttle walk test (ISWT), and exercise stress testing.</w:t>
      </w:r>
      <w:r w:rsidR="006618D2" w:rsidRPr="006641EA">
        <w:t xml:space="preserve"> </w:t>
      </w:r>
    </w:p>
    <w:p w14:paraId="780A5B23" w14:textId="77777777" w:rsidR="006641EA" w:rsidRDefault="005B65C7" w:rsidP="00733DE0">
      <w:pPr>
        <w:pStyle w:val="NormalF"/>
      </w:pPr>
      <w:r w:rsidRPr="006641EA">
        <w:lastRenderedPageBreak/>
        <w:t>Submaximal exercise tests tend to be used more commonly due to reduced complexity in administration and supervision, reduced cost and perceived improvement in safety profile. There are numerous studies comparing CPET to submaximal tests, however they vary in terms of population group and parameters under comparison. It is not possible, in a brief review, to comprehensively cover all of the comparative evidence, however a more in depth review may be warranted if a more detailed analysis of the application of CPET in specific disease populations is required.</w:t>
      </w:r>
      <w:r w:rsidR="006618D2" w:rsidRPr="006641EA">
        <w:t xml:space="preserve"> </w:t>
      </w:r>
    </w:p>
    <w:p w14:paraId="40574B98" w14:textId="77777777" w:rsidR="005B65C7" w:rsidRPr="00733DE0" w:rsidRDefault="005B65C7" w:rsidP="00733DE0">
      <w:pPr>
        <w:pStyle w:val="NormalF"/>
      </w:pPr>
      <w:r w:rsidRPr="00733DE0">
        <w:t>Table 1 below summarises some of the indications for use of CPET.</w:t>
      </w:r>
    </w:p>
    <w:p w14:paraId="6FFBE60D" w14:textId="77777777" w:rsidR="00BF5208" w:rsidRPr="0099709F" w:rsidRDefault="00BF5208" w:rsidP="0099709F">
      <w:pPr>
        <w:pStyle w:val="Appcaption"/>
        <w:rPr>
          <w:b/>
          <w:bCs/>
          <w:iCs/>
        </w:rPr>
      </w:pPr>
      <w:r w:rsidRPr="0099709F">
        <w:rPr>
          <w:b/>
          <w:bCs/>
          <w:iCs/>
        </w:rPr>
        <w:t>Table 1: Indications for CPET</w:t>
      </w:r>
    </w:p>
    <w:tbl>
      <w:tblPr>
        <w:tblStyle w:val="TableGrid"/>
        <w:tblW w:w="9445" w:type="dxa"/>
        <w:tblLook w:val="04A0" w:firstRow="1" w:lastRow="0" w:firstColumn="1" w:lastColumn="0" w:noHBand="0" w:noVBand="1"/>
        <w:tblDescription w:val="Appendix F, Table 1 is a summary of Cardiopulmonary Exercise Testing (CPET) and their indicators. "/>
      </w:tblPr>
      <w:tblGrid>
        <w:gridCol w:w="2515"/>
        <w:gridCol w:w="6930"/>
      </w:tblGrid>
      <w:tr w:rsidR="00814B7A" w:rsidRPr="00077A84" w14:paraId="356023DB" w14:textId="77777777" w:rsidTr="00592370">
        <w:trPr>
          <w:tblHeader/>
        </w:trPr>
        <w:tc>
          <w:tcPr>
            <w:tcW w:w="2515" w:type="dxa"/>
            <w:tcBorders>
              <w:right w:val="single" w:sz="4" w:space="0" w:color="auto"/>
            </w:tcBorders>
            <w:shd w:val="clear" w:color="auto" w:fill="auto"/>
          </w:tcPr>
          <w:p w14:paraId="2DB566C7" w14:textId="77777777" w:rsidR="00814B7A" w:rsidRPr="00814B7A" w:rsidRDefault="00D37A80" w:rsidP="00814B7A">
            <w:pPr>
              <w:pStyle w:val="Tabletext"/>
              <w:rPr>
                <w:b/>
              </w:rPr>
            </w:pPr>
            <w:r>
              <w:rPr>
                <w:b/>
              </w:rPr>
              <w:t>Clinical purpose</w:t>
            </w:r>
          </w:p>
        </w:tc>
        <w:tc>
          <w:tcPr>
            <w:tcW w:w="6930" w:type="dxa"/>
            <w:tcBorders>
              <w:left w:val="single" w:sz="4" w:space="0" w:color="auto"/>
              <w:bottom w:val="single" w:sz="4" w:space="0" w:color="auto"/>
            </w:tcBorders>
            <w:shd w:val="clear" w:color="auto" w:fill="auto"/>
          </w:tcPr>
          <w:p w14:paraId="2334A30E" w14:textId="77777777" w:rsidR="00814B7A" w:rsidRPr="00814B7A" w:rsidRDefault="00814B7A" w:rsidP="00814B7A">
            <w:pPr>
              <w:pStyle w:val="Tabletext"/>
              <w:rPr>
                <w:b/>
                <w:szCs w:val="22"/>
              </w:rPr>
            </w:pPr>
            <w:r w:rsidRPr="00814B7A">
              <w:rPr>
                <w:b/>
                <w:szCs w:val="22"/>
              </w:rPr>
              <w:t>Indication</w:t>
            </w:r>
          </w:p>
        </w:tc>
      </w:tr>
      <w:tr w:rsidR="00814B7A" w:rsidRPr="00077A84" w14:paraId="2100D4CF" w14:textId="77777777" w:rsidTr="00D52624">
        <w:tc>
          <w:tcPr>
            <w:tcW w:w="2515" w:type="dxa"/>
            <w:tcBorders>
              <w:right w:val="single" w:sz="4" w:space="0" w:color="auto"/>
            </w:tcBorders>
            <w:shd w:val="clear" w:color="auto" w:fill="auto"/>
          </w:tcPr>
          <w:p w14:paraId="444C653F" w14:textId="77777777" w:rsidR="00814B7A" w:rsidRPr="00E52BC8" w:rsidRDefault="00814B7A" w:rsidP="00814B7A">
            <w:pPr>
              <w:pStyle w:val="Tabletext"/>
            </w:pPr>
            <w:r w:rsidRPr="00E52BC8">
              <w:t>Diagnostic</w:t>
            </w:r>
          </w:p>
        </w:tc>
        <w:tc>
          <w:tcPr>
            <w:tcW w:w="6930" w:type="dxa"/>
            <w:tcBorders>
              <w:left w:val="single" w:sz="4" w:space="0" w:color="auto"/>
              <w:bottom w:val="single" w:sz="4" w:space="0" w:color="auto"/>
            </w:tcBorders>
            <w:shd w:val="clear" w:color="auto" w:fill="auto"/>
          </w:tcPr>
          <w:p w14:paraId="41D4EFD0" w14:textId="77777777" w:rsidR="00814B7A" w:rsidRPr="00814B7A" w:rsidRDefault="00814B7A" w:rsidP="00814B7A">
            <w:pPr>
              <w:pStyle w:val="Tabletext"/>
            </w:pPr>
            <w:r w:rsidRPr="00814B7A">
              <w:t>Assists in the differentiation of cardiac versus pulmonary causes of exercise induced dyspnoea or impaired exercise capacity, including diagnoses of exercise-induced arrhythmias, chronotropic incompetence, PFO with exercise induced R-L shunt, myocardial ischaemia, early pulmonary vascular disease, diastolic HF, chronic hyperventilation and psychogenic dyspnoea</w:t>
            </w:r>
          </w:p>
        </w:tc>
      </w:tr>
      <w:tr w:rsidR="00814B7A" w:rsidRPr="00077A84" w14:paraId="36D7E3E1" w14:textId="77777777" w:rsidTr="00D52624">
        <w:tc>
          <w:tcPr>
            <w:tcW w:w="2515" w:type="dxa"/>
            <w:tcBorders>
              <w:right w:val="single" w:sz="4" w:space="0" w:color="auto"/>
            </w:tcBorders>
            <w:shd w:val="clear" w:color="auto" w:fill="auto"/>
          </w:tcPr>
          <w:p w14:paraId="37F0BF4C" w14:textId="77777777" w:rsidR="00814B7A" w:rsidRPr="00E52BC8" w:rsidRDefault="00814B7A" w:rsidP="00814B7A">
            <w:pPr>
              <w:pStyle w:val="Tabletext"/>
            </w:pPr>
            <w:r w:rsidRPr="00E52BC8">
              <w:t>Diagnostic</w:t>
            </w:r>
          </w:p>
        </w:tc>
        <w:tc>
          <w:tcPr>
            <w:tcW w:w="6930" w:type="dxa"/>
            <w:tcBorders>
              <w:left w:val="single" w:sz="4" w:space="0" w:color="auto"/>
              <w:bottom w:val="single" w:sz="4" w:space="0" w:color="auto"/>
            </w:tcBorders>
            <w:shd w:val="clear" w:color="auto" w:fill="auto"/>
          </w:tcPr>
          <w:p w14:paraId="29E7A5FF" w14:textId="77777777" w:rsidR="00814B7A" w:rsidRPr="00077A84" w:rsidRDefault="00814B7A" w:rsidP="00814B7A">
            <w:pPr>
              <w:pStyle w:val="Tabletext"/>
              <w:rPr>
                <w:szCs w:val="22"/>
              </w:rPr>
            </w:pPr>
            <w:r w:rsidRPr="00077A84">
              <w:rPr>
                <w:szCs w:val="22"/>
              </w:rPr>
              <w:t>CPET can detect exercise-induced myocardial ischaemia more accurately compared with standard ECG stress test.</w:t>
            </w:r>
            <w:r w:rsidRPr="00077A84">
              <w:rPr>
                <w:szCs w:val="22"/>
                <w:vertAlign w:val="superscript"/>
              </w:rPr>
              <w:fldChar w:fldCharType="begin"/>
            </w:r>
            <w:r>
              <w:rPr>
                <w:szCs w:val="22"/>
                <w:vertAlign w:val="superscript"/>
              </w:rPr>
              <w:instrText xml:space="preserve"> ADDIN EN.CITE &lt;EndNote&gt;&lt;Cite&gt;&lt;Author&gt;Belardinelli&lt;/Author&gt;&lt;Year&gt;2003&lt;/Year&gt;&lt;RecNum&gt;6&lt;/RecNum&gt;&lt;DisplayText&gt;[7]&lt;/DisplayText&gt;&lt;record&gt;&lt;rec-number&gt;6&lt;/rec-number&gt;&lt;foreign-keys&gt;&lt;key app="EN" db-id="2s0zpwfdupzz5vea22r52zesva2xtrt0w5vv" timestamp="1456380150"&gt;6&lt;/key&gt;&lt;/foreign-keys&gt;&lt;ref-type name="Journal Article"&gt;17&lt;/ref-type&gt;&lt;contributors&gt;&lt;authors&gt;&lt;author&gt;Belardinelli, R&lt;/author&gt;&lt;author&gt;Lacalaprice, F&lt;/author&gt;&lt;author&gt;Carle, F&lt;/author&gt;&lt;author&gt;Minnucci, A&lt;/author&gt;&lt;author&gt;Cianci, G&lt;/author&gt;&lt;author&gt;Perna, G&lt;/author&gt;&lt;author&gt;D&amp;apos;Eusanio, G&lt;/author&gt;&lt;/authors&gt;&lt;/contributors&gt;&lt;titles&gt;&lt;title&gt;Exercise-induced myocardial ischaemia detected by cardiopulmonary exercise testing &lt;/title&gt;&lt;secondary-title&gt;European Heart Journal &lt;/secondary-title&gt;&lt;/titles&gt;&lt;periodical&gt;&lt;full-title&gt;European Heart Journal&lt;/full-title&gt;&lt;/periodical&gt;&lt;pages&gt;1304-1313&lt;/pages&gt;&lt;volume&gt;24&lt;/volume&gt;&lt;dates&gt;&lt;year&gt;2003&lt;/year&gt;&lt;/dates&gt;&lt;urls&gt;&lt;/urls&gt;&lt;/record&gt;&lt;/Cite&gt;&lt;/EndNote&gt;</w:instrText>
            </w:r>
            <w:r w:rsidRPr="00077A84">
              <w:rPr>
                <w:szCs w:val="22"/>
                <w:vertAlign w:val="superscript"/>
              </w:rPr>
              <w:fldChar w:fldCharType="separate"/>
            </w:r>
            <w:r>
              <w:rPr>
                <w:noProof/>
                <w:szCs w:val="22"/>
                <w:vertAlign w:val="superscript"/>
              </w:rPr>
              <w:t>[7]</w:t>
            </w:r>
            <w:r w:rsidRPr="00077A84">
              <w:rPr>
                <w:szCs w:val="22"/>
                <w:vertAlign w:val="superscript"/>
              </w:rPr>
              <w:fldChar w:fldCharType="end"/>
            </w:r>
          </w:p>
        </w:tc>
      </w:tr>
      <w:tr w:rsidR="00814B7A" w:rsidRPr="00077A84" w14:paraId="025AD2E5" w14:textId="77777777" w:rsidTr="00D52624">
        <w:tc>
          <w:tcPr>
            <w:tcW w:w="2515" w:type="dxa"/>
            <w:tcBorders>
              <w:right w:val="single" w:sz="4" w:space="0" w:color="auto"/>
            </w:tcBorders>
            <w:shd w:val="clear" w:color="auto" w:fill="auto"/>
          </w:tcPr>
          <w:p w14:paraId="134E0A14" w14:textId="77777777" w:rsidR="00814B7A" w:rsidRPr="00077A84" w:rsidRDefault="00814B7A" w:rsidP="00814B7A">
            <w:pPr>
              <w:pStyle w:val="Tabletext"/>
            </w:pPr>
            <w:r w:rsidRPr="00E52BC8">
              <w:t>Diagnostic</w:t>
            </w:r>
          </w:p>
        </w:tc>
        <w:tc>
          <w:tcPr>
            <w:tcW w:w="6930" w:type="dxa"/>
            <w:tcBorders>
              <w:top w:val="single" w:sz="4" w:space="0" w:color="auto"/>
              <w:left w:val="single" w:sz="4" w:space="0" w:color="auto"/>
              <w:bottom w:val="single" w:sz="4" w:space="0" w:color="auto"/>
            </w:tcBorders>
            <w:shd w:val="clear" w:color="auto" w:fill="auto"/>
          </w:tcPr>
          <w:p w14:paraId="33E564DA" w14:textId="77777777" w:rsidR="00814B7A" w:rsidRPr="00D26E77" w:rsidRDefault="00814B7A" w:rsidP="00814B7A">
            <w:pPr>
              <w:pStyle w:val="Tabletext"/>
              <w:rPr>
                <w:szCs w:val="22"/>
              </w:rPr>
            </w:pPr>
            <w:r w:rsidRPr="00077A84">
              <w:rPr>
                <w:szCs w:val="22"/>
              </w:rPr>
              <w:t>CPET can detect L to R shunting via PFO in patients with PPH.</w:t>
            </w:r>
            <w:r w:rsidRPr="00077A84">
              <w:rPr>
                <w:szCs w:val="22"/>
                <w:vertAlign w:val="superscript"/>
              </w:rPr>
              <w:fldChar w:fldCharType="begin"/>
            </w:r>
            <w:r>
              <w:rPr>
                <w:szCs w:val="22"/>
                <w:vertAlign w:val="superscript"/>
              </w:rPr>
              <w:instrText xml:space="preserve"> ADDIN EN.CITE &lt;EndNote&gt;&lt;Cite&gt;&lt;Author&gt;Sun&lt;/Author&gt;&lt;Year&gt;2002&lt;/Year&gt;&lt;RecNum&gt;7&lt;/RecNum&gt;&lt;DisplayText&gt;[8]&lt;/DisplayText&gt;&lt;record&gt;&lt;rec-number&gt;7&lt;/rec-number&gt;&lt;foreign-keys&gt;&lt;key app="EN" db-id="2s0zpwfdupzz5vea22r52zesva2xtrt0w5vv" timestamp="1456382358"&gt;7&lt;/key&gt;&lt;/foreign-keys&gt;&lt;ref-type name="Journal Article"&gt;17&lt;/ref-type&gt;&lt;contributors&gt;&lt;authors&gt;&lt;author&gt;Sun, X&lt;/author&gt;&lt;author&gt;Hansen, JE&lt;/author&gt;&lt;author&gt;Oudiz, RJ&lt;/author&gt;&lt;author&gt;Wasserman, K&lt;/author&gt;&lt;/authors&gt;&lt;/contributors&gt;&lt;titles&gt;&lt;title&gt;Gas Exchange Detection of Exercise-Induced Right-to-Left Shunt in Patients with Primary Pulmonary Hypertension&lt;/title&gt;&lt;secondary-title&gt;Circulation&lt;/secondary-title&gt;&lt;/titles&gt;&lt;periodical&gt;&lt;full-title&gt;Circulation&lt;/full-title&gt;&lt;/periodical&gt;&lt;pages&gt;54-60&lt;/pages&gt;&lt;volume&gt;105&lt;/volume&gt;&lt;dates&gt;&lt;year&gt;2002&lt;/year&gt;&lt;/dates&gt;&lt;urls&gt;&lt;/urls&gt;&lt;/record&gt;&lt;/Cite&gt;&lt;/EndNote&gt;</w:instrText>
            </w:r>
            <w:r w:rsidRPr="00077A84">
              <w:rPr>
                <w:szCs w:val="22"/>
                <w:vertAlign w:val="superscript"/>
              </w:rPr>
              <w:fldChar w:fldCharType="separate"/>
            </w:r>
            <w:r>
              <w:rPr>
                <w:noProof/>
                <w:szCs w:val="22"/>
                <w:vertAlign w:val="superscript"/>
              </w:rPr>
              <w:t>[8]</w:t>
            </w:r>
            <w:r w:rsidRPr="00077A84">
              <w:rPr>
                <w:szCs w:val="22"/>
                <w:vertAlign w:val="superscript"/>
              </w:rPr>
              <w:fldChar w:fldCharType="end"/>
            </w:r>
          </w:p>
        </w:tc>
      </w:tr>
      <w:tr w:rsidR="00814B7A" w:rsidRPr="00077A84" w14:paraId="1B7BE728" w14:textId="77777777" w:rsidTr="00D52624">
        <w:tc>
          <w:tcPr>
            <w:tcW w:w="2515" w:type="dxa"/>
            <w:tcBorders>
              <w:right w:val="single" w:sz="4" w:space="0" w:color="auto"/>
            </w:tcBorders>
            <w:shd w:val="clear" w:color="auto" w:fill="auto"/>
          </w:tcPr>
          <w:p w14:paraId="71594A8B" w14:textId="77777777" w:rsidR="00814B7A" w:rsidRPr="00077A84" w:rsidRDefault="00D52624" w:rsidP="00814B7A">
            <w:pPr>
              <w:pStyle w:val="Tabletext"/>
            </w:pPr>
            <w:r>
              <w:t>Evaluative</w:t>
            </w:r>
          </w:p>
        </w:tc>
        <w:tc>
          <w:tcPr>
            <w:tcW w:w="6930" w:type="dxa"/>
            <w:tcBorders>
              <w:top w:val="single" w:sz="4" w:space="0" w:color="auto"/>
              <w:left w:val="single" w:sz="4" w:space="0" w:color="auto"/>
              <w:bottom w:val="single" w:sz="4" w:space="0" w:color="auto"/>
            </w:tcBorders>
            <w:shd w:val="clear" w:color="auto" w:fill="auto"/>
          </w:tcPr>
          <w:p w14:paraId="098DAEE9" w14:textId="77777777" w:rsidR="00814B7A" w:rsidRPr="00077A84" w:rsidRDefault="00D52624" w:rsidP="00814B7A">
            <w:pPr>
              <w:pStyle w:val="Tabletext"/>
            </w:pPr>
            <w:r w:rsidRPr="00077A84">
              <w:rPr>
                <w:szCs w:val="22"/>
              </w:rPr>
              <w:t>CPET evaluates exercise capacity and response to therapy, for example in patients with chronic heart failure who are in consideration for transplantation.</w:t>
            </w:r>
          </w:p>
        </w:tc>
      </w:tr>
      <w:tr w:rsidR="00814B7A" w:rsidRPr="00077A84" w14:paraId="2C952BC9" w14:textId="77777777" w:rsidTr="00D52624">
        <w:tc>
          <w:tcPr>
            <w:tcW w:w="2515" w:type="dxa"/>
            <w:tcBorders>
              <w:right w:val="single" w:sz="4" w:space="0" w:color="auto"/>
            </w:tcBorders>
            <w:shd w:val="clear" w:color="auto" w:fill="auto"/>
          </w:tcPr>
          <w:p w14:paraId="7B5F9A15" w14:textId="77777777" w:rsidR="00814B7A" w:rsidRPr="00077A84" w:rsidRDefault="00D52624" w:rsidP="00814B7A">
            <w:pPr>
              <w:pStyle w:val="Tabletext"/>
            </w:pPr>
            <w:r>
              <w:t>Evaluative</w:t>
            </w:r>
          </w:p>
        </w:tc>
        <w:tc>
          <w:tcPr>
            <w:tcW w:w="6930" w:type="dxa"/>
            <w:tcBorders>
              <w:top w:val="single" w:sz="4" w:space="0" w:color="auto"/>
              <w:left w:val="single" w:sz="4" w:space="0" w:color="auto"/>
              <w:bottom w:val="single" w:sz="4" w:space="0" w:color="auto"/>
            </w:tcBorders>
            <w:shd w:val="clear" w:color="auto" w:fill="auto"/>
          </w:tcPr>
          <w:p w14:paraId="1DA70C72" w14:textId="77777777" w:rsidR="00814B7A" w:rsidRPr="00077A84" w:rsidRDefault="00D52624" w:rsidP="00814B7A">
            <w:pPr>
              <w:pStyle w:val="Tabletext"/>
              <w:rPr>
                <w:szCs w:val="22"/>
              </w:rPr>
            </w:pPr>
            <w:r w:rsidRPr="00077A84">
              <w:rPr>
                <w:szCs w:val="22"/>
              </w:rPr>
              <w:t xml:space="preserve">CPET is also used in assessing suitability for surgery, particularly pulmonary resection as exercise capacity is predictive of related perioperative morbidity and mortality. </w:t>
            </w:r>
            <w:r w:rsidRPr="00077A84">
              <w:rPr>
                <w:szCs w:val="22"/>
              </w:rPr>
              <w:fldChar w:fldCharType="begin"/>
            </w:r>
            <w:r w:rsidRPr="00077A84">
              <w:rPr>
                <w:szCs w:val="22"/>
              </w:rPr>
              <w:instrText xml:space="preserve"> ADDIN EN.CITE &lt;EndNote&gt;&lt;Cite&gt;&lt;Author&gt;Balady&lt;/Author&gt;&lt;Year&gt;2010&lt;/Year&gt;&lt;RecNum&gt;8&lt;/RecNum&gt;&lt;DisplayText&gt;[3]&lt;/DisplayText&gt;&lt;record&gt;&lt;rec-number&gt;8&lt;/rec-number&gt;&lt;foreign-keys&gt;&lt;key app="EN" db-id="2s0zpwfdupzz5vea22r52zesva2xtrt0w5vv" timestamp="1456609971"&gt;8&lt;/key&gt;&lt;/foreign-keys&gt;&lt;ref-type name="Journal Article"&gt;17&lt;/ref-type&gt;&lt;contributors&gt;&lt;authors&gt;&lt;author&gt;Balady, GJ&lt;/author&gt;&lt;author&gt;Arena, R&lt;/author&gt;&lt;author&gt;Siestema, K&lt;/author&gt;&lt;author&gt;Myers, J&lt;/author&gt;&lt;author&gt;Coke, L&lt;/author&gt;&lt;author&gt;Fletcher, GF&lt;/author&gt;&lt;author&gt;Forman, D&lt;/author&gt;&lt;author&gt;Franklin, B&lt;/author&gt;&lt;author&gt;Guazzi, M&lt;/author&gt;&lt;author&gt;Gulati, M&lt;/author&gt;&lt;author&gt;Keteyian, SJ&lt;/author&gt;&lt;author&gt;Lavie, CJ&lt;/author&gt;&lt;author&gt;Macko, R&lt;/author&gt;&lt;author&gt;Mancini, D&lt;/author&gt;&lt;author&gt;Milani, RV&lt;/author&gt;&lt;/authors&gt;&lt;/contributors&gt;&lt;titles&gt;&lt;title&gt;Clinician&amp;apos;s Guide to Cardiopulmonary Exercise Testing in Adults : A Scientific Statement from the American Heart Association &lt;/title&gt;&lt;secondary-title&gt;Circulation&lt;/secondary-title&gt;&lt;/titles&gt;&lt;periodical&gt;&lt;full-title&gt;Circulation&lt;/full-title&gt;&lt;/periodical&gt;&lt;pages&gt;191-225&lt;/pages&gt;&lt;volume&gt;122&lt;/volume&gt;&lt;dates&gt;&lt;year&gt;2010&lt;/year&gt;&lt;/dates&gt;&lt;urls&gt;&lt;/urls&gt;&lt;/record&gt;&lt;/Cite&gt;&lt;/EndNote&gt;</w:instrText>
            </w:r>
            <w:r w:rsidRPr="00077A84">
              <w:rPr>
                <w:szCs w:val="22"/>
              </w:rPr>
              <w:fldChar w:fldCharType="separate"/>
            </w:r>
            <w:r w:rsidRPr="00077A84">
              <w:rPr>
                <w:noProof/>
                <w:szCs w:val="22"/>
              </w:rPr>
              <w:t>[3]</w:t>
            </w:r>
            <w:r w:rsidRPr="00077A84">
              <w:rPr>
                <w:szCs w:val="22"/>
              </w:rPr>
              <w:fldChar w:fldCharType="end"/>
            </w:r>
          </w:p>
        </w:tc>
      </w:tr>
      <w:tr w:rsidR="00814B7A" w:rsidRPr="00077A84" w14:paraId="0141E6C9" w14:textId="77777777" w:rsidTr="00D52624">
        <w:tc>
          <w:tcPr>
            <w:tcW w:w="2515" w:type="dxa"/>
            <w:tcBorders>
              <w:right w:val="single" w:sz="4" w:space="0" w:color="auto"/>
            </w:tcBorders>
            <w:shd w:val="clear" w:color="auto" w:fill="auto"/>
          </w:tcPr>
          <w:p w14:paraId="71BD8499" w14:textId="77777777" w:rsidR="00814B7A" w:rsidRPr="00077A84" w:rsidRDefault="00D52624" w:rsidP="00814B7A">
            <w:pPr>
              <w:pStyle w:val="Tabletext"/>
            </w:pPr>
            <w:r>
              <w:t>Evaluative</w:t>
            </w:r>
          </w:p>
        </w:tc>
        <w:tc>
          <w:tcPr>
            <w:tcW w:w="6930" w:type="dxa"/>
            <w:tcBorders>
              <w:top w:val="single" w:sz="4" w:space="0" w:color="auto"/>
              <w:left w:val="single" w:sz="4" w:space="0" w:color="auto"/>
              <w:bottom w:val="single" w:sz="4" w:space="0" w:color="auto"/>
            </w:tcBorders>
            <w:shd w:val="clear" w:color="auto" w:fill="auto"/>
          </w:tcPr>
          <w:p w14:paraId="0E94E5D5" w14:textId="77777777" w:rsidR="00814B7A" w:rsidRPr="00077A84" w:rsidRDefault="00D52624" w:rsidP="00814B7A">
            <w:pPr>
              <w:pStyle w:val="Tabletext"/>
              <w:rPr>
                <w:szCs w:val="22"/>
              </w:rPr>
            </w:pPr>
            <w:r w:rsidRPr="006824D7">
              <w:t>Prescription of exercise for rehabilitation</w:t>
            </w:r>
          </w:p>
        </w:tc>
      </w:tr>
      <w:tr w:rsidR="00814B7A" w:rsidRPr="00077A84" w14:paraId="4D924C63" w14:textId="77777777" w:rsidTr="00D52624">
        <w:tc>
          <w:tcPr>
            <w:tcW w:w="2515" w:type="dxa"/>
            <w:tcBorders>
              <w:right w:val="single" w:sz="4" w:space="0" w:color="auto"/>
            </w:tcBorders>
            <w:shd w:val="clear" w:color="auto" w:fill="auto"/>
          </w:tcPr>
          <w:p w14:paraId="583F6EA8" w14:textId="77777777" w:rsidR="00814B7A" w:rsidRPr="00077A84" w:rsidRDefault="00D52624" w:rsidP="00814B7A">
            <w:pPr>
              <w:pStyle w:val="Tabletext"/>
            </w:pPr>
            <w:r>
              <w:t>Evaluative</w:t>
            </w:r>
          </w:p>
        </w:tc>
        <w:tc>
          <w:tcPr>
            <w:tcW w:w="6930" w:type="dxa"/>
            <w:tcBorders>
              <w:top w:val="single" w:sz="4" w:space="0" w:color="auto"/>
              <w:left w:val="single" w:sz="4" w:space="0" w:color="auto"/>
              <w:bottom w:val="single" w:sz="4" w:space="0" w:color="auto"/>
            </w:tcBorders>
            <w:shd w:val="clear" w:color="auto" w:fill="auto"/>
          </w:tcPr>
          <w:p w14:paraId="1485015F" w14:textId="77777777" w:rsidR="00814B7A" w:rsidRPr="00077A84" w:rsidRDefault="00D52624" w:rsidP="00814B7A">
            <w:pPr>
              <w:pStyle w:val="Tabletext"/>
              <w:rPr>
                <w:szCs w:val="22"/>
              </w:rPr>
            </w:pPr>
            <w:r w:rsidRPr="006824D7">
              <w:t>Assessment of impairment and disability</w:t>
            </w:r>
          </w:p>
        </w:tc>
      </w:tr>
      <w:tr w:rsidR="00814B7A" w:rsidRPr="00077A84" w14:paraId="5C52E2EB" w14:textId="77777777" w:rsidTr="00D52624">
        <w:tc>
          <w:tcPr>
            <w:tcW w:w="2515" w:type="dxa"/>
            <w:tcBorders>
              <w:right w:val="single" w:sz="4" w:space="0" w:color="auto"/>
            </w:tcBorders>
            <w:shd w:val="clear" w:color="auto" w:fill="auto"/>
          </w:tcPr>
          <w:p w14:paraId="0089589F" w14:textId="77777777" w:rsidR="00814B7A" w:rsidRPr="00077A84" w:rsidRDefault="00D52624" w:rsidP="00814B7A">
            <w:pPr>
              <w:pStyle w:val="Tabletext"/>
            </w:pPr>
            <w:r w:rsidRPr="00E52BC8">
              <w:t>Optimisation of therapy</w:t>
            </w:r>
          </w:p>
        </w:tc>
        <w:tc>
          <w:tcPr>
            <w:tcW w:w="6930" w:type="dxa"/>
            <w:tcBorders>
              <w:top w:val="single" w:sz="4" w:space="0" w:color="auto"/>
              <w:left w:val="single" w:sz="4" w:space="0" w:color="auto"/>
              <w:bottom w:val="single" w:sz="4" w:space="0" w:color="auto"/>
            </w:tcBorders>
            <w:shd w:val="clear" w:color="auto" w:fill="auto"/>
          </w:tcPr>
          <w:p w14:paraId="30197965" w14:textId="77777777" w:rsidR="00814B7A" w:rsidRPr="00077A84" w:rsidRDefault="00D52624" w:rsidP="00814B7A">
            <w:pPr>
              <w:pStyle w:val="Tabletext"/>
              <w:rPr>
                <w:szCs w:val="22"/>
              </w:rPr>
            </w:pPr>
            <w:r w:rsidRPr="00077A84">
              <w:rPr>
                <w:szCs w:val="22"/>
              </w:rPr>
              <w:t>Eg peak VO</w:t>
            </w:r>
            <w:r w:rsidRPr="000622EB">
              <w:rPr>
                <w:szCs w:val="22"/>
                <w:vertAlign w:val="subscript"/>
              </w:rPr>
              <w:t>2</w:t>
            </w:r>
            <w:r w:rsidRPr="00077A84">
              <w:rPr>
                <w:szCs w:val="22"/>
              </w:rPr>
              <w:t xml:space="preserve"> can be used to optimise settings on rate-responsive and biventricular pacemakers</w:t>
            </w:r>
          </w:p>
        </w:tc>
      </w:tr>
      <w:tr w:rsidR="00814B7A" w:rsidRPr="00077A84" w14:paraId="7FAF0A04" w14:textId="77777777" w:rsidTr="00D52624">
        <w:tc>
          <w:tcPr>
            <w:tcW w:w="2515" w:type="dxa"/>
            <w:tcBorders>
              <w:right w:val="single" w:sz="4" w:space="0" w:color="auto"/>
            </w:tcBorders>
            <w:shd w:val="clear" w:color="auto" w:fill="auto"/>
          </w:tcPr>
          <w:p w14:paraId="72D844CC" w14:textId="77777777" w:rsidR="00814B7A" w:rsidRPr="00077A84" w:rsidRDefault="00D52624" w:rsidP="00814B7A">
            <w:pPr>
              <w:pStyle w:val="Tabletext"/>
            </w:pPr>
            <w:r>
              <w:t>Prognostic</w:t>
            </w:r>
          </w:p>
        </w:tc>
        <w:tc>
          <w:tcPr>
            <w:tcW w:w="6930" w:type="dxa"/>
            <w:tcBorders>
              <w:top w:val="single" w:sz="4" w:space="0" w:color="auto"/>
              <w:left w:val="single" w:sz="4" w:space="0" w:color="auto"/>
              <w:bottom w:val="single" w:sz="4" w:space="0" w:color="auto"/>
            </w:tcBorders>
            <w:shd w:val="clear" w:color="auto" w:fill="auto"/>
          </w:tcPr>
          <w:p w14:paraId="6DD42C29" w14:textId="77777777" w:rsidR="00814B7A" w:rsidRPr="00077A84" w:rsidRDefault="00D52624" w:rsidP="00814B7A">
            <w:pPr>
              <w:pStyle w:val="Tabletext"/>
              <w:rPr>
                <w:szCs w:val="22"/>
              </w:rPr>
            </w:pPr>
            <w:r w:rsidRPr="00077A84">
              <w:t>eg chronic lung disease, pulmonary hypertension, congenital heart disease, exercise-induced myocardial ischaemia</w:t>
            </w:r>
          </w:p>
        </w:tc>
      </w:tr>
    </w:tbl>
    <w:p w14:paraId="792035A8" w14:textId="77777777" w:rsidR="00BE2BF4" w:rsidRPr="00BE2BF4" w:rsidRDefault="00BE2BF4" w:rsidP="005B65C7">
      <w:pPr>
        <w:jc w:val="both"/>
      </w:pPr>
      <w:r w:rsidRPr="00BE2BF4">
        <w:br w:type="page"/>
      </w:r>
    </w:p>
    <w:p w14:paraId="63B7781F" w14:textId="77777777" w:rsidR="005B65C7" w:rsidRPr="00BF5208" w:rsidRDefault="00B51DD8" w:rsidP="00B51DD8">
      <w:pPr>
        <w:pStyle w:val="AttHeading2"/>
      </w:pPr>
      <w:r w:rsidRPr="00BE2BF4">
        <w:lastRenderedPageBreak/>
        <w:t>Diagnostic</w:t>
      </w:r>
      <w:r w:rsidRPr="00BF5208">
        <w:t xml:space="preserve"> Accuracy </w:t>
      </w:r>
    </w:p>
    <w:p w14:paraId="1088347A" w14:textId="77777777" w:rsidR="005B65C7" w:rsidRPr="006641EA" w:rsidRDefault="005B65C7" w:rsidP="00733DE0">
      <w:pPr>
        <w:pStyle w:val="NormalF"/>
        <w:rPr>
          <w:rStyle w:val="StyleTimesNewRoman"/>
        </w:rPr>
      </w:pPr>
      <w:r w:rsidRPr="006641EA">
        <w:rPr>
          <w:rStyle w:val="StyleTimesNewRoman"/>
        </w:rPr>
        <w:t>CPET is commonly used as a diagnostic tool, particularly in the assessment of exertional dyspnoea. Resting investigations such as pulmonary function tests and echocardiograms may not provide sufficient information to form a diagnosis. This may occur where exertional symptoms correlate poorly with resting measurements.</w:t>
      </w:r>
      <w:r w:rsidRPr="00376289">
        <w:rPr>
          <w:vertAlign w:val="superscript"/>
        </w:rPr>
        <w:fldChar w:fldCharType="begin"/>
      </w:r>
      <w:r>
        <w:rPr>
          <w:vertAlign w:val="superscript"/>
        </w:rPr>
        <w:instrText xml:space="preserve"> ADDIN EN.CITE &lt;EndNote&gt;&lt;Cite&gt;&lt;Author&gt;Datta&lt;/Author&gt;&lt;Year&gt;2015&lt;/Year&gt;&lt;RecNum&gt;37&lt;/RecNum&gt;&lt;DisplayText&gt;[9]&lt;/DisplayText&gt;&lt;record&gt;&lt;rec-number&gt;37&lt;/rec-number&gt;&lt;foreign-keys&gt;&lt;key app="EN" db-id="2s0zpwfdupzz5vea22r52zesva2xtrt0w5vv" timestamp="1458046559"&gt;37&lt;/key&gt;&lt;/foreign-keys&gt;&lt;ref-type name="Journal Article"&gt;17&lt;/ref-type&gt;&lt;contributors&gt;&lt;authors&gt;&lt;author&gt;Datta, D&amp;#xD;Normandin, E&lt;/author&gt;&lt;author&gt;ZuWallack, R&lt;/author&gt;&lt;/authors&gt;&lt;/contributors&gt;&lt;titles&gt;&lt;title&gt;Cardiopulmonary exercise testing int he assessment of exertional dyspnea&lt;/title&gt;&lt;secondary-title&gt;Ann Thoracic Med&lt;/secondary-title&gt;&lt;/titles&gt;&lt;periodical&gt;&lt;full-title&gt;Ann Thoracic Med&lt;/full-title&gt;&lt;/periodical&gt;&lt;pages&gt;77-86&lt;/pages&gt;&lt;volume&gt;10&lt;/volume&gt;&lt;number&gt;2&lt;/number&gt;&lt;dates&gt;&lt;year&gt;2015&lt;/year&gt;&lt;/dates&gt;&lt;urls&gt;&lt;/urls&gt;&lt;/record&gt;&lt;/Cite&gt;&lt;/EndNote&gt;</w:instrText>
      </w:r>
      <w:r w:rsidRPr="00376289">
        <w:rPr>
          <w:vertAlign w:val="superscript"/>
        </w:rPr>
        <w:fldChar w:fldCharType="separate"/>
      </w:r>
      <w:r>
        <w:rPr>
          <w:noProof/>
          <w:vertAlign w:val="superscript"/>
        </w:rPr>
        <w:t>[9]</w:t>
      </w:r>
      <w:r w:rsidRPr="00376289">
        <w:rPr>
          <w:vertAlign w:val="superscript"/>
        </w:rPr>
        <w:fldChar w:fldCharType="end"/>
      </w:r>
      <w:r w:rsidRPr="006641EA">
        <w:rPr>
          <w:rStyle w:val="StyleTimesNewRoman"/>
        </w:rPr>
        <w:t xml:space="preserve"> CPET enables a more accurate estimate of functional capacity, and provides more useful data that encompasses multiple organ systems.</w:t>
      </w:r>
      <w:r w:rsidRPr="00376289">
        <w:rPr>
          <w:vertAlign w:val="superscript"/>
        </w:rPr>
        <w:fldChar w:fldCharType="begin"/>
      </w:r>
      <w:r>
        <w:rPr>
          <w:vertAlign w:val="superscript"/>
        </w:rPr>
        <w:instrText xml:space="preserve"> ADDIN EN.CITE &lt;EndNote&gt;&lt;Cite&gt;&lt;Author&gt;Datta&lt;/Author&gt;&lt;Year&gt;2015&lt;/Year&gt;&lt;RecNum&gt;37&lt;/RecNum&gt;&lt;DisplayText&gt;[9]&lt;/DisplayText&gt;&lt;record&gt;&lt;rec-number&gt;37&lt;/rec-number&gt;&lt;foreign-keys&gt;&lt;key app="EN" db-id="2s0zpwfdupzz5vea22r52zesva2xtrt0w5vv" timestamp="1458046559"&gt;37&lt;/key&gt;&lt;/foreign-keys&gt;&lt;ref-type name="Journal Article"&gt;17&lt;/ref-type&gt;&lt;contributors&gt;&lt;authors&gt;&lt;author&gt;Datta, D&amp;#xD;Normandin, E&lt;/author&gt;&lt;author&gt;ZuWallack, R&lt;/author&gt;&lt;/authors&gt;&lt;/contributors&gt;&lt;titles&gt;&lt;title&gt;Cardiopulmonary exercise testing int he assessment of exertional dyspnea&lt;/title&gt;&lt;secondary-title&gt;Ann Thoracic Med&lt;/secondary-title&gt;&lt;/titles&gt;&lt;periodical&gt;&lt;full-title&gt;Ann Thoracic Med&lt;/full-title&gt;&lt;/periodical&gt;&lt;pages&gt;77-86&lt;/pages&gt;&lt;volume&gt;10&lt;/volume&gt;&lt;number&gt;2&lt;/number&gt;&lt;dates&gt;&lt;year&gt;2015&lt;/year&gt;&lt;/dates&gt;&lt;urls&gt;&lt;/urls&gt;&lt;/record&gt;&lt;/Cite&gt;&lt;/EndNote&gt;</w:instrText>
      </w:r>
      <w:r w:rsidRPr="00376289">
        <w:rPr>
          <w:vertAlign w:val="superscript"/>
        </w:rPr>
        <w:fldChar w:fldCharType="separate"/>
      </w:r>
      <w:r>
        <w:rPr>
          <w:noProof/>
          <w:vertAlign w:val="superscript"/>
        </w:rPr>
        <w:t>[9]</w:t>
      </w:r>
      <w:r w:rsidRPr="00376289">
        <w:rPr>
          <w:vertAlign w:val="superscript"/>
        </w:rPr>
        <w:fldChar w:fldCharType="end"/>
      </w:r>
      <w:r w:rsidRPr="006641EA">
        <w:rPr>
          <w:rStyle w:val="StyleTimesNewRoman"/>
        </w:rPr>
        <w:t xml:space="preserve"> Derangements in physiologic parameters during exertion can explain exercise limitation and assist in diagnosis by forming patterns in ventilatory responses that are consistent with particular disease processes. Advantages of CPET include the ability to obtain direct, objective measures of ventilatory capacity that are reproducible.</w:t>
      </w:r>
      <w:r w:rsidRPr="001318E0">
        <w:rPr>
          <w:vertAlign w:val="superscript"/>
        </w:rPr>
        <w:fldChar w:fldCharType="begin"/>
      </w:r>
      <w:r w:rsidRPr="001318E0">
        <w:rPr>
          <w:vertAlign w:val="superscript"/>
        </w:rPr>
        <w:instrText xml:space="preserve"> ADDIN EN.CITE &lt;EndNote&gt;&lt;Cite&gt;&lt;Author&gt;Barron&lt;/Author&gt;&lt;Year&gt;2014&lt;/Year&gt;&lt;RecNum&gt;34&lt;/RecNum&gt;&lt;DisplayText&gt;[10]&lt;/DisplayText&gt;&lt;record&gt;&lt;rec-number&gt;34&lt;/rec-number&gt;&lt;foreign-keys&gt;&lt;key app="EN" db-id="2s0zpwfdupzz5vea22r52zesva2xtrt0w5vv" timestamp="1458031588"&gt;34&lt;/key&gt;&lt;/foreign-keys&gt;&lt;ref-type name="Journal Article"&gt;17&lt;/ref-type&gt;&lt;contributors&gt;&lt;authors&gt;&lt;author&gt;Barron, A&lt;/author&gt;&lt;author&gt;Dhutia, N&lt;/author&gt;&lt;author&gt;Mayet, J&lt;/author&gt;&lt;author&gt;Hughes, AD&lt;/author&gt;&lt;author&gt;Francis, DP&lt;/author&gt;&lt;author&gt;Wensel, R&lt;/author&gt;&lt;/authors&gt;&lt;/contributors&gt;&lt;titles&gt;&lt;title&gt;Test-retest repeatability of cardiopulmonary exercise test variables in patients with cardiac or respiratory disease&lt;/title&gt;&lt;secondary-title&gt;European Journal of Preventative Cardiology&lt;/secondary-title&gt;&lt;/titles&gt;&lt;periodical&gt;&lt;full-title&gt;European Journal of Preventative Cardiology&lt;/full-title&gt;&lt;/periodical&gt;&lt;pages&gt;445-53&lt;/pages&gt;&lt;volume&gt;21&lt;/volume&gt;&lt;number&gt;4&lt;/number&gt;&lt;dates&gt;&lt;year&gt;2014&lt;/year&gt;&lt;/dates&gt;&lt;urls&gt;&lt;/urls&gt;&lt;/record&gt;&lt;/Cite&gt;&lt;/EndNote&gt;</w:instrText>
      </w:r>
      <w:r w:rsidRPr="001318E0">
        <w:rPr>
          <w:vertAlign w:val="superscript"/>
        </w:rPr>
        <w:fldChar w:fldCharType="separate"/>
      </w:r>
      <w:r w:rsidRPr="001318E0">
        <w:rPr>
          <w:noProof/>
          <w:vertAlign w:val="superscript"/>
        </w:rPr>
        <w:t>[10]</w:t>
      </w:r>
      <w:r w:rsidRPr="001318E0">
        <w:rPr>
          <w:vertAlign w:val="superscript"/>
        </w:rPr>
        <w:fldChar w:fldCharType="end"/>
      </w:r>
      <w:r w:rsidRPr="006641EA">
        <w:rPr>
          <w:rStyle w:val="StyleTimesNewRoman"/>
        </w:rPr>
        <w:t xml:space="preserve"> It enables quantification of work capacity, which in turn improves its diagnostic accuracy.</w:t>
      </w:r>
      <w:r w:rsidRPr="001318E0">
        <w:rPr>
          <w:vertAlign w:val="superscript"/>
        </w:rPr>
        <w:fldChar w:fldCharType="begin"/>
      </w:r>
      <w:r w:rsidRPr="001318E0">
        <w:rPr>
          <w:vertAlign w:val="superscript"/>
        </w:rPr>
        <w:instrText xml:space="preserve"> ADDIN EN.CITE &lt;EndNote&gt;&lt;Cite&gt;&lt;Author&gt;ATS/ACCP&lt;/Author&gt;&lt;Year&gt;2003&lt;/Year&gt;&lt;RecNum&gt;1&lt;/RecNum&gt;&lt;DisplayText&gt;[1]&lt;/DisplayText&gt;&lt;record&gt;&lt;rec-number&gt;1&lt;/rec-number&gt;&lt;foreign-keys&gt;&lt;key app="EN" db-id="2s0zpwfdupzz5vea22r52zesva2xtrt0w5vv" timestamp="1456047133"&gt;1&lt;/key&gt;&lt;/foreign-keys&gt;&lt;ref-type name="Journal Article"&gt;17&lt;/ref-type&gt;&lt;contributors&gt;&lt;authors&gt;&lt;author&gt;ATS/ACCP &lt;/author&gt;&lt;/authors&gt;&lt;/contributors&gt;&lt;titles&gt;&lt;title&gt;ATS/ACCP Statement on Cardiopulmonary Exercise Testing&lt;/title&gt;&lt;secondary-title&gt;American Journal of Respiratory and and Critical Care Medicine&lt;/secondary-title&gt;&lt;/titles&gt;&lt;periodical&gt;&lt;full-title&gt;American Journal of Respiratory and and Critical Care Medicine&lt;/full-title&gt;&lt;/periodical&gt;&lt;pages&gt;211-277&lt;/pages&gt;&lt;volume&gt;167&lt;/volume&gt;&lt;dates&gt;&lt;year&gt;2003&lt;/year&gt;&lt;/dates&gt;&lt;urls&gt;&lt;/urls&gt;&lt;/record&gt;&lt;/Cite&gt;&lt;/EndNote&gt;</w:instrText>
      </w:r>
      <w:r w:rsidRPr="001318E0">
        <w:rPr>
          <w:vertAlign w:val="superscript"/>
        </w:rPr>
        <w:fldChar w:fldCharType="separate"/>
      </w:r>
      <w:r w:rsidRPr="001318E0">
        <w:rPr>
          <w:noProof/>
          <w:vertAlign w:val="superscript"/>
        </w:rPr>
        <w:t>[1]</w:t>
      </w:r>
      <w:r w:rsidRPr="001318E0">
        <w:rPr>
          <w:vertAlign w:val="superscript"/>
        </w:rPr>
        <w:fldChar w:fldCharType="end"/>
      </w:r>
      <w:r w:rsidRPr="006641EA">
        <w:rPr>
          <w:rStyle w:val="StyleTimesNewRoman"/>
        </w:rPr>
        <w:t xml:space="preserve"> It is also less susceptible to factors which may contribute to an inaccurate assessment of capacity, such as patient effort.</w:t>
      </w:r>
    </w:p>
    <w:p w14:paraId="5451DF6C" w14:textId="77777777" w:rsidR="004B2BA0" w:rsidRDefault="004B2BA0" w:rsidP="0099709F">
      <w:pPr>
        <w:pStyle w:val="Heading3F"/>
      </w:pPr>
      <w:r>
        <w:t>U</w:t>
      </w:r>
      <w:r w:rsidRPr="004B2BA0">
        <w:t>tility of CPET</w:t>
      </w:r>
    </w:p>
    <w:p w14:paraId="63F5076D" w14:textId="77777777" w:rsidR="006641EA" w:rsidRPr="006641EA" w:rsidRDefault="005B65C7" w:rsidP="00733DE0">
      <w:pPr>
        <w:pStyle w:val="NormalF"/>
        <w:rPr>
          <w:rStyle w:val="StyleTimesNewRoman"/>
        </w:rPr>
      </w:pPr>
      <w:r w:rsidRPr="006641EA">
        <w:rPr>
          <w:rStyle w:val="StyleTimesNewRoman"/>
        </w:rPr>
        <w:t>The utility of CPET has been demonstrated in a number of conditions, a few of which are summarized below</w:t>
      </w:r>
      <w:r w:rsidR="006641EA" w:rsidRPr="006641EA">
        <w:rPr>
          <w:rStyle w:val="StyleTimesNewRoman"/>
        </w:rPr>
        <w:t>.</w:t>
      </w:r>
    </w:p>
    <w:p w14:paraId="4A2ACE98" w14:textId="77777777" w:rsidR="005B65C7" w:rsidRPr="004B2BA0" w:rsidRDefault="005B65C7" w:rsidP="0099709F">
      <w:pPr>
        <w:pStyle w:val="Heading4F"/>
      </w:pPr>
      <w:r w:rsidRPr="004B2BA0">
        <w:t xml:space="preserve">Heart Failure </w:t>
      </w:r>
    </w:p>
    <w:p w14:paraId="67446992" w14:textId="77777777" w:rsidR="005B65C7" w:rsidRDefault="005B65C7" w:rsidP="00733DE0">
      <w:pPr>
        <w:pStyle w:val="NormalF"/>
        <w:rPr>
          <w:vertAlign w:val="superscript"/>
        </w:rPr>
      </w:pPr>
      <w:r w:rsidRPr="006641EA">
        <w:rPr>
          <w:rStyle w:val="StyleTimesNewRoman"/>
        </w:rPr>
        <w:t>Reduction in exercise capacity, which is a cardinal feature of heart failure, may be objectively assessed by CPET. Numerous studies have shown peak VO</w:t>
      </w:r>
      <w:r w:rsidRPr="00077A84">
        <w:rPr>
          <w:vertAlign w:val="subscript"/>
        </w:rPr>
        <w:t>2</w:t>
      </w:r>
      <w:r w:rsidRPr="006641EA">
        <w:rPr>
          <w:rStyle w:val="StyleTimesNewRoman"/>
        </w:rPr>
        <w:t xml:space="preserve"> to predict prognosis in patients with heart failure, with strong correlations between maximal cardiac output, peak VO</w:t>
      </w:r>
      <w:r w:rsidRPr="00077A84">
        <w:rPr>
          <w:vertAlign w:val="subscript"/>
        </w:rPr>
        <w:t>2</w:t>
      </w:r>
      <w:r w:rsidRPr="006641EA">
        <w:rPr>
          <w:rStyle w:val="StyleTimesNewRoman"/>
        </w:rPr>
        <w:t xml:space="preserve"> and mortality risk.</w:t>
      </w:r>
      <w:r w:rsidRPr="00077A84">
        <w:rPr>
          <w:vertAlign w:val="superscript"/>
        </w:rPr>
        <w:fldChar w:fldCharType="begin"/>
      </w:r>
      <w:r>
        <w:rPr>
          <w:vertAlign w:val="superscript"/>
        </w:rPr>
        <w:instrText xml:space="preserve"> ADDIN EN.CITE &lt;EndNote&gt;&lt;Cite&gt;&lt;Author&gt;Balady&lt;/Author&gt;&lt;Year&gt;2010&lt;/Year&gt;&lt;RecNum&gt;8&lt;/RecNum&gt;&lt;DisplayText&gt;[3, 6]&lt;/DisplayText&gt;&lt;record&gt;&lt;rec-number&gt;8&lt;/rec-number&gt;&lt;foreign-keys&gt;&lt;key app="EN" db-id="2s0zpwfdupzz5vea22r52zesva2xtrt0w5vv" timestamp="1456609971"&gt;8&lt;/key&gt;&lt;/foreign-keys&gt;&lt;ref-type name="Journal Article"&gt;17&lt;/ref-type&gt;&lt;contributors&gt;&lt;authors&gt;&lt;author&gt;Balady, GJ&lt;/author&gt;&lt;author&gt;Arena, R&lt;/author&gt;&lt;author&gt;Siestema, K&lt;/author&gt;&lt;author&gt;Myers, J&lt;/author&gt;&lt;author&gt;Coke, L&lt;/author&gt;&lt;author&gt;Fletcher, GF&lt;/author&gt;&lt;author&gt;Forman, D&lt;/author&gt;&lt;author&gt;Franklin, B&lt;/author&gt;&lt;author&gt;Guazzi, M&lt;/author&gt;&lt;author&gt;Gulati, M&lt;/author&gt;&lt;author&gt;Keteyian, SJ&lt;/author&gt;&lt;author&gt;Lavie, CJ&lt;/author&gt;&lt;author&gt;Macko, R&lt;/author&gt;&lt;author&gt;Mancini, D&lt;/author&gt;&lt;author&gt;Milani, RV&lt;/author&gt;&lt;/authors&gt;&lt;/contributors&gt;&lt;titles&gt;&lt;title&gt;Clinician&amp;apos;s Guide to Cardiopulmonary Exercise Testing in Adults : A Scientific Statement from the American Heart Association &lt;/title&gt;&lt;secondary-title&gt;Circulation&lt;/secondary-title&gt;&lt;/titles&gt;&lt;periodical&gt;&lt;full-title&gt;Circulation&lt;/full-title&gt;&lt;/periodical&gt;&lt;pages&gt;191-225&lt;/pages&gt;&lt;volume&gt;122&lt;/volume&gt;&lt;dates&gt;&lt;year&gt;2010&lt;/year&gt;&lt;/dates&gt;&lt;urls&gt;&lt;/urls&gt;&lt;/record&gt;&lt;/Cite&gt;&lt;Cite&gt;&lt;Author&gt;Arena&lt;/Author&gt;&lt;Year&gt;2011&lt;/Year&gt;&lt;RecNum&gt;9&lt;/RecNum&gt;&lt;record&gt;&lt;rec-number&gt;9&lt;/rec-number&gt;&lt;foreign-keys&gt;&lt;key app="EN" db-id="2s0zpwfdupzz5vea22r52zesva2xtrt0w5vv" timestamp="1456610214"&gt;9&lt;/key&gt;&lt;/foreign-keys&gt;&lt;ref-type name="Journal Article"&gt;17&lt;/ref-type&gt;&lt;contributors&gt;&lt;authors&gt;&lt;author&gt;Arena, R&lt;/author&gt;&lt;author&gt;Siestema, K&lt;/author&gt;&lt;/authors&gt;&lt;/contributors&gt;&lt;titles&gt;&lt;title&gt;Cardiopulmonary Exercise Testing in the Clinical Evaluation of Patients with Heart and Lung Disease&lt;/title&gt;&lt;secondary-title&gt;Circulation&lt;/secondary-title&gt;&lt;/titles&gt;&lt;periodical&gt;&lt;full-title&gt;Circulation&lt;/full-title&gt;&lt;/periodical&gt;&lt;pages&gt;668-680&lt;/pages&gt;&lt;volume&gt;123&lt;/volume&gt;&lt;dates&gt;&lt;year&gt;2011&lt;/year&gt;&lt;/dates&gt;&lt;urls&gt;&lt;/urls&gt;&lt;/record&gt;&lt;/Cite&gt;&lt;/EndNote&gt;</w:instrText>
      </w:r>
      <w:r w:rsidRPr="00077A84">
        <w:rPr>
          <w:vertAlign w:val="superscript"/>
        </w:rPr>
        <w:fldChar w:fldCharType="separate"/>
      </w:r>
      <w:r>
        <w:rPr>
          <w:noProof/>
          <w:vertAlign w:val="superscript"/>
        </w:rPr>
        <w:t>[3, 6]</w:t>
      </w:r>
      <w:r w:rsidRPr="00077A84">
        <w:rPr>
          <w:vertAlign w:val="superscript"/>
        </w:rPr>
        <w:fldChar w:fldCharType="end"/>
      </w:r>
      <w:r w:rsidRPr="006641EA">
        <w:rPr>
          <w:rStyle w:val="StyleTimesNewRoman"/>
        </w:rPr>
        <w:t xml:space="preserve"> Exercise testing reveals inefficiencies in gas exchange, reflected in a steep VE/VCO</w:t>
      </w:r>
      <w:r w:rsidRPr="00077A84">
        <w:rPr>
          <w:vertAlign w:val="subscript"/>
        </w:rPr>
        <w:t>2</w:t>
      </w:r>
      <w:r w:rsidRPr="006641EA">
        <w:rPr>
          <w:rStyle w:val="StyleTimesNewRoman"/>
        </w:rPr>
        <w:t xml:space="preserve"> slope during incremental exercise, decreased partial pressure of end tidal CO</w:t>
      </w:r>
      <w:r w:rsidRPr="00077A84">
        <w:rPr>
          <w:vertAlign w:val="subscript"/>
        </w:rPr>
        <w:t>2</w:t>
      </w:r>
      <w:r w:rsidRPr="006641EA">
        <w:rPr>
          <w:rStyle w:val="StyleTimesNewRoman"/>
        </w:rPr>
        <w:t xml:space="preserve"> (PETCO</w:t>
      </w:r>
      <w:r w:rsidRPr="00077A84">
        <w:rPr>
          <w:vertAlign w:val="subscript"/>
        </w:rPr>
        <w:t>2</w:t>
      </w:r>
      <w:r w:rsidRPr="006641EA">
        <w:rPr>
          <w:rStyle w:val="StyleTimesNewRoman"/>
        </w:rPr>
        <w:t xml:space="preserve">) and elevation of the ratio of ventilatory dead space to tidal volume. </w:t>
      </w:r>
      <w:r w:rsidRPr="00077A84">
        <w:rPr>
          <w:vertAlign w:val="superscript"/>
        </w:rPr>
        <w:fldChar w:fldCharType="begin"/>
      </w:r>
      <w:r>
        <w:rPr>
          <w:vertAlign w:val="superscript"/>
        </w:rPr>
        <w:instrText xml:space="preserve"> ADDIN EN.CITE &lt;EndNote&gt;&lt;Cite&gt;&lt;Author&gt;Arena&lt;/Author&gt;&lt;Year&gt;2011&lt;/Year&gt;&lt;RecNum&gt;9&lt;/RecNum&gt;&lt;DisplayText&gt;[6]&lt;/DisplayText&gt;&lt;record&gt;&lt;rec-number&gt;9&lt;/rec-number&gt;&lt;foreign-keys&gt;&lt;key app="EN" db-id="2s0zpwfdupzz5vea22r52zesva2xtrt0w5vv" timestamp="1456610214"&gt;9&lt;/key&gt;&lt;/foreign-keys&gt;&lt;ref-type name="Journal Article"&gt;17&lt;/ref-type&gt;&lt;contributors&gt;&lt;authors&gt;&lt;author&gt;Arena, R&lt;/author&gt;&lt;author&gt;Siestema, K&lt;/author&gt;&lt;/authors&gt;&lt;/contributors&gt;&lt;titles&gt;&lt;title&gt;Cardiopulmonary Exercise Testing in the Clinical Evaluation of Patients with Heart and Lung Disease&lt;/title&gt;&lt;secondary-title&gt;Circulation&lt;/secondary-title&gt;&lt;/titles&gt;&lt;periodical&gt;&lt;full-title&gt;Circulation&lt;/full-title&gt;&lt;/periodical&gt;&lt;pages&gt;668-680&lt;/pages&gt;&lt;volume&gt;123&lt;/volume&gt;&lt;dates&gt;&lt;year&gt;2011&lt;/year&gt;&lt;/dates&gt;&lt;urls&gt;&lt;/urls&gt;&lt;/record&gt;&lt;/Cite&gt;&lt;/EndNote&gt;</w:instrText>
      </w:r>
      <w:r w:rsidRPr="00077A84">
        <w:rPr>
          <w:vertAlign w:val="superscript"/>
        </w:rPr>
        <w:fldChar w:fldCharType="separate"/>
      </w:r>
      <w:r>
        <w:rPr>
          <w:noProof/>
          <w:vertAlign w:val="superscript"/>
        </w:rPr>
        <w:t>[6]</w:t>
      </w:r>
      <w:r w:rsidRPr="00077A84">
        <w:rPr>
          <w:vertAlign w:val="superscript"/>
        </w:rPr>
        <w:fldChar w:fldCharType="end"/>
      </w:r>
      <w:r w:rsidRPr="006641EA">
        <w:rPr>
          <w:rStyle w:val="StyleTimesNewRoman"/>
        </w:rPr>
        <w:t xml:space="preserve"> Strong correlations have also been found between reduction in peak VO</w:t>
      </w:r>
      <w:r w:rsidRPr="00077A84">
        <w:rPr>
          <w:vertAlign w:val="subscript"/>
        </w:rPr>
        <w:t>2</w:t>
      </w:r>
      <w:r w:rsidRPr="006641EA">
        <w:rPr>
          <w:rStyle w:val="StyleTimesNewRoman"/>
        </w:rPr>
        <w:t xml:space="preserve"> and reduction in muscle mass and inspiratory muscle weakness (seen in heart failure).</w:t>
      </w:r>
      <w:r w:rsidRPr="00077A84">
        <w:rPr>
          <w:vertAlign w:val="superscript"/>
        </w:rPr>
        <w:fldChar w:fldCharType="begin"/>
      </w:r>
      <w:r>
        <w:rPr>
          <w:vertAlign w:val="superscript"/>
        </w:rPr>
        <w:instrText xml:space="preserve"> ADDIN EN.CITE &lt;EndNote&gt;&lt;Cite&gt;&lt;Author&gt;Chua&lt;/Author&gt;&lt;Year&gt;1995&lt;/Year&gt;&lt;RecNum&gt;14&lt;/RecNum&gt;&lt;DisplayText&gt;[11, 12]&lt;/DisplayText&gt;&lt;record&gt;&lt;rec-number&gt;14&lt;/rec-number&gt;&lt;foreign-keys&gt;&lt;key app="EN" db-id="2s0zpwfdupzz5vea22r52zesva2xtrt0w5vv" timestamp="1456727183"&gt;14&lt;/key&gt;&lt;/foreign-keys&gt;&lt;ref-type name="Journal Article"&gt;17&lt;/ref-type&gt;&lt;contributors&gt;&lt;authors&gt;&lt;author&gt;Chua, TP&lt;/author&gt;&lt;author&gt;Anker, SD&lt;/author&gt;&lt;author&gt;Harrington, D&lt;/author&gt;&lt;author&gt;Coats, AJ&lt;/author&gt;&lt;/authors&gt;&lt;/contributors&gt;&lt;titles&gt;&lt;title&gt;Inspiratory muscle strength is a determinant of maximum oxygen consumption in chronic heart failure&lt;/title&gt;&lt;secondary-title&gt;Br Heart J&lt;/secondary-title&gt;&lt;/titles&gt;&lt;periodical&gt;&lt;full-title&gt;Br Heart J&lt;/full-title&gt;&lt;/periodical&gt;&lt;pages&gt;381-5&lt;/pages&gt;&lt;volume&gt;74&lt;/volume&gt;&lt;number&gt;4&lt;/number&gt;&lt;dates&gt;&lt;year&gt;1995&lt;/year&gt;&lt;/dates&gt;&lt;urls&gt;&lt;/urls&gt;&lt;/record&gt;&lt;/Cite&gt;&lt;Cite&gt;&lt;Author&gt;Papazachou&lt;/Author&gt;&lt;Year&gt;2007&lt;/Year&gt;&lt;RecNum&gt;15&lt;/RecNum&gt;&lt;record&gt;&lt;rec-number&gt;15&lt;/rec-number&gt;&lt;foreign-keys&gt;&lt;key app="EN" db-id="2s0zpwfdupzz5vea22r52zesva2xtrt0w5vv" timestamp="1456727526"&gt;15&lt;/key&gt;&lt;/foreign-keys&gt;&lt;ref-type name="Journal Article"&gt;17&lt;/ref-type&gt;&lt;contributors&gt;&lt;authors&gt;&lt;author&gt;Papazachou, O&lt;/author&gt;&lt;author&gt;Anastasiou-Nana, M&lt;/author&gt;&lt;author&gt;Sakellariou, D&lt;/author&gt;&lt;author&gt;Tassiou, A&lt;/author&gt;&lt;author&gt;Dimopoulos, S&lt;/author&gt;&lt;author&gt;Venetsanakos, J&lt;/author&gt;&lt;author&gt;Maroulidis, G&lt;/author&gt;&lt;author&gt;Drakos, S&lt;/author&gt;&lt;author&gt;Roussos, C&lt;/author&gt;&lt;author&gt;Nanas, S&lt;/author&gt;&lt;/authors&gt;&lt;/contributors&gt;&lt;titles&gt;&lt;title&gt;Pulmonary function at peak exercise in patients with chronic heart failure&lt;/title&gt;&lt;secondary-title&gt;International Journal of Cardiology&lt;/secondary-title&gt;&lt;/titles&gt;&lt;periodical&gt;&lt;full-title&gt;International Journal of Cardiology&lt;/full-title&gt;&lt;/periodical&gt;&lt;pages&gt;28-35&lt;/pages&gt;&lt;volume&gt;118&lt;/volume&gt;&lt;number&gt;1&lt;/number&gt;&lt;dates&gt;&lt;year&gt;2007&lt;/year&gt;&lt;/dates&gt;&lt;urls&gt;&lt;/urls&gt;&lt;/record&gt;&lt;/Cite&gt;&lt;/EndNote&gt;</w:instrText>
      </w:r>
      <w:r w:rsidRPr="00077A84">
        <w:rPr>
          <w:vertAlign w:val="superscript"/>
        </w:rPr>
        <w:fldChar w:fldCharType="separate"/>
      </w:r>
      <w:r>
        <w:rPr>
          <w:noProof/>
          <w:vertAlign w:val="superscript"/>
        </w:rPr>
        <w:t>[11, 12]</w:t>
      </w:r>
      <w:r w:rsidRPr="00077A84">
        <w:rPr>
          <w:vertAlign w:val="superscript"/>
        </w:rPr>
        <w:fldChar w:fldCharType="end"/>
      </w:r>
    </w:p>
    <w:p w14:paraId="4692E366" w14:textId="77777777" w:rsidR="005B65C7" w:rsidRPr="004B2BA0" w:rsidRDefault="005B65C7" w:rsidP="0099709F">
      <w:pPr>
        <w:pStyle w:val="Heading4F"/>
      </w:pPr>
      <w:r w:rsidRPr="004B2BA0">
        <w:t xml:space="preserve">Congenital Heart Defects, Valve Disease and Hypertrophic Cardiomyopathy </w:t>
      </w:r>
    </w:p>
    <w:p w14:paraId="0C2AA656" w14:textId="77777777" w:rsidR="005B65C7" w:rsidRPr="006641EA" w:rsidRDefault="005B65C7" w:rsidP="00733DE0">
      <w:pPr>
        <w:pStyle w:val="NormalF"/>
        <w:rPr>
          <w:rStyle w:val="StyleTimesNewRoman"/>
        </w:rPr>
      </w:pPr>
      <w:r w:rsidRPr="006641EA">
        <w:rPr>
          <w:rStyle w:val="StyleTimesNewRoman"/>
        </w:rPr>
        <w:t xml:space="preserve">Whilst the role of routine CPET in these patients is not established, there is emerging evidence as to its potential clinical value in these populations in terms of assessment of disease severity, response to intervention and the provision of prognostic information. </w:t>
      </w:r>
      <w:r w:rsidRPr="00077A84">
        <w:rPr>
          <w:vertAlign w:val="superscript"/>
        </w:rPr>
        <w:fldChar w:fldCharType="begin"/>
      </w:r>
      <w:r>
        <w:rPr>
          <w:vertAlign w:val="superscript"/>
        </w:rPr>
        <w:instrText xml:space="preserve"> ADDIN EN.CITE &lt;EndNote&gt;&lt;Cite&gt;&lt;Author&gt;Arena&lt;/Author&gt;&lt;Year&gt;2011&lt;/Year&gt;&lt;RecNum&gt;9&lt;/RecNum&gt;&lt;DisplayText&gt;[6]&lt;/DisplayText&gt;&lt;record&gt;&lt;rec-number&gt;9&lt;/rec-number&gt;&lt;foreign-keys&gt;&lt;key app="EN" db-id="2s0zpwfdupzz5vea22r52zesva2xtrt0w5vv" timestamp="1456610214"&gt;9&lt;/key&gt;&lt;/foreign-keys&gt;&lt;ref-type name="Journal Article"&gt;17&lt;/ref-type&gt;&lt;contributors&gt;&lt;authors&gt;&lt;author&gt;Arena, R&lt;/author&gt;&lt;author&gt;Siestema, K&lt;/author&gt;&lt;/authors&gt;&lt;/contributors&gt;&lt;titles&gt;&lt;title&gt;Cardiopulmonary Exercise Testing in the Clinical Evaluation of Patients with Heart and Lung Disease&lt;/title&gt;&lt;secondary-title&gt;Circulation&lt;/secondary-title&gt;&lt;/titles&gt;&lt;periodical&gt;&lt;full-title&gt;Circulation&lt;/full-title&gt;&lt;/periodical&gt;&lt;pages&gt;668-680&lt;/pages&gt;&lt;volume&gt;123&lt;/volume&gt;&lt;dates&gt;&lt;year&gt;2011&lt;/year&gt;&lt;/dates&gt;&lt;urls&gt;&lt;/urls&gt;&lt;/record&gt;&lt;/Cite&gt;&lt;/EndNote&gt;</w:instrText>
      </w:r>
      <w:r w:rsidRPr="00077A84">
        <w:rPr>
          <w:vertAlign w:val="superscript"/>
        </w:rPr>
        <w:fldChar w:fldCharType="separate"/>
      </w:r>
      <w:r>
        <w:rPr>
          <w:noProof/>
          <w:vertAlign w:val="superscript"/>
        </w:rPr>
        <w:t>[6]</w:t>
      </w:r>
      <w:r w:rsidRPr="00077A84">
        <w:rPr>
          <w:vertAlign w:val="superscript"/>
        </w:rPr>
        <w:fldChar w:fldCharType="end"/>
      </w:r>
      <w:r w:rsidRPr="006641EA">
        <w:rPr>
          <w:rStyle w:val="StyleTimesNewRoman"/>
        </w:rPr>
        <w:t xml:space="preserve"> In a study comprising 475 patients with congenital heart disease who underwent CPET, Frederiksen et al</w:t>
      </w:r>
      <w:r w:rsidRPr="00077A84">
        <w:rPr>
          <w:vertAlign w:val="superscript"/>
        </w:rPr>
        <w:fldChar w:fldCharType="begin"/>
      </w:r>
      <w:r>
        <w:rPr>
          <w:vertAlign w:val="superscript"/>
        </w:rPr>
        <w:instrText xml:space="preserve"> ADDIN EN.CITE &lt;EndNote&gt;&lt;Cite&gt;&lt;Author&gt;Frederiksen&lt;/Author&gt;&lt;Year&gt;2001&lt;/Year&gt;&lt;RecNum&gt;16&lt;/RecNum&gt;&lt;DisplayText&gt;[13]&lt;/DisplayText&gt;&lt;record&gt;&lt;rec-number&gt;16&lt;/rec-number&gt;&lt;foreign-keys&gt;&lt;key app="EN" db-id="2s0zpwfdupzz5vea22r52zesva2xtrt0w5vv" timestamp="1456730521"&gt;16&lt;/key&gt;&lt;/foreign-keys&gt;&lt;ref-type name="Journal Article"&gt;17&lt;/ref-type&gt;&lt;contributors&gt;&lt;authors&gt;&lt;author&gt;Frederiksen, PM&lt;/author&gt;&lt;author&gt;Veldtman, G&lt;/author&gt;&lt;author&gt;Hechter, S&lt;/author&gt;&lt;author&gt;Therrien, J&lt;/author&gt;&lt;author&gt;Chen, A&lt;/author&gt;&lt;author&gt;Warsi, MA&lt;/author&gt;&lt;author&gt;Freeman, M&lt;/author&gt;&lt;author&gt;Liu, P&lt;/author&gt;&lt;author&gt;Siu, S&lt;/author&gt;&lt;author&gt;Thaulow, E&lt;/author&gt;&lt;/authors&gt;&lt;/contributors&gt;&lt;titles&gt;&lt;title&gt;Aerobic Capacity in Adults With Various Congenital Heart Diseases&lt;/title&gt;&lt;secondary-title&gt;American Journal of Cardiology&lt;/secondary-title&gt;&lt;/titles&gt;&lt;periodical&gt;&lt;full-title&gt;American Journal of Cardiology&lt;/full-title&gt;&lt;/periodical&gt;&lt;pages&gt;310-314&lt;/pages&gt;&lt;volume&gt;87&lt;/volume&gt;&lt;dates&gt;&lt;year&gt;2001&lt;/year&gt;&lt;/dates&gt;&lt;urls&gt;&lt;/urls&gt;&lt;/record&gt;&lt;/Cite&gt;&lt;/EndNote&gt;</w:instrText>
      </w:r>
      <w:r w:rsidRPr="00077A84">
        <w:rPr>
          <w:vertAlign w:val="superscript"/>
        </w:rPr>
        <w:fldChar w:fldCharType="separate"/>
      </w:r>
      <w:r>
        <w:rPr>
          <w:noProof/>
          <w:vertAlign w:val="superscript"/>
        </w:rPr>
        <w:t>[13]</w:t>
      </w:r>
      <w:r w:rsidRPr="00077A84">
        <w:rPr>
          <w:vertAlign w:val="superscript"/>
        </w:rPr>
        <w:fldChar w:fldCharType="end"/>
      </w:r>
      <w:r w:rsidRPr="006641EA">
        <w:rPr>
          <w:rStyle w:val="StyleTimesNewRoman"/>
        </w:rPr>
        <w:t xml:space="preserve"> reported significantly reduced maximal oxygen consumption compared with healthy subjects, even in those undergoing surgical treatment. The authors considered the routine use of CPET in follow up of these patients to be vital in revealing significant changes in oxygen consumption and to enable efficient initiation of therapy. </w:t>
      </w:r>
      <w:r w:rsidRPr="00077A84">
        <w:rPr>
          <w:vertAlign w:val="superscript"/>
        </w:rPr>
        <w:fldChar w:fldCharType="begin"/>
      </w:r>
      <w:r>
        <w:rPr>
          <w:vertAlign w:val="superscript"/>
        </w:rPr>
        <w:instrText xml:space="preserve"> ADDIN EN.CITE &lt;EndNote&gt;&lt;Cite&gt;&lt;Author&gt;Frederiksen&lt;/Author&gt;&lt;Year&gt;2001&lt;/Year&gt;&lt;RecNum&gt;16&lt;/RecNum&gt;&lt;DisplayText&gt;[13]&lt;/DisplayText&gt;&lt;record&gt;&lt;rec-number&gt;16&lt;/rec-number&gt;&lt;foreign-keys&gt;&lt;key app="EN" db-id="2s0zpwfdupzz5vea22r52zesva2xtrt0w5vv" timestamp="1456730521"&gt;16&lt;/key&gt;&lt;/foreign-keys&gt;&lt;ref-type name="Journal Article"&gt;17&lt;/ref-type&gt;&lt;contributors&gt;&lt;authors&gt;&lt;author&gt;Frederiksen, PM&lt;/author&gt;&lt;author&gt;Veldtman, G&lt;/author&gt;&lt;author&gt;Hechter, S&lt;/author&gt;&lt;author&gt;Therrien, J&lt;/author&gt;&lt;author&gt;Chen, A&lt;/author&gt;&lt;author&gt;Warsi, MA&lt;/author&gt;&lt;author&gt;Freeman, M&lt;/author&gt;&lt;author&gt;Liu, P&lt;/author&gt;&lt;author&gt;Siu, S&lt;/author&gt;&lt;author&gt;Thaulow, E&lt;/author&gt;&lt;/authors&gt;&lt;/contributors&gt;&lt;titles&gt;&lt;title&gt;Aerobic Capacity in Adults With Various Congenital Heart Diseases&lt;/title&gt;&lt;secondary-title&gt;American Journal of Cardiology&lt;/secondary-title&gt;&lt;/titles&gt;&lt;periodical&gt;&lt;full-title&gt;American Journal of Cardiology&lt;/full-title&gt;&lt;/periodical&gt;&lt;pages&gt;310-314&lt;/pages&gt;&lt;volume&gt;87&lt;/volume&gt;&lt;dates&gt;&lt;year&gt;2001&lt;/year&gt;&lt;/dates&gt;&lt;urls&gt;&lt;/urls&gt;&lt;/record&gt;&lt;/Cite&gt;&lt;/EndNote&gt;</w:instrText>
      </w:r>
      <w:r w:rsidRPr="00077A84">
        <w:rPr>
          <w:vertAlign w:val="superscript"/>
        </w:rPr>
        <w:fldChar w:fldCharType="separate"/>
      </w:r>
      <w:r>
        <w:rPr>
          <w:noProof/>
          <w:vertAlign w:val="superscript"/>
        </w:rPr>
        <w:t>[13]</w:t>
      </w:r>
      <w:r w:rsidRPr="00077A84">
        <w:rPr>
          <w:vertAlign w:val="superscript"/>
        </w:rPr>
        <w:fldChar w:fldCharType="end"/>
      </w:r>
      <w:r w:rsidRPr="006641EA">
        <w:rPr>
          <w:rStyle w:val="StyleTimesNewRoman"/>
        </w:rPr>
        <w:t xml:space="preserve"> </w:t>
      </w:r>
    </w:p>
    <w:p w14:paraId="5B3BE265" w14:textId="77777777" w:rsidR="005B65C7" w:rsidRPr="004B2BA0" w:rsidRDefault="005B65C7" w:rsidP="0099709F">
      <w:pPr>
        <w:pStyle w:val="Heading4F"/>
      </w:pPr>
      <w:r w:rsidRPr="004B2BA0">
        <w:t xml:space="preserve">Left ventricular dysfunction secondary to myocardial ischaemia </w:t>
      </w:r>
    </w:p>
    <w:p w14:paraId="23691C87" w14:textId="77777777" w:rsidR="00FE2379" w:rsidRPr="00E172E7" w:rsidRDefault="005B65C7" w:rsidP="00733DE0">
      <w:pPr>
        <w:pStyle w:val="NormalF"/>
      </w:pPr>
      <w:r w:rsidRPr="006641EA">
        <w:rPr>
          <w:rStyle w:val="StyleTimesNewRoman"/>
        </w:rPr>
        <w:t xml:space="preserve">Although not routinely used for this purpose, CPET may indicate left ventricular dysfunction secondary to myocardial ischaemia through patterns of VO2 response to exercise. </w:t>
      </w:r>
      <w:r w:rsidRPr="00077A84">
        <w:rPr>
          <w:vertAlign w:val="superscript"/>
        </w:rPr>
        <w:fldChar w:fldCharType="begin"/>
      </w:r>
      <w:r>
        <w:rPr>
          <w:vertAlign w:val="superscript"/>
        </w:rPr>
        <w:instrText xml:space="preserve"> ADDIN EN.CITE &lt;EndNote&gt;&lt;Cite&gt;&lt;Author&gt;Pinkstaff&lt;/Author&gt;&lt;Year&gt;2010&lt;/Year&gt;&lt;RecNum&gt;17&lt;/RecNum&gt;&lt;DisplayText&gt;[14]&lt;/DisplayText&gt;&lt;record&gt;&lt;rec-number&gt;17&lt;/rec-number&gt;&lt;foreign-keys&gt;&lt;key app="EN" db-id="2s0zpwfdupzz5vea22r52zesva2xtrt0w5vv" timestamp="1456731464"&gt;17&lt;/key&gt;&lt;/foreign-keys&gt;&lt;ref-type name="Journal Article"&gt;17&lt;/ref-type&gt;&lt;contributors&gt;&lt;authors&gt;&lt;author&gt;Pinkstaff, S&lt;/author&gt;&lt;author&gt;Peberdy, MA&lt;/author&gt;&lt;author&gt;Fabiato, A&lt;/author&gt;&lt;author&gt;Finucane, S&lt;/author&gt;&lt;author&gt;Arena, R&lt;/author&gt;&lt;/authors&gt;&lt;/contributors&gt;&lt;titles&gt;&lt;title&gt;The Clinical Utility of Cardiopulmonary Exercise Testing in Suspected or Confirmed Myocardial Ischaemia&lt;/title&gt;&lt;secondary-title&gt;American Journal of Lifestyle Medicine &lt;/secondary-title&gt;&lt;/titles&gt;&lt;periodical&gt;&lt;full-title&gt;American Journal of Lifestyle Medicine&lt;/full-title&gt;&lt;/periodical&gt;&lt;pages&gt;327-348&lt;/pages&gt;&lt;volume&gt;4&lt;/volume&gt;&lt;number&gt;4&lt;/number&gt;&lt;dates&gt;&lt;year&gt;2010&lt;/year&gt;&lt;/dates&gt;&lt;urls&gt;&lt;/urls&gt;&lt;/record&gt;&lt;/Cite&gt;&lt;/EndNote&gt;</w:instrText>
      </w:r>
      <w:r w:rsidRPr="00077A84">
        <w:rPr>
          <w:vertAlign w:val="superscript"/>
        </w:rPr>
        <w:fldChar w:fldCharType="separate"/>
      </w:r>
      <w:r>
        <w:rPr>
          <w:noProof/>
          <w:vertAlign w:val="superscript"/>
        </w:rPr>
        <w:t>[14]</w:t>
      </w:r>
      <w:r w:rsidRPr="00077A84">
        <w:rPr>
          <w:vertAlign w:val="superscript"/>
        </w:rPr>
        <w:fldChar w:fldCharType="end"/>
      </w:r>
      <w:r w:rsidR="00FE2379" w:rsidRPr="00E172E7">
        <w:br w:type="page"/>
      </w:r>
    </w:p>
    <w:p w14:paraId="127826BC" w14:textId="77777777" w:rsidR="005B65C7" w:rsidRPr="004B2BA0" w:rsidRDefault="005B65C7" w:rsidP="0099709F">
      <w:pPr>
        <w:pStyle w:val="Heading4F"/>
      </w:pPr>
      <w:r w:rsidRPr="004B2BA0">
        <w:lastRenderedPageBreak/>
        <w:t>Unexplained dyspnoea</w:t>
      </w:r>
    </w:p>
    <w:p w14:paraId="2672BCE9" w14:textId="77777777" w:rsidR="005B65C7" w:rsidRPr="006641EA" w:rsidRDefault="005B65C7" w:rsidP="00733DE0">
      <w:pPr>
        <w:pStyle w:val="NormalF"/>
        <w:rPr>
          <w:rStyle w:val="StyleTimesNewRoman"/>
        </w:rPr>
      </w:pPr>
      <w:r w:rsidRPr="006641EA">
        <w:rPr>
          <w:rStyle w:val="StyleTimesNewRoman"/>
        </w:rPr>
        <w:t xml:space="preserve">A common use of CPET is in the assessment of patients with unexplained dyspnoea. Interpretative algorithms are used to identify patterns of findings typical of conditions that may cause dyspnoea on exercise testing, by comparing results with findings from healthy populations or those previously diagnosed with specific conditions (exercise-induced arrhythmias, chronotropic incompetence, myocardial ischaemia and hyperventilation syndromes etc). </w:t>
      </w:r>
      <w:r w:rsidRPr="009C5BF7">
        <w:rPr>
          <w:vertAlign w:val="superscript"/>
        </w:rPr>
        <w:fldChar w:fldCharType="begin"/>
      </w:r>
      <w:r w:rsidRPr="009C5BF7">
        <w:rPr>
          <w:vertAlign w:val="superscript"/>
        </w:rPr>
        <w:instrText xml:space="preserve"> ADDIN EN.CITE &lt;EndNote&gt;&lt;Cite&gt;&lt;Author&gt;Balady&lt;/Author&gt;&lt;Year&gt;2010&lt;/Year&gt;&lt;RecNum&gt;8&lt;/RecNum&gt;&lt;DisplayText&gt;[1, 3]&lt;/DisplayText&gt;&lt;record&gt;&lt;rec-number&gt;8&lt;/rec-number&gt;&lt;foreign-keys&gt;&lt;key app="EN" db-id="2s0zpwfdupzz5vea22r52zesva2xtrt0w5vv" timestamp="1456609971"&gt;8&lt;/key&gt;&lt;/foreign-keys&gt;&lt;ref-type name="Journal Article"&gt;17&lt;/ref-type&gt;&lt;contributors&gt;&lt;authors&gt;&lt;author&gt;Balady, GJ&lt;/author&gt;&lt;author&gt;Arena, R&lt;/author&gt;&lt;author&gt;Siestema, K&lt;/author&gt;&lt;author&gt;Myers, J&lt;/author&gt;&lt;author&gt;Coke, L&lt;/author&gt;&lt;author&gt;Fletcher, GF&lt;/author&gt;&lt;author&gt;Forman, D&lt;/author&gt;&lt;author&gt;Franklin, B&lt;/author&gt;&lt;author&gt;Guazzi, M&lt;/author&gt;&lt;author&gt;Gulati, M&lt;/author&gt;&lt;author&gt;Keteyian, SJ&lt;/author&gt;&lt;author&gt;Lavie, CJ&lt;/author&gt;&lt;author&gt;Macko, R&lt;/author&gt;&lt;author&gt;Mancini, D&lt;/author&gt;&lt;author&gt;Milani, RV&lt;/author&gt;&lt;/authors&gt;&lt;/contributors&gt;&lt;titles&gt;&lt;title&gt;Clinician&amp;apos;s Guide to Cardiopulmonary Exercise Testing in Adults : A Scientific Statement from the American Heart Association &lt;/title&gt;&lt;secondary-title&gt;Circulation&lt;/secondary-title&gt;&lt;/titles&gt;&lt;periodical&gt;&lt;full-title&gt;Circulation&lt;/full-title&gt;&lt;/periodical&gt;&lt;pages&gt;191-225&lt;/pages&gt;&lt;volume&gt;122&lt;/volume&gt;&lt;dates&gt;&lt;year&gt;2010&lt;/year&gt;&lt;/dates&gt;&lt;urls&gt;&lt;/urls&gt;&lt;/record&gt;&lt;/Cite&gt;&lt;Cite&gt;&lt;Author&gt;ATS/ACCP&lt;/Author&gt;&lt;Year&gt;2003&lt;/Year&gt;&lt;RecNum&gt;1&lt;/RecNum&gt;&lt;record&gt;&lt;rec-number&gt;1&lt;/rec-number&gt;&lt;foreign-keys&gt;&lt;key app="EN" db-id="2s0zpwfdupzz5vea22r52zesva2xtrt0w5vv" timestamp="1456047133"&gt;1&lt;/key&gt;&lt;/foreign-keys&gt;&lt;ref-type name="Journal Article"&gt;17&lt;/ref-type&gt;&lt;contributors&gt;&lt;authors&gt;&lt;author&gt;ATS/ACCP &lt;/author&gt;&lt;/authors&gt;&lt;/contributors&gt;&lt;titles&gt;&lt;title&gt;ATS/ACCP Statement on Cardiopulmonary Exercise Testing&lt;/title&gt;&lt;secondary-title&gt;American Journal of Respiratory and and Critical Care Medicine&lt;/secondary-title&gt;&lt;/titles&gt;&lt;periodical&gt;&lt;full-title&gt;American Journal of Respiratory and and Critical Care Medicine&lt;/full-title&gt;&lt;/periodical&gt;&lt;pages&gt;211-277&lt;/pages&gt;&lt;volume&gt;167&lt;/volume&gt;&lt;dates&gt;&lt;year&gt;2003&lt;/year&gt;&lt;/dates&gt;&lt;urls&gt;&lt;/urls&gt;&lt;/record&gt;&lt;/Cite&gt;&lt;/EndNote&gt;</w:instrText>
      </w:r>
      <w:r w:rsidRPr="009C5BF7">
        <w:rPr>
          <w:vertAlign w:val="superscript"/>
        </w:rPr>
        <w:fldChar w:fldCharType="separate"/>
      </w:r>
      <w:r w:rsidRPr="009C5BF7">
        <w:rPr>
          <w:noProof/>
          <w:vertAlign w:val="superscript"/>
        </w:rPr>
        <w:t>[1, 3]</w:t>
      </w:r>
      <w:r w:rsidRPr="009C5BF7">
        <w:rPr>
          <w:vertAlign w:val="superscript"/>
        </w:rPr>
        <w:fldChar w:fldCharType="end"/>
      </w:r>
      <w:r w:rsidRPr="006641EA">
        <w:rPr>
          <w:rStyle w:val="StyleTimesNewRoman"/>
        </w:rPr>
        <w:t xml:space="preserve"> For example, in unexplained dyspnea, a VE/VCO2 &gt;/= 60 with a PETCO2 &lt;/= 20 mmHg at ventilation threshold is highly suggestive of pulmonary hypertension. </w:t>
      </w:r>
      <w:r w:rsidRPr="009C5BF7">
        <w:rPr>
          <w:vertAlign w:val="superscript"/>
        </w:rPr>
        <w:fldChar w:fldCharType="begin"/>
      </w:r>
      <w:r w:rsidRPr="009C5BF7">
        <w:rPr>
          <w:vertAlign w:val="superscript"/>
        </w:rPr>
        <w:instrText xml:space="preserve"> ADDIN EN.CITE &lt;EndNote&gt;&lt;Cite&gt;&lt;Author&gt;Arena&lt;/Author&gt;&lt;Year&gt;2011&lt;/Year&gt;&lt;RecNum&gt;9&lt;/RecNum&gt;&lt;DisplayText&gt;[6]&lt;/DisplayText&gt;&lt;record&gt;&lt;rec-number&gt;9&lt;/rec-number&gt;&lt;foreign-keys&gt;&lt;key app="EN" db-id="2s0zpwfdupzz5vea22r52zesva2xtrt0w5vv" timestamp="1456610214"&gt;9&lt;/key&gt;&lt;/foreign-keys&gt;&lt;ref-type name="Journal Article"&gt;17&lt;/ref-type&gt;&lt;contributors&gt;&lt;authors&gt;&lt;author&gt;Arena, R&lt;/author&gt;&lt;author&gt;Siestema, K&lt;/author&gt;&lt;/authors&gt;&lt;/contributors&gt;&lt;titles&gt;&lt;title&gt;Cardiopulmonary Exercise Testing in the Clinical Evaluation of Patients with Heart and Lung Disease&lt;/title&gt;&lt;secondary-title&gt;Circulation&lt;/secondary-title&gt;&lt;/titles&gt;&lt;periodical&gt;&lt;full-title&gt;Circulation&lt;/full-title&gt;&lt;/periodical&gt;&lt;pages&gt;668-680&lt;/pages&gt;&lt;volume&gt;123&lt;/volume&gt;&lt;dates&gt;&lt;year&gt;2011&lt;/year&gt;&lt;/dates&gt;&lt;urls&gt;&lt;/urls&gt;&lt;/record&gt;&lt;/Cite&gt;&lt;/EndNote&gt;</w:instrText>
      </w:r>
      <w:r w:rsidRPr="009C5BF7">
        <w:rPr>
          <w:vertAlign w:val="superscript"/>
        </w:rPr>
        <w:fldChar w:fldCharType="separate"/>
      </w:r>
      <w:r w:rsidRPr="009C5BF7">
        <w:rPr>
          <w:noProof/>
          <w:vertAlign w:val="superscript"/>
        </w:rPr>
        <w:t>[6]</w:t>
      </w:r>
      <w:r w:rsidRPr="009C5BF7">
        <w:rPr>
          <w:vertAlign w:val="superscript"/>
        </w:rPr>
        <w:fldChar w:fldCharType="end"/>
      </w:r>
      <w:r w:rsidRPr="006641EA">
        <w:rPr>
          <w:rStyle w:val="StyleTimesNewRoman"/>
        </w:rPr>
        <w:t xml:space="preserve"> Such analyses depend upon the appropriateness of reference values chosen for comparison and by the specificity and sensitivity of abnormal findings for specific disease states.</w:t>
      </w:r>
    </w:p>
    <w:p w14:paraId="1AC5FC7B" w14:textId="77777777" w:rsidR="005B65C7" w:rsidRPr="004B2BA0" w:rsidRDefault="005B65C7" w:rsidP="0099709F">
      <w:pPr>
        <w:pStyle w:val="Heading4F"/>
      </w:pPr>
      <w:r w:rsidRPr="004B2BA0">
        <w:t>COPD</w:t>
      </w:r>
    </w:p>
    <w:p w14:paraId="3873B940" w14:textId="77777777" w:rsidR="005B65C7" w:rsidRPr="006641EA" w:rsidRDefault="005B65C7" w:rsidP="00733DE0">
      <w:pPr>
        <w:pStyle w:val="NormalF"/>
        <w:rPr>
          <w:rStyle w:val="StyleTimesNewRoman"/>
        </w:rPr>
      </w:pPr>
      <w:r w:rsidRPr="006641EA">
        <w:rPr>
          <w:rStyle w:val="StyleTimesNewRoman"/>
        </w:rPr>
        <w:t>Reduction in exercise tolerance is a common complaint in COPD patients, with significant impact on quality of life. A significant contributor is said to be dynamic hyperinflation during exercise, which is often measured by reference to the rate of change of inspired capacity.</w:t>
      </w:r>
      <w:r w:rsidRPr="006D1592">
        <w:rPr>
          <w:vertAlign w:val="superscript"/>
        </w:rPr>
        <w:fldChar w:fldCharType="begin"/>
      </w:r>
      <w:r w:rsidRPr="006D1592">
        <w:rPr>
          <w:vertAlign w:val="superscript"/>
        </w:rPr>
        <w:instrText xml:space="preserve"> ADDIN EN.CITE &lt;EndNote&gt;&lt;Cite&gt;&lt;Author&gt;Corriveau&lt;/Author&gt;&lt;Year&gt;2015&lt;/Year&gt;&lt;RecNum&gt;22&lt;/RecNum&gt;&lt;DisplayText&gt;[1, 15]&lt;/DisplayText&gt;&lt;record&gt;&lt;rec-number&gt;22&lt;/rec-number&gt;&lt;foreign-keys&gt;&lt;key app="EN" db-id="2s0zpwfdupzz5vea22r52zesva2xtrt0w5vv" timestamp="1457875264"&gt;22&lt;/key&gt;&lt;/foreign-keys&gt;&lt;ref-type name="Journal Article"&gt;17&lt;/ref-type&gt;&lt;contributors&gt;&lt;authors&gt;&lt;author&gt;Corriveau, SL&lt;/author&gt;&lt;author&gt;Raghavan, N&lt;/author&gt;&lt;/authors&gt;&lt;/contributors&gt;&lt;titles&gt;&lt;title&gt;The utility of cardiopulmonary exercise testing in evaluating the efficacy of treatment in COPD&lt;/title&gt;&lt;secondary-title&gt;CIC&lt;/secondary-title&gt;&lt;/titles&gt;&lt;periodical&gt;&lt;full-title&gt;CIC&lt;/full-title&gt;&lt;/periodical&gt;&lt;pages&gt;88-94&lt;/pages&gt;&lt;volume&gt;4&lt;/volume&gt;&lt;number&gt;3&lt;/number&gt;&lt;dates&gt;&lt;year&gt;2015&lt;/year&gt;&lt;/dates&gt;&lt;urls&gt;&lt;/urls&gt;&lt;/record&gt;&lt;/Cite&gt;&lt;Cite&gt;&lt;Author&gt;ATS/ACCP&lt;/Author&gt;&lt;Year&gt;2003&lt;/Year&gt;&lt;RecNum&gt;1&lt;/RecNum&gt;&lt;record&gt;&lt;rec-number&gt;1&lt;/rec-number&gt;&lt;foreign-keys&gt;&lt;key app="EN" db-id="2s0zpwfdupzz5vea22r52zesva2xtrt0w5vv" timestamp="1456047133"&gt;1&lt;/key&gt;&lt;/foreign-keys&gt;&lt;ref-type name="Journal Article"&gt;17&lt;/ref-type&gt;&lt;contributors&gt;&lt;authors&gt;&lt;author&gt;ATS/ACCP &lt;/author&gt;&lt;/authors&gt;&lt;/contributors&gt;&lt;titles&gt;&lt;title&gt;ATS/ACCP Statement on Cardiopulmonary Exercise Testing&lt;/title&gt;&lt;secondary-title&gt;American Journal of Respiratory and and Critical Care Medicine&lt;/secondary-title&gt;&lt;/titles&gt;&lt;periodical&gt;&lt;full-title&gt;American Journal of Respiratory and and Critical Care Medicine&lt;/full-title&gt;&lt;/periodical&gt;&lt;pages&gt;211-277&lt;/pages&gt;&lt;volume&gt;167&lt;/volume&gt;&lt;dates&gt;&lt;year&gt;2003&lt;/year&gt;&lt;/dates&gt;&lt;urls&gt;&lt;/urls&gt;&lt;/record&gt;&lt;/Cite&gt;&lt;/EndNote&gt;</w:instrText>
      </w:r>
      <w:r w:rsidRPr="006D1592">
        <w:rPr>
          <w:vertAlign w:val="superscript"/>
        </w:rPr>
        <w:fldChar w:fldCharType="separate"/>
      </w:r>
      <w:r w:rsidRPr="006D1592">
        <w:rPr>
          <w:noProof/>
          <w:vertAlign w:val="superscript"/>
        </w:rPr>
        <w:t>[1, 15]</w:t>
      </w:r>
      <w:r w:rsidRPr="006D1592">
        <w:rPr>
          <w:vertAlign w:val="superscript"/>
        </w:rPr>
        <w:fldChar w:fldCharType="end"/>
      </w:r>
      <w:r w:rsidRPr="006641EA">
        <w:rPr>
          <w:rStyle w:val="StyleTimesNewRoman"/>
        </w:rPr>
        <w:t xml:space="preserve"> Exercise induced hypoxaemia can also contribute to exercise limitations in COPD, and may be measured by arterial gas analysis or non-invasively by pulse oximetry.</w:t>
      </w:r>
      <w:r w:rsidRPr="006D1592">
        <w:rPr>
          <w:vertAlign w:val="superscript"/>
        </w:rPr>
        <w:fldChar w:fldCharType="begin"/>
      </w:r>
      <w:r w:rsidRPr="006D1592">
        <w:rPr>
          <w:vertAlign w:val="superscript"/>
        </w:rPr>
        <w:instrText xml:space="preserve"> ADDIN EN.CITE &lt;EndNote&gt;&lt;Cite&gt;&lt;Author&gt;ATS/ACCP&lt;/Author&gt;&lt;Year&gt;2003&lt;/Year&gt;&lt;RecNum&gt;1&lt;/RecNum&gt;&lt;DisplayText&gt;[1]&lt;/DisplayText&gt;&lt;record&gt;&lt;rec-number&gt;1&lt;/rec-number&gt;&lt;foreign-keys&gt;&lt;key app="EN" db-id="2s0zpwfdupzz5vea22r52zesva2xtrt0w5vv" timestamp="1456047133"&gt;1&lt;/key&gt;&lt;/foreign-keys&gt;&lt;ref-type name="Journal Article"&gt;17&lt;/ref-type&gt;&lt;contributors&gt;&lt;authors&gt;&lt;author&gt;ATS/ACCP &lt;/author&gt;&lt;/authors&gt;&lt;/contributors&gt;&lt;titles&gt;&lt;title&gt;ATS/ACCP Statement on Cardiopulmonary Exercise Testing&lt;/title&gt;&lt;secondary-title&gt;American Journal of Respiratory and and Critical Care Medicine&lt;/secondary-title&gt;&lt;/titles&gt;&lt;periodical&gt;&lt;full-title&gt;American Journal of Respiratory and and Critical Care Medicine&lt;/full-title&gt;&lt;/periodical&gt;&lt;pages&gt;211-277&lt;/pages&gt;&lt;volume&gt;167&lt;/volume&gt;&lt;dates&gt;&lt;year&gt;2003&lt;/year&gt;&lt;/dates&gt;&lt;urls&gt;&lt;/urls&gt;&lt;/record&gt;&lt;/Cite&gt;&lt;/EndNote&gt;</w:instrText>
      </w:r>
      <w:r w:rsidRPr="006D1592">
        <w:rPr>
          <w:vertAlign w:val="superscript"/>
        </w:rPr>
        <w:fldChar w:fldCharType="separate"/>
      </w:r>
      <w:r w:rsidRPr="006D1592">
        <w:rPr>
          <w:noProof/>
          <w:vertAlign w:val="superscript"/>
        </w:rPr>
        <w:t>[1]</w:t>
      </w:r>
      <w:r w:rsidRPr="006D1592">
        <w:rPr>
          <w:vertAlign w:val="superscript"/>
        </w:rPr>
        <w:fldChar w:fldCharType="end"/>
      </w:r>
      <w:r w:rsidRPr="006641EA">
        <w:rPr>
          <w:rStyle w:val="StyleTimesNewRoman"/>
        </w:rPr>
        <w:t xml:space="preserve"> Although the latter is less accurate, it is generally accepted that a drop in Spo2 by &gt;5% is abnormal, with sustained &lt;88% a justification for oxygen therapy. The 6MWT is frequently used to assess the functional status of COPD patients, however it is not as useful in assessment of treatment outcomes due to the lack of fixed exercise stimulus.</w:t>
      </w:r>
      <w:r w:rsidRPr="006D1592">
        <w:rPr>
          <w:vertAlign w:val="superscript"/>
        </w:rPr>
        <w:fldChar w:fldCharType="begin"/>
      </w:r>
      <w:r w:rsidRPr="006D1592">
        <w:rPr>
          <w:vertAlign w:val="superscript"/>
        </w:rPr>
        <w:instrText xml:space="preserve"> ADDIN EN.CITE &lt;EndNote&gt;&lt;Cite&gt;&lt;Author&gt;Corriveau&lt;/Author&gt;&lt;Year&gt;2015&lt;/Year&gt;&lt;RecNum&gt;22&lt;/RecNum&gt;&lt;DisplayText&gt;[15]&lt;/DisplayText&gt;&lt;record&gt;&lt;rec-number&gt;22&lt;/rec-number&gt;&lt;foreign-keys&gt;&lt;key app="EN" db-id="2s0zpwfdupzz5vea22r52zesva2xtrt0w5vv" timestamp="1457875264"&gt;22&lt;/key&gt;&lt;/foreign-keys&gt;&lt;ref-type name="Journal Article"&gt;17&lt;/ref-type&gt;&lt;contributors&gt;&lt;authors&gt;&lt;author&gt;Corriveau, SL&lt;/author&gt;&lt;author&gt;Raghavan, N&lt;/author&gt;&lt;/authors&gt;&lt;/contributors&gt;&lt;titles&gt;&lt;title&gt;The utility of cardiopulmonary exercise testing in evaluating the efficacy of treatment in COPD&lt;/title&gt;&lt;secondary-title&gt;CIC&lt;/secondary-title&gt;&lt;/titles&gt;&lt;periodical&gt;&lt;full-title&gt;CIC&lt;/full-title&gt;&lt;/periodical&gt;&lt;pages&gt;88-94&lt;/pages&gt;&lt;volume&gt;4&lt;/volume&gt;&lt;number&gt;3&lt;/number&gt;&lt;dates&gt;&lt;year&gt;2015&lt;/year&gt;&lt;/dates&gt;&lt;urls&gt;&lt;/urls&gt;&lt;/record&gt;&lt;/Cite&gt;&lt;/EndNote&gt;</w:instrText>
      </w:r>
      <w:r w:rsidRPr="006D1592">
        <w:rPr>
          <w:vertAlign w:val="superscript"/>
        </w:rPr>
        <w:fldChar w:fldCharType="separate"/>
      </w:r>
      <w:r w:rsidRPr="006D1592">
        <w:rPr>
          <w:noProof/>
          <w:vertAlign w:val="superscript"/>
        </w:rPr>
        <w:t>[15]</w:t>
      </w:r>
      <w:r w:rsidRPr="006D1592">
        <w:rPr>
          <w:vertAlign w:val="superscript"/>
        </w:rPr>
        <w:fldChar w:fldCharType="end"/>
      </w:r>
    </w:p>
    <w:p w14:paraId="4A96996D" w14:textId="77777777" w:rsidR="005B65C7" w:rsidRPr="004B2BA0" w:rsidRDefault="005B65C7" w:rsidP="0099709F">
      <w:pPr>
        <w:pStyle w:val="Heading4F"/>
      </w:pPr>
      <w:r w:rsidRPr="004B2BA0">
        <w:t xml:space="preserve">Skeletal muscle fibre and mitochondrial myopathy </w:t>
      </w:r>
    </w:p>
    <w:p w14:paraId="0E88C7E3" w14:textId="77777777" w:rsidR="005B65C7" w:rsidRPr="006641EA" w:rsidRDefault="005B65C7" w:rsidP="00733DE0">
      <w:pPr>
        <w:pStyle w:val="NormalF"/>
        <w:rPr>
          <w:rStyle w:val="StyleTimesNewRoman"/>
        </w:rPr>
      </w:pPr>
      <w:r w:rsidRPr="006641EA">
        <w:rPr>
          <w:rStyle w:val="StyleTimesNewRoman"/>
        </w:rPr>
        <w:t>CPET may be modified to increase diagnostic resolution of skeletal muscle abnormalities, particularly mitochondrial myopathy.</w:t>
      </w:r>
      <w:r w:rsidRPr="006D1592">
        <w:rPr>
          <w:vertAlign w:val="superscript"/>
        </w:rPr>
        <w:fldChar w:fldCharType="begin"/>
      </w:r>
      <w:r w:rsidRPr="006D1592">
        <w:rPr>
          <w:vertAlign w:val="superscript"/>
        </w:rPr>
        <w:instrText xml:space="preserve"> ADDIN EN.CITE &lt;EndNote&gt;&lt;Cite&gt;&lt;Author&gt;Balady&lt;/Author&gt;&lt;Year&gt;2010&lt;/Year&gt;&lt;RecNum&gt;8&lt;/RecNum&gt;&lt;DisplayText&gt;[3]&lt;/DisplayText&gt;&lt;record&gt;&lt;rec-number&gt;8&lt;/rec-number&gt;&lt;foreign-keys&gt;&lt;key app="EN" db-id="2s0zpwfdupzz5vea22r52zesva2xtrt0w5vv" timestamp="1456609971"&gt;8&lt;/key&gt;&lt;/foreign-keys&gt;&lt;ref-type name="Journal Article"&gt;17&lt;/ref-type&gt;&lt;contributors&gt;&lt;authors&gt;&lt;author&gt;Balady, GJ&lt;/author&gt;&lt;author&gt;Arena, R&lt;/author&gt;&lt;author&gt;Siestema, K&lt;/author&gt;&lt;author&gt;Myers, J&lt;/author&gt;&lt;author&gt;Coke, L&lt;/author&gt;&lt;author&gt;Fletcher, GF&lt;/author&gt;&lt;author&gt;Forman, D&lt;/author&gt;&lt;author&gt;Franklin, B&lt;/author&gt;&lt;author&gt;Guazzi, M&lt;/author&gt;&lt;author&gt;Gulati, M&lt;/author&gt;&lt;author&gt;Keteyian, SJ&lt;/author&gt;&lt;author&gt;Lavie, CJ&lt;/author&gt;&lt;author&gt;Macko, R&lt;/author&gt;&lt;author&gt;Mancini, D&lt;/author&gt;&lt;author&gt;Milani, RV&lt;/author&gt;&lt;/authors&gt;&lt;/contributors&gt;&lt;titles&gt;&lt;title&gt;Clinician&amp;apos;s Guide to Cardiopulmonary Exercise Testing in Adults : A Scientific Statement from the American Heart Association &lt;/title&gt;&lt;secondary-title&gt;Circulation&lt;/secondary-title&gt;&lt;/titles&gt;&lt;periodical&gt;&lt;full-title&gt;Circulation&lt;/full-title&gt;&lt;/periodical&gt;&lt;pages&gt;191-225&lt;/pages&gt;&lt;volume&gt;122&lt;/volume&gt;&lt;dates&gt;&lt;year&gt;2010&lt;/year&gt;&lt;/dates&gt;&lt;urls&gt;&lt;/urls&gt;&lt;/record&gt;&lt;/Cite&gt;&lt;/EndNote&gt;</w:instrText>
      </w:r>
      <w:r w:rsidRPr="006D1592">
        <w:rPr>
          <w:vertAlign w:val="superscript"/>
        </w:rPr>
        <w:fldChar w:fldCharType="separate"/>
      </w:r>
      <w:r w:rsidRPr="006D1592">
        <w:rPr>
          <w:noProof/>
          <w:vertAlign w:val="superscript"/>
        </w:rPr>
        <w:t>[3]</w:t>
      </w:r>
      <w:r w:rsidRPr="006D1592">
        <w:rPr>
          <w:vertAlign w:val="superscript"/>
        </w:rPr>
        <w:fldChar w:fldCharType="end"/>
      </w:r>
    </w:p>
    <w:p w14:paraId="30690869" w14:textId="77777777" w:rsidR="005B65C7" w:rsidRPr="004B2BA0" w:rsidRDefault="005B65C7" w:rsidP="0099709F">
      <w:pPr>
        <w:pStyle w:val="Heading4F"/>
      </w:pPr>
      <w:r w:rsidRPr="004B2BA0">
        <w:t>Interstitial Lung Disease (ILD)</w:t>
      </w:r>
    </w:p>
    <w:p w14:paraId="48747FC8" w14:textId="77777777" w:rsidR="005B65C7" w:rsidRPr="006641EA" w:rsidRDefault="005B65C7" w:rsidP="00733DE0">
      <w:pPr>
        <w:pStyle w:val="NormalF"/>
        <w:rPr>
          <w:rStyle w:val="StyleTimesNewRoman"/>
        </w:rPr>
      </w:pPr>
      <w:r w:rsidRPr="006641EA">
        <w:rPr>
          <w:rStyle w:val="StyleTimesNewRoman"/>
        </w:rPr>
        <w:t>ILD results in parenchymal damage and fibrosis resulting in an impairment of gas exchange which is identified by calculating the ratio of physiological dead space to tidal volume from arterial blood gas and expired gas analyses.</w:t>
      </w:r>
      <w:r w:rsidRPr="00CD1271">
        <w:rPr>
          <w:vertAlign w:val="superscript"/>
        </w:rPr>
        <w:fldChar w:fldCharType="begin"/>
      </w:r>
      <w:r w:rsidRPr="00CD1271">
        <w:rPr>
          <w:vertAlign w:val="superscript"/>
        </w:rPr>
        <w:instrText xml:space="preserve"> ADDIN EN.CITE &lt;EndNote&gt;&lt;Cite&gt;&lt;Author&gt;ATS/ACCP&lt;/Author&gt;&lt;Year&gt;2003&lt;/Year&gt;&lt;RecNum&gt;1&lt;/RecNum&gt;&lt;DisplayText&gt;[1]&lt;/DisplayText&gt;&lt;record&gt;&lt;rec-number&gt;1&lt;/rec-number&gt;&lt;foreign-keys&gt;&lt;key app="EN" db-id="2s0zpwfdupzz5vea22r52zesva2xtrt0w5vv" timestamp="1456047133"&gt;1&lt;/key&gt;&lt;/foreign-keys&gt;&lt;ref-type name="Journal Article"&gt;17&lt;/ref-type&gt;&lt;contributors&gt;&lt;authors&gt;&lt;author&gt;ATS/ACCP &lt;/author&gt;&lt;/authors&gt;&lt;/contributors&gt;&lt;titles&gt;&lt;title&gt;ATS/ACCP Statement on Cardiopulmonary Exercise Testing&lt;/title&gt;&lt;secondary-title&gt;American Journal of Respiratory and and Critical Care Medicine&lt;/secondary-title&gt;&lt;/titles&gt;&lt;periodical&gt;&lt;full-title&gt;American Journal of Respiratory and and Critical Care Medicine&lt;/full-title&gt;&lt;/periodical&gt;&lt;pages&gt;211-277&lt;/pages&gt;&lt;volume&gt;167&lt;/volume&gt;&lt;dates&gt;&lt;year&gt;2003&lt;/year&gt;&lt;/dates&gt;&lt;urls&gt;&lt;/urls&gt;&lt;/record&gt;&lt;/Cite&gt;&lt;/EndNote&gt;</w:instrText>
      </w:r>
      <w:r w:rsidRPr="00CD1271">
        <w:rPr>
          <w:vertAlign w:val="superscript"/>
        </w:rPr>
        <w:fldChar w:fldCharType="separate"/>
      </w:r>
      <w:r w:rsidRPr="00CD1271">
        <w:rPr>
          <w:noProof/>
          <w:vertAlign w:val="superscript"/>
        </w:rPr>
        <w:t>[1]</w:t>
      </w:r>
      <w:r w:rsidRPr="00CD1271">
        <w:rPr>
          <w:vertAlign w:val="superscript"/>
        </w:rPr>
        <w:fldChar w:fldCharType="end"/>
      </w:r>
      <w:r w:rsidRPr="006641EA">
        <w:rPr>
          <w:rStyle w:val="StyleTimesNewRoman"/>
        </w:rPr>
        <w:t xml:space="preserve"> Reduced peak oxygen uptake and exercise induced hypoxaemia during CPET are sensitive markers of mortality in patients with ILD, though is not however currently recommended in routine monitoring. </w:t>
      </w:r>
      <w:r w:rsidRPr="00CD1271">
        <w:rPr>
          <w:vertAlign w:val="superscript"/>
        </w:rPr>
        <w:fldChar w:fldCharType="begin"/>
      </w:r>
      <w:r w:rsidRPr="00CD1271">
        <w:rPr>
          <w:vertAlign w:val="superscript"/>
        </w:rPr>
        <w:instrText xml:space="preserve"> ADDIN EN.CITE &lt;EndNote&gt;&lt;Cite&gt;&lt;Author&gt;Holland&lt;/Author&gt;&lt;Year&gt;2014&lt;/Year&gt;&lt;RecNum&gt;2&lt;/RecNum&gt;&lt;DisplayText&gt;[16]&lt;/DisplayText&gt;&lt;record&gt;&lt;rec-number&gt;2&lt;/rec-number&gt;&lt;foreign-keys&gt;&lt;key app="EN" db-id="2s0zpwfdupzz5vea22r52zesva2xtrt0w5vv" timestamp="1456185850"&gt;2&lt;/key&gt;&lt;/foreign-keys&gt;&lt;ref-type name="Journal Article"&gt;17&lt;/ref-type&gt;&lt;contributors&gt;&lt;authors&gt;&lt;author&gt;Holland, AE&lt;/author&gt;&lt;author&gt;Dowman, L&lt;/author&gt;&lt;author&gt;Fiore, J&lt;/author&gt;&lt;author&gt;Brazzale, D&lt;/author&gt;&lt;author&gt;Hill, CJ&lt;/author&gt;&lt;author&gt;McDonald, CF&lt;/author&gt;&lt;/authors&gt;&lt;/contributors&gt;&lt;titles&gt;&lt;title&gt;Cardiorespiratory responses to 6-minute walk test in interstitial lung disease: not always a submaximal test&lt;/title&gt;&lt;secondary-title&gt;Pulmonary Medicine&lt;/secondary-title&gt;&lt;/titles&gt;&lt;periodical&gt;&lt;full-title&gt;Pulmonary Medicine&lt;/full-title&gt;&lt;/periodical&gt;&lt;pages&gt;136&lt;/pages&gt;&lt;volume&gt;14&lt;/volume&gt;&lt;dates&gt;&lt;year&gt;2014&lt;/year&gt;&lt;/dates&gt;&lt;urls&gt;&lt;/urls&gt;&lt;/record&gt;&lt;/Cite&gt;&lt;/EndNote&gt;</w:instrText>
      </w:r>
      <w:r w:rsidRPr="00CD1271">
        <w:rPr>
          <w:vertAlign w:val="superscript"/>
        </w:rPr>
        <w:fldChar w:fldCharType="separate"/>
      </w:r>
      <w:r w:rsidRPr="00CD1271">
        <w:rPr>
          <w:noProof/>
          <w:vertAlign w:val="superscript"/>
        </w:rPr>
        <w:t>[16]</w:t>
      </w:r>
      <w:r w:rsidRPr="00CD1271">
        <w:rPr>
          <w:vertAlign w:val="superscript"/>
        </w:rPr>
        <w:fldChar w:fldCharType="end"/>
      </w:r>
      <w:r w:rsidRPr="006641EA">
        <w:rPr>
          <w:rStyle w:val="StyleTimesNewRoman"/>
        </w:rPr>
        <w:t xml:space="preserve"> Instead the 6MWT tends to be utilized in this population group for staging of disease and evaluation of treatment responses.</w:t>
      </w:r>
      <w:r w:rsidRPr="009001F6">
        <w:rPr>
          <w:vertAlign w:val="superscript"/>
        </w:rPr>
        <w:t xml:space="preserve"> </w:t>
      </w:r>
      <w:r w:rsidRPr="009001F6">
        <w:rPr>
          <w:vertAlign w:val="superscript"/>
        </w:rPr>
        <w:fldChar w:fldCharType="begin"/>
      </w:r>
      <w:r w:rsidRPr="009001F6">
        <w:rPr>
          <w:vertAlign w:val="superscript"/>
        </w:rPr>
        <w:instrText xml:space="preserve"> ADDIN EN.CITE &lt;EndNote&gt;&lt;Cite&gt;&lt;Author&gt;Holland&lt;/Author&gt;&lt;Year&gt;2014&lt;/Year&gt;&lt;RecNum&gt;2&lt;/RecNum&gt;&lt;DisplayText&gt;[16]&lt;/DisplayText&gt;&lt;record&gt;&lt;rec-number&gt;2&lt;/rec-number&gt;&lt;foreign-keys&gt;&lt;key app="EN" db-id="2s0zpwfdupzz5vea22r52zesva2xtrt0w5vv" timestamp="1456185850"&gt;2&lt;/key&gt;&lt;/foreign-keys&gt;&lt;ref-type name="Journal Article"&gt;17&lt;/ref-type&gt;&lt;contributors&gt;&lt;authors&gt;&lt;author&gt;Holland, AE&lt;/author&gt;&lt;author&gt;Dowman, L&lt;/author&gt;&lt;author&gt;Fiore, J&lt;/author&gt;&lt;author&gt;Brazzale, D&lt;/author&gt;&lt;author&gt;Hill, CJ&lt;/author&gt;&lt;author&gt;McDonald, CF&lt;/author&gt;&lt;/authors&gt;&lt;/contributors&gt;&lt;titles&gt;&lt;title&gt;Cardiorespiratory responses to 6-minute walk test in interstitial lung disease: not always a submaximal test&lt;/title&gt;&lt;secondary-title&gt;Pulmonary Medicine&lt;/secondary-title&gt;&lt;/titles&gt;&lt;periodical&gt;&lt;full-title&gt;Pulmonary Medicine&lt;/full-title&gt;&lt;/periodical&gt;&lt;pages&gt;136&lt;/pages&gt;&lt;volume&gt;14&lt;/volume&gt;&lt;dates&gt;&lt;year&gt;2014&lt;/year&gt;&lt;/dates&gt;&lt;urls&gt;&lt;/urls&gt;&lt;/record&gt;&lt;/Cite&gt;&lt;/EndNote&gt;</w:instrText>
      </w:r>
      <w:r w:rsidRPr="009001F6">
        <w:rPr>
          <w:vertAlign w:val="superscript"/>
        </w:rPr>
        <w:fldChar w:fldCharType="separate"/>
      </w:r>
      <w:r w:rsidRPr="009001F6">
        <w:rPr>
          <w:noProof/>
          <w:vertAlign w:val="superscript"/>
        </w:rPr>
        <w:t>[16]</w:t>
      </w:r>
      <w:r w:rsidRPr="009001F6">
        <w:rPr>
          <w:vertAlign w:val="superscript"/>
        </w:rPr>
        <w:fldChar w:fldCharType="end"/>
      </w:r>
      <w:r w:rsidRPr="006641EA">
        <w:rPr>
          <w:rStyle w:val="StyleTimesNewRoman"/>
        </w:rPr>
        <w:t xml:space="preserve"> A study by Holland et al found the 6MWT to elicit the same or higher VO2peak than CPET in the subpopulation of severe ILD.</w:t>
      </w:r>
      <w:r w:rsidRPr="009001F6">
        <w:rPr>
          <w:vertAlign w:val="superscript"/>
        </w:rPr>
        <w:fldChar w:fldCharType="begin"/>
      </w:r>
      <w:r w:rsidRPr="009001F6">
        <w:rPr>
          <w:vertAlign w:val="superscript"/>
        </w:rPr>
        <w:instrText xml:space="preserve"> ADDIN EN.CITE &lt;EndNote&gt;&lt;Cite&gt;&lt;Author&gt;Holland&lt;/Author&gt;&lt;Year&gt;2014&lt;/Year&gt;&lt;RecNum&gt;2&lt;/RecNum&gt;&lt;DisplayText&gt;[16]&lt;/DisplayText&gt;&lt;record&gt;&lt;rec-number&gt;2&lt;/rec-number&gt;&lt;foreign-keys&gt;&lt;key app="EN" db-id="2s0zpwfdupzz5vea22r52zesva2xtrt0w5vv" timestamp="1456185850"&gt;2&lt;/key&gt;&lt;/foreign-keys&gt;&lt;ref-type name="Journal Article"&gt;17&lt;/ref-type&gt;&lt;contributors&gt;&lt;authors&gt;&lt;author&gt;Holland, AE&lt;/author&gt;&lt;author&gt;Dowman, L&lt;/author&gt;&lt;author&gt;Fiore, J&lt;/author&gt;&lt;author&gt;Brazzale, D&lt;/author&gt;&lt;author&gt;Hill, CJ&lt;/author&gt;&lt;author&gt;McDonald, CF&lt;/author&gt;&lt;/authors&gt;&lt;/contributors&gt;&lt;titles&gt;&lt;title&gt;Cardiorespiratory responses to 6-minute walk test in interstitial lung disease: not always a submaximal test&lt;/title&gt;&lt;secondary-title&gt;Pulmonary Medicine&lt;/secondary-title&gt;&lt;/titles&gt;&lt;periodical&gt;&lt;full-title&gt;Pulmonary Medicine&lt;/full-title&gt;&lt;/periodical&gt;&lt;pages&gt;136&lt;/pages&gt;&lt;volume&gt;14&lt;/volume&gt;&lt;dates&gt;&lt;year&gt;2014&lt;/year&gt;&lt;/dates&gt;&lt;urls&gt;&lt;/urls&gt;&lt;/record&gt;&lt;/Cite&gt;&lt;/EndNote&gt;</w:instrText>
      </w:r>
      <w:r w:rsidRPr="009001F6">
        <w:rPr>
          <w:vertAlign w:val="superscript"/>
        </w:rPr>
        <w:fldChar w:fldCharType="separate"/>
      </w:r>
      <w:r w:rsidRPr="009001F6">
        <w:rPr>
          <w:noProof/>
          <w:vertAlign w:val="superscript"/>
        </w:rPr>
        <w:t>[16]</w:t>
      </w:r>
      <w:r w:rsidRPr="009001F6">
        <w:rPr>
          <w:vertAlign w:val="superscript"/>
        </w:rPr>
        <w:fldChar w:fldCharType="end"/>
      </w:r>
    </w:p>
    <w:p w14:paraId="3856FB1E" w14:textId="77777777" w:rsidR="005B65C7" w:rsidRPr="004B2BA0" w:rsidRDefault="005B65C7" w:rsidP="004B2BA0">
      <w:pPr>
        <w:pStyle w:val="Heading3F"/>
      </w:pPr>
      <w:r w:rsidRPr="004B2BA0">
        <w:t>Other information gained from CPET</w:t>
      </w:r>
    </w:p>
    <w:p w14:paraId="7BEC711B" w14:textId="77777777" w:rsidR="005B65C7" w:rsidRDefault="005B65C7" w:rsidP="00733DE0">
      <w:pPr>
        <w:pStyle w:val="NormalF"/>
        <w:rPr>
          <w:vertAlign w:val="superscript"/>
        </w:rPr>
      </w:pPr>
      <w:r w:rsidRPr="006641EA">
        <w:rPr>
          <w:rStyle w:val="StyleTimesNewRoman"/>
        </w:rPr>
        <w:t>In addition to diagnostic utility, there is evidence that the VE/VCO</w:t>
      </w:r>
      <w:r w:rsidRPr="00077A84">
        <w:rPr>
          <w:vertAlign w:val="subscript"/>
        </w:rPr>
        <w:t>2</w:t>
      </w:r>
      <w:r w:rsidRPr="006641EA">
        <w:rPr>
          <w:rStyle w:val="StyleTimesNewRoman"/>
        </w:rPr>
        <w:t xml:space="preserve"> slope determined from CPET is a good predictor of mortality, particularly in heart failure, structural heart disease and pulmonary vascular disease.</w:t>
      </w:r>
      <w:r w:rsidRPr="00097FD1">
        <w:rPr>
          <w:vertAlign w:val="superscript"/>
        </w:rPr>
        <w:fldChar w:fldCharType="begin"/>
      </w:r>
      <w:r w:rsidRPr="00097FD1">
        <w:rPr>
          <w:vertAlign w:val="superscript"/>
        </w:rPr>
        <w:instrText xml:space="preserve"> ADDIN EN.CITE &lt;EndNote&gt;&lt;Cite&gt;&lt;Author&gt;Arena&lt;/Author&gt;&lt;Year&gt;2011&lt;/Year&gt;&lt;RecNum&gt;9&lt;/RecNum&gt;&lt;DisplayText&gt;[6]&lt;/DisplayText&gt;&lt;record&gt;&lt;rec-number&gt;9&lt;/rec-number&gt;&lt;foreign-keys&gt;&lt;key app="EN" db-id="2s0zpwfdupzz5vea22r52zesva2xtrt0w5vv" timestamp="1456610214"&gt;9&lt;/key&gt;&lt;/foreign-keys&gt;&lt;ref-type name="Journal Article"&gt;17&lt;/ref-type&gt;&lt;contributors&gt;&lt;authors&gt;&lt;author&gt;Arena, R&lt;/author&gt;&lt;author&gt;Siestema, K&lt;/author&gt;&lt;/authors&gt;&lt;/contributors&gt;&lt;titles&gt;&lt;title&gt;Cardiopulmonary Exercise Testing in the Clinical Evaluation of Patients with Heart and Lung Disease&lt;/title&gt;&lt;secondary-title&gt;Circulation&lt;/secondary-title&gt;&lt;/titles&gt;&lt;periodical&gt;&lt;full-title&gt;Circulation&lt;/full-title&gt;&lt;/periodical&gt;&lt;pages&gt;668-680&lt;/pages&gt;&lt;volume&gt;123&lt;/volume&gt;&lt;dates&gt;&lt;year&gt;2011&lt;/year&gt;&lt;/dates&gt;&lt;urls&gt;&lt;/urls&gt;&lt;/record&gt;&lt;/Cite&gt;&lt;/EndNote&gt;</w:instrText>
      </w:r>
      <w:r w:rsidRPr="00097FD1">
        <w:rPr>
          <w:vertAlign w:val="superscript"/>
        </w:rPr>
        <w:fldChar w:fldCharType="separate"/>
      </w:r>
      <w:r w:rsidRPr="00097FD1">
        <w:rPr>
          <w:noProof/>
          <w:vertAlign w:val="superscript"/>
        </w:rPr>
        <w:t>[6]</w:t>
      </w:r>
      <w:r w:rsidRPr="00097FD1">
        <w:rPr>
          <w:vertAlign w:val="superscript"/>
        </w:rPr>
        <w:fldChar w:fldCharType="end"/>
      </w:r>
      <w:r w:rsidRPr="006641EA">
        <w:rPr>
          <w:rStyle w:val="StyleTimesNewRoman"/>
        </w:rPr>
        <w:t xml:space="preserve"> It has particular use in pre-transplantation assessment and risk stratification of heart failure patients and potential predictive value for the risk of adverse events. </w:t>
      </w:r>
      <w:r w:rsidRPr="00097FD1">
        <w:rPr>
          <w:vertAlign w:val="superscript"/>
        </w:rPr>
        <w:fldChar w:fldCharType="begin"/>
      </w:r>
      <w:r w:rsidRPr="00097FD1">
        <w:rPr>
          <w:vertAlign w:val="superscript"/>
        </w:rPr>
        <w:instrText xml:space="preserve"> ADDIN EN.CITE &lt;EndNote&gt;&lt;Cite&gt;&lt;Author&gt;ATS/ACCP&lt;/Author&gt;&lt;Year&gt;2003&lt;/Year&gt;&lt;RecNum&gt;1&lt;/RecNum&gt;&lt;DisplayText&gt;[1]&lt;/DisplayText&gt;&lt;record&gt;&lt;rec-number&gt;1&lt;/rec-number&gt;&lt;foreign-keys&gt;&lt;key app="EN" db-id="2s0zpwfdupzz5vea22r52zesva2xtrt0w5vv" timestamp="1456047133"&gt;1&lt;/key&gt;&lt;/foreign-keys&gt;&lt;ref-type name="Journal Article"&gt;17&lt;/ref-type&gt;&lt;contributors&gt;&lt;authors&gt;&lt;author&gt;ATS/ACCP &lt;/author&gt;&lt;/authors&gt;&lt;/contributors&gt;&lt;titles&gt;&lt;title&gt;ATS/ACCP Statement on Cardiopulmonary Exercise Testing&lt;/title&gt;&lt;secondary-title&gt;American Journal of Respiratory and and Critical Care Medicine&lt;/secondary-title&gt;&lt;/titles&gt;&lt;periodical&gt;&lt;full-title&gt;American Journal of Respiratory and and Critical Care Medicine&lt;/full-title&gt;&lt;/periodical&gt;&lt;pages&gt;211-277&lt;/pages&gt;&lt;volume&gt;167&lt;/volume&gt;&lt;dates&gt;&lt;year&gt;2003&lt;/year&gt;&lt;/dates&gt;&lt;urls&gt;&lt;/urls&gt;&lt;/record&gt;&lt;/Cite&gt;&lt;/EndNote&gt;</w:instrText>
      </w:r>
      <w:r w:rsidRPr="00097FD1">
        <w:rPr>
          <w:vertAlign w:val="superscript"/>
        </w:rPr>
        <w:fldChar w:fldCharType="separate"/>
      </w:r>
      <w:r w:rsidRPr="00097FD1">
        <w:rPr>
          <w:noProof/>
          <w:vertAlign w:val="superscript"/>
        </w:rPr>
        <w:t>[1]</w:t>
      </w:r>
      <w:r w:rsidRPr="00097FD1">
        <w:rPr>
          <w:vertAlign w:val="superscript"/>
        </w:rPr>
        <w:fldChar w:fldCharType="end"/>
      </w:r>
      <w:r w:rsidRPr="006641EA">
        <w:rPr>
          <w:rStyle w:val="StyleTimesNewRoman"/>
        </w:rPr>
        <w:t xml:space="preserve"> Pollentier et al found a moderate correlation between 6MWT and VO</w:t>
      </w:r>
      <w:r w:rsidRPr="00151AB4">
        <w:rPr>
          <w:vertAlign w:val="subscript"/>
        </w:rPr>
        <w:t>2peak</w:t>
      </w:r>
      <w:r w:rsidRPr="006641EA">
        <w:rPr>
          <w:rStyle w:val="StyleTimesNewRoman"/>
        </w:rPr>
        <w:t xml:space="preserve"> in heart failure patients referred for transplantation, but that the former was inferior in terms of predicting long term survival.</w:t>
      </w:r>
      <w:r w:rsidRPr="000A4128">
        <w:rPr>
          <w:vertAlign w:val="superscript"/>
        </w:rPr>
        <w:fldChar w:fldCharType="begin"/>
      </w:r>
      <w:r w:rsidRPr="000A4128">
        <w:rPr>
          <w:vertAlign w:val="superscript"/>
        </w:rPr>
        <w:instrText xml:space="preserve"> ADDIN EN.CITE &lt;EndNote&gt;&lt;Cite&gt;&lt;Author&gt;Pollentier&lt;/Author&gt;&lt;Year&gt;2010&lt;/Year&gt;&lt;RecNum&gt;4&lt;/RecNum&gt;&lt;DisplayText&gt;[17]&lt;/DisplayText&gt;&lt;record&gt;&lt;rec-number&gt;4&lt;/rec-number&gt;&lt;foreign-keys&gt;&lt;key app="EN" db-id="2s0zpwfdupzz5vea22r52zesva2xtrt0w5vv" timestamp="1456286237"&gt;4&lt;/key&gt;&lt;/foreign-keys&gt;&lt;ref-type name="Journal Article"&gt;17&lt;/ref-type&gt;&lt;contributors&gt;&lt;authors&gt;&lt;author&gt;Pollentier, B&lt;/author&gt;&lt;author&gt;Irons, SL&lt;/author&gt;&lt;author&gt;Benedetto, CM&lt;/author&gt;&lt;author&gt;DiBenedetto, A&lt;/author&gt;&lt;author&gt;Loton, D&lt;/author&gt;&lt;author&gt;Seyler, RD&lt;/author&gt;&lt;author&gt;Tych, M&lt;/author&gt;&lt;author&gt;Newton, RA&lt;/author&gt;&lt;/authors&gt;&lt;/contributors&gt;&lt;titles&gt;&lt;title&gt;Examination of the Six Minute Walk Test to Determine Functional Capacity in People with Chronic Heart Failure:: A Systematic Review &lt;/title&gt;&lt;secondary-title&gt;Cardiopulm Phys Ther&lt;/secondary-title&gt;&lt;/titles&gt;&lt;periodical&gt;&lt;full-title&gt;Cardiopulm Phys Ther&lt;/full-title&gt;&lt;/periodical&gt;&lt;pages&gt;13-21&lt;/pages&gt;&lt;volume&gt;21&lt;/volume&gt;&lt;number&gt;1&lt;/number&gt;&lt;dates&gt;&lt;year&gt;2010&lt;/year&gt;&lt;/dates&gt;&lt;urls&gt;&lt;/urls&gt;&lt;/record&gt;&lt;/Cite&gt;&lt;/EndNote&gt;</w:instrText>
      </w:r>
      <w:r w:rsidRPr="000A4128">
        <w:rPr>
          <w:vertAlign w:val="superscript"/>
        </w:rPr>
        <w:fldChar w:fldCharType="separate"/>
      </w:r>
      <w:r w:rsidRPr="000A4128">
        <w:rPr>
          <w:noProof/>
          <w:vertAlign w:val="superscript"/>
        </w:rPr>
        <w:t>[17]</w:t>
      </w:r>
      <w:r w:rsidRPr="000A4128">
        <w:rPr>
          <w:vertAlign w:val="superscript"/>
        </w:rPr>
        <w:fldChar w:fldCharType="end"/>
      </w:r>
    </w:p>
    <w:p w14:paraId="38BC1664" w14:textId="77777777" w:rsidR="006641EA" w:rsidRPr="00CD1271" w:rsidRDefault="005B65C7" w:rsidP="006641EA">
      <w:r w:rsidRPr="006641EA">
        <w:lastRenderedPageBreak/>
        <w:t>CPET also has uses in many other areas, such as rehabilitation and occupational health medicine, although these are beyond the scope of this review.</w:t>
      </w:r>
      <w:r w:rsidR="006641EA" w:rsidRPr="006641EA">
        <w:t xml:space="preserve"> </w:t>
      </w:r>
    </w:p>
    <w:p w14:paraId="22B3BE4A" w14:textId="77777777" w:rsidR="004B2BA0" w:rsidRDefault="00733DE0" w:rsidP="0099709F">
      <w:pPr>
        <w:pStyle w:val="Heading3F"/>
      </w:pPr>
      <w:r>
        <w:t>Comparators with CPET</w:t>
      </w:r>
    </w:p>
    <w:p w14:paraId="6497ED0E" w14:textId="77777777" w:rsidR="006641EA" w:rsidRPr="00CD1271" w:rsidRDefault="005B65C7" w:rsidP="0099709F">
      <w:pPr>
        <w:pStyle w:val="NormalF"/>
      </w:pPr>
      <w:r w:rsidRPr="006641EA">
        <w:t>CPET is often used as the gold standard when assessing the ability of other tests such as the 6MWT to predict functional capacity. Below is a brief overview of two major comparators.</w:t>
      </w:r>
      <w:r w:rsidR="006641EA" w:rsidRPr="006641EA">
        <w:t xml:space="preserve"> </w:t>
      </w:r>
    </w:p>
    <w:p w14:paraId="336E1990" w14:textId="77777777" w:rsidR="005B65C7" w:rsidRPr="001318E0" w:rsidRDefault="005B65C7" w:rsidP="00B51DD8">
      <w:pPr>
        <w:pStyle w:val="Heading4F"/>
        <w:rPr>
          <w:vertAlign w:val="superscript"/>
        </w:rPr>
      </w:pPr>
      <w:r w:rsidRPr="001318E0">
        <w:t>6 minute walk test (6MWT)</w:t>
      </w:r>
    </w:p>
    <w:p w14:paraId="21D77D3C" w14:textId="77777777" w:rsidR="000A5A36" w:rsidRPr="006641EA" w:rsidRDefault="005B65C7" w:rsidP="0099709F">
      <w:pPr>
        <w:pStyle w:val="NormalF"/>
        <w:rPr>
          <w:rStyle w:val="StyleTimesNewRoman"/>
        </w:rPr>
      </w:pPr>
      <w:r w:rsidRPr="006641EA">
        <w:rPr>
          <w:rStyle w:val="StyleTimesNewRoman"/>
        </w:rPr>
        <w:t xml:space="preserve">The 6MWT involves subjects walking as far as possible along a 30 m corridor, and ascertaining the maximum distance covered in 6 minutes. </w:t>
      </w:r>
      <w:r w:rsidRPr="000A5A36">
        <w:rPr>
          <w:vertAlign w:val="superscript"/>
        </w:rPr>
        <w:fldChar w:fldCharType="begin"/>
      </w:r>
      <w:r w:rsidRPr="000A5A36">
        <w:rPr>
          <w:vertAlign w:val="superscript"/>
        </w:rPr>
        <w:instrText xml:space="preserve"> ADDIN EN.CITE &lt;EndNote&gt;&lt;Cite&gt;&lt;Author&gt;Holland&lt;/Author&gt;&lt;Year&gt;2014&lt;/Year&gt;&lt;RecNum&gt;2&lt;/RecNum&gt;&lt;DisplayText&gt;[16]&lt;/DisplayText&gt;&lt;record&gt;&lt;rec-number&gt;2&lt;/rec-number&gt;&lt;foreign-keys&gt;&lt;key app="EN" db-id="2s0zpwfdupzz5vea22r52zesva2xtrt0w5vv" timestamp="1456185850"&gt;2&lt;/key&gt;&lt;/foreign-keys&gt;&lt;ref-type name="Journal Article"&gt;17&lt;/ref-type&gt;&lt;contributors&gt;&lt;authors&gt;&lt;author&gt;Holland, AE&lt;/author&gt;&lt;author&gt;Dowman, L&lt;/author&gt;&lt;author&gt;Fiore, J&lt;/author&gt;&lt;author&gt;Brazzale, D&lt;/author&gt;&lt;author&gt;Hill, CJ&lt;/author&gt;&lt;author&gt;McDonald, CF&lt;/author&gt;&lt;/authors&gt;&lt;/contributors&gt;&lt;titles&gt;&lt;title&gt;Cardiorespiratory responses to 6-minute walk test in interstitial lung disease: not always a submaximal test&lt;/title&gt;&lt;secondary-title&gt;Pulmonary Medicine&lt;/secondary-title&gt;&lt;/titles&gt;&lt;periodical&gt;&lt;full-title&gt;Pulmonary Medicine&lt;/full-title&gt;&lt;/periodical&gt;&lt;pages&gt;136&lt;/pages&gt;&lt;volume&gt;14&lt;/volume&gt;&lt;dates&gt;&lt;year&gt;2014&lt;/year&gt;&lt;/dates&gt;&lt;urls&gt;&lt;/urls&gt;&lt;/record&gt;&lt;/Cite&gt;&lt;/EndNote&gt;</w:instrText>
      </w:r>
      <w:r w:rsidRPr="000A5A36">
        <w:rPr>
          <w:vertAlign w:val="superscript"/>
        </w:rPr>
        <w:fldChar w:fldCharType="separate"/>
      </w:r>
      <w:r w:rsidRPr="000A5A36">
        <w:rPr>
          <w:noProof/>
          <w:vertAlign w:val="superscript"/>
        </w:rPr>
        <w:t>[16]</w:t>
      </w:r>
      <w:r w:rsidRPr="000A5A36">
        <w:rPr>
          <w:vertAlign w:val="superscript"/>
        </w:rPr>
        <w:fldChar w:fldCharType="end"/>
      </w:r>
      <w:r w:rsidRPr="006641EA">
        <w:rPr>
          <w:rStyle w:val="StyleTimesNewRoman"/>
        </w:rPr>
        <w:t xml:space="preserve"> It is a considered a practical and inexpensive test of exercise tolerance and is often used to stage disease and evaluate treatment, particularly where CPET is unavailable or impractical. As a self-paced test, the 6MWT can be heavily influenced by patient or tester motivation, and, in contrast to CPET, is said to be unable to estimate how close a patient is to their maximal capacity.</w:t>
      </w:r>
      <w:r w:rsidRPr="000A5A36">
        <w:rPr>
          <w:vertAlign w:val="superscript"/>
        </w:rPr>
        <w:fldChar w:fldCharType="begin"/>
      </w:r>
      <w:r w:rsidRPr="000A5A36">
        <w:rPr>
          <w:vertAlign w:val="superscript"/>
        </w:rPr>
        <w:instrText xml:space="preserve"> ADDIN EN.CITE &lt;EndNote&gt;&lt;Cite&gt;&lt;Author&gt;Balady&lt;/Author&gt;&lt;Year&gt;2010&lt;/Year&gt;&lt;RecNum&gt;8&lt;/RecNum&gt;&lt;DisplayText&gt;[3]&lt;/DisplayText&gt;&lt;record&gt;&lt;rec-number&gt;8&lt;/rec-number&gt;&lt;foreign-keys&gt;&lt;key app="EN" db-id="2s0zpwfdupzz5vea22r52zesva2xtrt0w5vv" timestamp="1456609971"&gt;8&lt;/key&gt;&lt;/foreign-keys&gt;&lt;ref-type name="Journal Article"&gt;17&lt;/ref-type&gt;&lt;contributors&gt;&lt;authors&gt;&lt;author&gt;Balady, GJ&lt;/author&gt;&lt;author&gt;Arena, R&lt;/author&gt;&lt;author&gt;Siestema, K&lt;/author&gt;&lt;author&gt;Myers, J&lt;/author&gt;&lt;author&gt;Coke, L&lt;/author&gt;&lt;author&gt;Fletcher, GF&lt;/author&gt;&lt;author&gt;Forman, D&lt;/author&gt;&lt;author&gt;Franklin, B&lt;/author&gt;&lt;author&gt;Guazzi, M&lt;/author&gt;&lt;author&gt;Gulati, M&lt;/author&gt;&lt;author&gt;Keteyian, SJ&lt;/author&gt;&lt;author&gt;Lavie, CJ&lt;/author&gt;&lt;author&gt;Macko, R&lt;/author&gt;&lt;author&gt;Mancini, D&lt;/author&gt;&lt;author&gt;Milani, RV&lt;/author&gt;&lt;/authors&gt;&lt;/contributors&gt;&lt;titles&gt;&lt;title&gt;Clinician&amp;apos;s Guide to Cardiopulmonary Exercise Testing in Adults : A Scientific Statement from the American Heart Association &lt;/title&gt;&lt;secondary-title&gt;Circulation&lt;/secondary-title&gt;&lt;/titles&gt;&lt;periodical&gt;&lt;full-title&gt;Circulation&lt;/full-title&gt;&lt;/periodical&gt;&lt;pages&gt;191-225&lt;/pages&gt;&lt;volume&gt;122&lt;/volume&gt;&lt;dates&gt;&lt;year&gt;2010&lt;/year&gt;&lt;/dates&gt;&lt;urls&gt;&lt;/urls&gt;&lt;/record&gt;&lt;/Cite&gt;&lt;/EndNote&gt;</w:instrText>
      </w:r>
      <w:r w:rsidRPr="000A5A36">
        <w:rPr>
          <w:vertAlign w:val="superscript"/>
        </w:rPr>
        <w:fldChar w:fldCharType="separate"/>
      </w:r>
      <w:r w:rsidRPr="000A5A36">
        <w:rPr>
          <w:noProof/>
          <w:vertAlign w:val="superscript"/>
        </w:rPr>
        <w:t>[3]</w:t>
      </w:r>
      <w:r w:rsidRPr="000A5A36">
        <w:rPr>
          <w:vertAlign w:val="superscript"/>
        </w:rPr>
        <w:fldChar w:fldCharType="end"/>
      </w:r>
      <w:r w:rsidRPr="006641EA">
        <w:rPr>
          <w:rStyle w:val="StyleTimesNewRoman"/>
        </w:rPr>
        <w:t xml:space="preserve"> It is generally considered a submaximal test, although some studies do suggest that in particular cases (eg severe interstitial lung disease), the peak VO</w:t>
      </w:r>
      <w:r w:rsidRPr="000A5A36">
        <w:rPr>
          <w:vertAlign w:val="subscript"/>
        </w:rPr>
        <w:t>2</w:t>
      </w:r>
      <w:r w:rsidRPr="006641EA">
        <w:rPr>
          <w:rStyle w:val="StyleTimesNewRoman"/>
        </w:rPr>
        <w:t xml:space="preserve"> elicited in the 6MWT may be comparable that of CPET.</w:t>
      </w:r>
      <w:r w:rsidRPr="000A5A36">
        <w:rPr>
          <w:vertAlign w:val="superscript"/>
        </w:rPr>
        <w:fldChar w:fldCharType="begin"/>
      </w:r>
      <w:r w:rsidRPr="000A5A36">
        <w:rPr>
          <w:vertAlign w:val="superscript"/>
        </w:rPr>
        <w:instrText xml:space="preserve"> ADDIN EN.CITE &lt;EndNote&gt;&lt;Cite&gt;&lt;Author&gt;Sun&lt;/Author&gt;&lt;Year&gt;2002&lt;/Year&gt;&lt;RecNum&gt;7&lt;/RecNum&gt;&lt;DisplayText&gt;[8]&lt;/DisplayText&gt;&lt;record&gt;&lt;rec-number&gt;7&lt;/rec-number&gt;&lt;foreign-keys&gt;&lt;key app="EN" db-id="2s0zpwfdupzz5vea22r52zesva2xtrt0w5vv" timestamp="1456382358"&gt;7&lt;/key&gt;&lt;/foreign-keys&gt;&lt;ref-type name="Journal Article"&gt;17&lt;/ref-type&gt;&lt;contributors&gt;&lt;authors&gt;&lt;author&gt;Sun, X&lt;/author&gt;&lt;author&gt;Hansen, JE&lt;/author&gt;&lt;author&gt;Oudiz, RJ&lt;/author&gt;&lt;author&gt;Wasserman, K&lt;/author&gt;&lt;/authors&gt;&lt;/contributors&gt;&lt;titles&gt;&lt;title&gt;Gas Exchange Detection of Exercise-Induced Right-to-Left Shunt in Patients with Primary Pulmonary Hypertension&lt;/title&gt;&lt;secondary-title&gt;Circulation&lt;/secondary-title&gt;&lt;/titles&gt;&lt;periodical&gt;&lt;full-title&gt;Circulation&lt;/full-title&gt;&lt;/periodical&gt;&lt;pages&gt;54-60&lt;/pages&gt;&lt;volume&gt;105&lt;/volume&gt;&lt;dates&gt;&lt;year&gt;2002&lt;/year&gt;&lt;/dates&gt;&lt;urls&gt;&lt;/urls&gt;&lt;/record&gt;&lt;/Cite&gt;&lt;/EndNote&gt;</w:instrText>
      </w:r>
      <w:r w:rsidRPr="000A5A36">
        <w:rPr>
          <w:vertAlign w:val="superscript"/>
        </w:rPr>
        <w:fldChar w:fldCharType="separate"/>
      </w:r>
      <w:r w:rsidRPr="000A5A36">
        <w:rPr>
          <w:noProof/>
          <w:vertAlign w:val="superscript"/>
        </w:rPr>
        <w:t>[8]</w:t>
      </w:r>
      <w:r w:rsidRPr="000A5A36">
        <w:rPr>
          <w:vertAlign w:val="superscript"/>
        </w:rPr>
        <w:fldChar w:fldCharType="end"/>
      </w:r>
      <w:r w:rsidRPr="006641EA">
        <w:rPr>
          <w:rStyle w:val="StyleTimesNewRoman"/>
        </w:rPr>
        <w:t xml:space="preserve"> There is however, a need for further, higher powered studies to confirm this assertion.</w:t>
      </w:r>
      <w:r w:rsidR="000A5A36" w:rsidRPr="006641EA">
        <w:rPr>
          <w:rStyle w:val="StyleTimesNewRoman"/>
        </w:rPr>
        <w:t xml:space="preserve"> </w:t>
      </w:r>
    </w:p>
    <w:p w14:paraId="62EC2B0E" w14:textId="77777777" w:rsidR="005B65C7" w:rsidRPr="006641EA" w:rsidRDefault="005B65C7" w:rsidP="0099709F">
      <w:pPr>
        <w:pStyle w:val="NormalF"/>
        <w:rPr>
          <w:rStyle w:val="StyleTimesNewRoman"/>
        </w:rPr>
      </w:pPr>
      <w:r w:rsidRPr="006641EA">
        <w:rPr>
          <w:rStyle w:val="StyleTimesNewRoman"/>
        </w:rPr>
        <w:t>Studies have demonstrated consistent correlations between the metabolic parameters of 6MWT and CPET, with varying strengths of association. For example, Sperandio et al</w:t>
      </w:r>
      <w:r w:rsidRPr="00077A84">
        <w:rPr>
          <w:vertAlign w:val="superscript"/>
        </w:rPr>
        <w:fldChar w:fldCharType="begin"/>
      </w:r>
      <w:r>
        <w:rPr>
          <w:vertAlign w:val="superscript"/>
        </w:rPr>
        <w:instrText xml:space="preserve"> ADDIN EN.CITE &lt;EndNote&gt;&lt;Cite&gt;&lt;Author&gt;Sperandio&lt;/Author&gt;&lt;Year&gt;2015 &lt;/Year&gt;&lt;RecNum&gt;11&lt;/RecNum&gt;&lt;DisplayText&gt;[18]&lt;/DisplayText&gt;&lt;record&gt;&lt;rec-number&gt;11&lt;/rec-number&gt;&lt;foreign-keys&gt;&lt;key app="EN" db-id="2s0zpwfdupzz5vea22r52zesva2xtrt0w5vv" timestamp="1456701084"&gt;11&lt;/key&gt;&lt;/foreign-keys&gt;&lt;ref-type name="Journal Article"&gt;17&lt;/ref-type&gt;&lt;contributors&gt;&lt;authors&gt;&lt;author&gt;Sperandio, EF&amp;#xD;Arantes, RL&lt;/author&gt;&lt;author&gt;Matheus, AC&lt;/author&gt;&lt;author&gt;Silva, RP&lt;/author&gt;&lt;author&gt;Lauria, VT&lt;/author&gt;&lt;author&gt;Romiti, M&lt;/author&gt;&lt;author&gt;Gagliardi, ART&lt;/author&gt;&lt;author&gt;Dourado, VZ&lt;/author&gt;&lt;/authors&gt;&lt;/contributors&gt;&lt;titles&gt;&lt;title&gt;Intensity and phsyiological responses to the 6-minute walk test in middle-aged and older adults: a comparison with cardiopulmonary exercise testing&lt;/title&gt;&lt;secondary-title&gt;Braz J Med Biol Res&lt;/secondary-title&gt;&lt;/titles&gt;&lt;periodical&gt;&lt;full-title&gt;Braz J Med Biol Res&lt;/full-title&gt;&lt;/periodical&gt;&lt;pages&gt;349-353&lt;/pages&gt;&lt;volume&gt;48&lt;/volume&gt;&lt;number&gt;4&lt;/number&gt;&lt;dates&gt;&lt;year&gt;2015 &lt;/year&gt;&lt;/dates&gt;&lt;urls&gt;&lt;/urls&gt;&lt;/record&gt;&lt;/Cite&gt;&lt;/EndNote&gt;</w:instrText>
      </w:r>
      <w:r w:rsidRPr="00077A84">
        <w:rPr>
          <w:vertAlign w:val="superscript"/>
        </w:rPr>
        <w:fldChar w:fldCharType="separate"/>
      </w:r>
      <w:r>
        <w:rPr>
          <w:noProof/>
          <w:vertAlign w:val="superscript"/>
        </w:rPr>
        <w:t>[18]</w:t>
      </w:r>
      <w:r w:rsidRPr="00077A84">
        <w:rPr>
          <w:vertAlign w:val="superscript"/>
        </w:rPr>
        <w:fldChar w:fldCharType="end"/>
      </w:r>
      <w:r w:rsidRPr="006641EA">
        <w:rPr>
          <w:rStyle w:val="StyleTimesNewRoman"/>
        </w:rPr>
        <w:t xml:space="preserve"> in 2015 found that the VO</w:t>
      </w:r>
      <w:r w:rsidRPr="00500CE5">
        <w:rPr>
          <w:vertAlign w:val="subscript"/>
        </w:rPr>
        <w:t>2peak</w:t>
      </w:r>
      <w:r w:rsidRPr="006641EA">
        <w:rPr>
          <w:rStyle w:val="StyleTimesNewRoman"/>
        </w:rPr>
        <w:t xml:space="preserve"> in the 6MWT corresponded to 78+/-13% of that in CPET, whilst maximum heart rate corresponded to 80 +/-23% of that in CPET. A year earlier, in a study comprising patients with interstitial lung disease, Holland et al</w:t>
      </w:r>
      <w:r w:rsidRPr="00077A84">
        <w:rPr>
          <w:vertAlign w:val="superscript"/>
        </w:rPr>
        <w:fldChar w:fldCharType="begin"/>
      </w:r>
      <w:r>
        <w:rPr>
          <w:vertAlign w:val="superscript"/>
        </w:rPr>
        <w:instrText xml:space="preserve"> ADDIN EN.CITE &lt;EndNote&gt;&lt;Cite&gt;&lt;Author&gt;Holland&lt;/Author&gt;&lt;Year&gt;2014&lt;/Year&gt;&lt;RecNum&gt;2&lt;/RecNum&gt;&lt;DisplayText&gt;[16]&lt;/DisplayText&gt;&lt;record&gt;&lt;rec-number&gt;2&lt;/rec-number&gt;&lt;foreign-keys&gt;&lt;key app="EN" db-id="2s0zpwfdupzz5vea22r52zesva2xtrt0w5vv" timestamp="1456185850"&gt;2&lt;/key&gt;&lt;/foreign-keys&gt;&lt;ref-type name="Journal Article"&gt;17&lt;/ref-type&gt;&lt;contributors&gt;&lt;authors&gt;&lt;author&gt;Holland, AE&lt;/author&gt;&lt;author&gt;Dowman, L&lt;/author&gt;&lt;author&gt;Fiore, J&lt;/author&gt;&lt;author&gt;Brazzale, D&lt;/author&gt;&lt;author&gt;Hill, CJ&lt;/author&gt;&lt;author&gt;McDonald, CF&lt;/author&gt;&lt;/authors&gt;&lt;/contributors&gt;&lt;titles&gt;&lt;title&gt;Cardiorespiratory responses to 6-minute walk test in interstitial lung disease: not always a submaximal test&lt;/title&gt;&lt;secondary-title&gt;Pulmonary Medicine&lt;/secondary-title&gt;&lt;/titles&gt;&lt;periodical&gt;&lt;full-title&gt;Pulmonary Medicine&lt;/full-title&gt;&lt;/periodical&gt;&lt;pages&gt;136&lt;/pages&gt;&lt;volume&gt;14&lt;/volume&gt;&lt;dates&gt;&lt;year&gt;2014&lt;/year&gt;&lt;/dates&gt;&lt;urls&gt;&lt;/urls&gt;&lt;/record&gt;&lt;/Cite&gt;&lt;/EndNote&gt;</w:instrText>
      </w:r>
      <w:r w:rsidRPr="00077A84">
        <w:rPr>
          <w:vertAlign w:val="superscript"/>
        </w:rPr>
        <w:fldChar w:fldCharType="separate"/>
      </w:r>
      <w:r>
        <w:rPr>
          <w:noProof/>
          <w:vertAlign w:val="superscript"/>
        </w:rPr>
        <w:t>[16]</w:t>
      </w:r>
      <w:r w:rsidRPr="00077A84">
        <w:rPr>
          <w:vertAlign w:val="superscript"/>
        </w:rPr>
        <w:fldChar w:fldCharType="end"/>
      </w:r>
      <w:r w:rsidRPr="006641EA">
        <w:rPr>
          <w:rStyle w:val="StyleTimesNewRoman"/>
        </w:rPr>
        <w:t xml:space="preserve"> found 6MWT VO</w:t>
      </w:r>
      <w:r w:rsidRPr="00500CE5">
        <w:rPr>
          <w:vertAlign w:val="subscript"/>
        </w:rPr>
        <w:t>2peak</w:t>
      </w:r>
      <w:r w:rsidRPr="006641EA">
        <w:rPr>
          <w:rStyle w:val="StyleTimesNewRoman"/>
        </w:rPr>
        <w:t xml:space="preserve"> to average 94% of CPET VO</w:t>
      </w:r>
      <w:r w:rsidRPr="00500CE5">
        <w:rPr>
          <w:vertAlign w:val="subscript"/>
        </w:rPr>
        <w:t>2peak</w:t>
      </w:r>
      <w:r w:rsidRPr="006641EA">
        <w:rPr>
          <w:rStyle w:val="StyleTimesNewRoman"/>
        </w:rPr>
        <w:t>, with much lower correlation between other parameters. There is evidence that the relationship between 6MWT and CPET variables is much weaker in specific populations, such as patients with cerebral palsy.</w:t>
      </w:r>
      <w:r w:rsidRPr="007253D7">
        <w:rPr>
          <w:vertAlign w:val="superscript"/>
        </w:rPr>
        <w:fldChar w:fldCharType="begin"/>
      </w:r>
      <w:r>
        <w:rPr>
          <w:vertAlign w:val="superscript"/>
        </w:rPr>
        <w:instrText xml:space="preserve"> ADDIN EN.CITE &lt;EndNote&gt;&lt;Cite&gt;&lt;Author&gt;Slaman&lt;/Author&gt;&lt;Year&gt;2013&lt;/Year&gt;&lt;RecNum&gt;33&lt;/RecNum&gt;&lt;DisplayText&gt;[19]&lt;/DisplayText&gt;&lt;record&gt;&lt;rec-number&gt;33&lt;/rec-number&gt;&lt;foreign-keys&gt;&lt;key app="EN" db-id="2s0zpwfdupzz5vea22r52zesva2xtrt0w5vv" timestamp="1458007318"&gt;33&lt;/key&gt;&lt;/foreign-keys&gt;&lt;ref-type name="Journal Article"&gt;17&lt;/ref-type&gt;&lt;contributors&gt;&lt;authors&gt;&lt;author&gt;Slaman, J&lt;/author&gt;&lt;author&gt;Dallmejer, A&lt;/author&gt;&lt;author&gt;Stam, H&lt;/author&gt;&lt;author&gt;Russchen, H&lt;/author&gt;&lt;author&gt;Roebroeck, M&lt;/author&gt;&lt;author&gt;van den Berg-Emons, R&lt;/author&gt;&lt;/authors&gt;&lt;/contributors&gt;&lt;titles&gt;&lt;title&gt;The six-minute walk test cannot predict peak cardiopulmonary fitness in ambulatory adolescents and young adults with cerebral palsy&lt;/title&gt;&lt;secondary-title&gt;Arch Phys Med Rehabil&lt;/secondary-title&gt;&lt;/titles&gt;&lt;periodical&gt;&lt;full-title&gt;Arch Phys Med Rehabil&lt;/full-title&gt;&lt;/periodical&gt;&lt;pages&gt;2227-33&lt;/pages&gt;&lt;volume&gt;94&lt;/volume&gt;&lt;number&gt;11&lt;/number&gt;&lt;dates&gt;&lt;year&gt;2013&lt;/year&gt;&lt;/dates&gt;&lt;urls&gt;&lt;/urls&gt;&lt;/record&gt;&lt;/Cite&gt;&lt;/EndNote&gt;</w:instrText>
      </w:r>
      <w:r w:rsidRPr="007253D7">
        <w:rPr>
          <w:vertAlign w:val="superscript"/>
        </w:rPr>
        <w:fldChar w:fldCharType="separate"/>
      </w:r>
      <w:r>
        <w:rPr>
          <w:noProof/>
          <w:vertAlign w:val="superscript"/>
        </w:rPr>
        <w:t>[19]</w:t>
      </w:r>
      <w:r w:rsidRPr="007253D7">
        <w:rPr>
          <w:vertAlign w:val="superscript"/>
        </w:rPr>
        <w:fldChar w:fldCharType="end"/>
      </w:r>
      <w:r w:rsidRPr="006641EA">
        <w:rPr>
          <w:rStyle w:val="StyleTimesNewRoman"/>
        </w:rPr>
        <w:t xml:space="preserve"> It appears that whilst the 6MWT is able to provide some information relating to functional ability, CPET is able to provide specific and detailed measurements of maximal exercise performance.</w:t>
      </w:r>
      <w:r w:rsidRPr="007253D7">
        <w:rPr>
          <w:vertAlign w:val="superscript"/>
        </w:rPr>
        <w:fldChar w:fldCharType="begin"/>
      </w:r>
      <w:r>
        <w:rPr>
          <w:vertAlign w:val="superscript"/>
        </w:rPr>
        <w:instrText xml:space="preserve"> ADDIN EN.CITE &lt;EndNote&gt;&lt;Cite&gt;&lt;Author&gt;Ciftci&lt;/Author&gt;&lt;Year&gt;2014&lt;/Year&gt;&lt;RecNum&gt;30&lt;/RecNum&gt;&lt;DisplayText&gt;[20]&lt;/DisplayText&gt;&lt;record&gt;&lt;rec-number&gt;30&lt;/rec-number&gt;&lt;foreign-keys&gt;&lt;key app="EN" db-id="2s0zpwfdupzz5vea22r52zesva2xtrt0w5vv" timestamp="1457998948"&gt;30&lt;/key&gt;&lt;/foreign-keys&gt;&lt;ref-type name="Journal Article"&gt;17&lt;/ref-type&gt;&lt;contributors&gt;&lt;authors&gt;&lt;author&gt;Ciftci, F&lt;/author&gt;&lt;author&gt;Sen, E&lt;/author&gt;&lt;author&gt;Akkoca, YO&lt;/author&gt;&lt;author&gt;Saryal, S&lt;/author&gt;&lt;/authors&gt;&lt;/contributors&gt;&lt;titles&gt;&lt;title&gt;A comparison of cardiopulmonary exercise test and 6 minute walking test in determination of exercise capacity in chronic obstructive pulmonary disease&lt;/title&gt;&lt;secondary-title&gt;Tuberk Toraks&lt;/secondary-title&gt;&lt;/titles&gt;&lt;periodical&gt;&lt;full-title&gt;Tuberk Toraks&lt;/full-title&gt;&lt;/periodical&gt;&lt;pages&gt;259-66&lt;/pages&gt;&lt;volume&gt;62&lt;/volume&gt;&lt;number&gt;4&lt;/number&gt;&lt;dates&gt;&lt;year&gt;2014&lt;/year&gt;&lt;/dates&gt;&lt;urls&gt;&lt;/urls&gt;&lt;/record&gt;&lt;/Cite&gt;&lt;/EndNote&gt;</w:instrText>
      </w:r>
      <w:r w:rsidRPr="007253D7">
        <w:rPr>
          <w:vertAlign w:val="superscript"/>
        </w:rPr>
        <w:fldChar w:fldCharType="separate"/>
      </w:r>
      <w:r>
        <w:rPr>
          <w:noProof/>
          <w:vertAlign w:val="superscript"/>
        </w:rPr>
        <w:t>[20]</w:t>
      </w:r>
      <w:r w:rsidRPr="007253D7">
        <w:rPr>
          <w:vertAlign w:val="superscript"/>
        </w:rPr>
        <w:fldChar w:fldCharType="end"/>
      </w:r>
      <w:r w:rsidRPr="006641EA">
        <w:rPr>
          <w:rStyle w:val="StyleTimesNewRoman"/>
        </w:rPr>
        <w:t xml:space="preserve"> Some studies have employed the use of predictive equations to enable an estimate of peak VO</w:t>
      </w:r>
      <w:r w:rsidRPr="00656D31">
        <w:rPr>
          <w:vertAlign w:val="subscript"/>
        </w:rPr>
        <w:t>2</w:t>
      </w:r>
      <w:r w:rsidRPr="006641EA">
        <w:rPr>
          <w:rStyle w:val="StyleTimesNewRoman"/>
        </w:rPr>
        <w:t xml:space="preserve"> from 6MWT results. </w:t>
      </w:r>
      <w:r w:rsidRPr="007253D7">
        <w:rPr>
          <w:vertAlign w:val="superscript"/>
        </w:rPr>
        <w:fldChar w:fldCharType="begin"/>
      </w:r>
      <w:r>
        <w:rPr>
          <w:vertAlign w:val="superscript"/>
        </w:rPr>
        <w:instrText xml:space="preserve"> ADDIN EN.CITE &lt;EndNote&gt;&lt;Cite&gt;&lt;Author&gt;Sperandio&lt;/Author&gt;&lt;Year&gt;2015 &lt;/Year&gt;&lt;RecNum&gt;11&lt;/RecNum&gt;&lt;DisplayText&gt;[18]&lt;/DisplayText&gt;&lt;record&gt;&lt;rec-number&gt;11&lt;/rec-number&gt;&lt;foreign-keys&gt;&lt;key app="EN" db-id="2s0zpwfdupzz5vea22r52zesva2xtrt0w5vv" timestamp="1456701084"&gt;11&lt;/key&gt;&lt;/foreign-keys&gt;&lt;ref-type name="Journal Article"&gt;17&lt;/ref-type&gt;&lt;contributors&gt;&lt;authors&gt;&lt;author&gt;Sperandio, EF&amp;#xD;Arantes, RL&lt;/author&gt;&lt;author&gt;Matheus, AC&lt;/author&gt;&lt;author&gt;Silva, RP&lt;/author&gt;&lt;author&gt;Lauria, VT&lt;/author&gt;&lt;author&gt;Romiti, M&lt;/author&gt;&lt;author&gt;Gagliardi, ART&lt;/author&gt;&lt;author&gt;Dourado, VZ&lt;/author&gt;&lt;/authors&gt;&lt;/contributors&gt;&lt;titles&gt;&lt;title&gt;Intensity and phsyiological responses to the 6-minute walk test in middle-aged and older adults: a comparison with cardiopulmonary exercise testing&lt;/title&gt;&lt;secondary-title&gt;Braz J Med Biol Res&lt;/secondary-title&gt;&lt;/titles&gt;&lt;periodical&gt;&lt;full-title&gt;Braz J Med Biol Res&lt;/full-title&gt;&lt;/periodical&gt;&lt;pages&gt;349-353&lt;/pages&gt;&lt;volume&gt;48&lt;/volume&gt;&lt;number&gt;4&lt;/number&gt;&lt;dates&gt;&lt;year&gt;2015 &lt;/year&gt;&lt;/dates&gt;&lt;urls&gt;&lt;/urls&gt;&lt;/record&gt;&lt;/Cite&gt;&lt;/EndNote&gt;</w:instrText>
      </w:r>
      <w:r w:rsidRPr="007253D7">
        <w:rPr>
          <w:vertAlign w:val="superscript"/>
        </w:rPr>
        <w:fldChar w:fldCharType="separate"/>
      </w:r>
      <w:r>
        <w:rPr>
          <w:noProof/>
          <w:vertAlign w:val="superscript"/>
        </w:rPr>
        <w:t>[18]</w:t>
      </w:r>
      <w:r w:rsidRPr="007253D7">
        <w:rPr>
          <w:vertAlign w:val="superscript"/>
        </w:rPr>
        <w:fldChar w:fldCharType="end"/>
      </w:r>
      <w:r w:rsidRPr="006641EA">
        <w:rPr>
          <w:rStyle w:val="StyleTimesNewRoman"/>
        </w:rPr>
        <w:t xml:space="preserve"> A systematic review by Kirkham et al in 2015 however, found poor to moderate agreement between measured peak VO</w:t>
      </w:r>
      <w:r w:rsidRPr="000622EB">
        <w:rPr>
          <w:vertAlign w:val="subscript"/>
        </w:rPr>
        <w:t>2</w:t>
      </w:r>
      <w:r w:rsidRPr="006641EA">
        <w:rPr>
          <w:rStyle w:val="StyleTimesNewRoman"/>
        </w:rPr>
        <w:t xml:space="preserve"> and peak work rate and estimates from equations using 6MWT parameters. </w:t>
      </w:r>
      <w:r w:rsidRPr="007253D7">
        <w:rPr>
          <w:vertAlign w:val="superscript"/>
        </w:rPr>
        <w:fldChar w:fldCharType="begin"/>
      </w:r>
      <w:r>
        <w:rPr>
          <w:vertAlign w:val="superscript"/>
        </w:rPr>
        <w:instrText xml:space="preserve"> ADDIN EN.CITE &lt;EndNote&gt;&lt;Cite&gt;&lt;Author&gt;Kirkham&lt;/Author&gt;&lt;Year&gt;2015&lt;/Year&gt;&lt;RecNum&gt;32&lt;/RecNum&gt;&lt;DisplayText&gt;[21]&lt;/DisplayText&gt;&lt;record&gt;&lt;rec-number&gt;32&lt;/rec-number&gt;&lt;foreign-keys&gt;&lt;key app="EN" db-id="2s0zpwfdupzz5vea22r52zesva2xtrt0w5vv" timestamp="1458006386"&gt;32&lt;/key&gt;&lt;/foreign-keys&gt;&lt;ref-type name="Journal Article"&gt;17&lt;/ref-type&gt;&lt;contributors&gt;&lt;authors&gt;&lt;author&gt;Kirkham, AA&lt;/author&gt;&lt;author&gt;Pauhl, KE&amp;#xD;Elliott, RM&lt;/author&gt;&lt;author&gt;Scott, JA&lt;/author&gt;&lt;author&gt;Doria, SC&lt;/author&gt;&lt;author&gt;Davidson, HK&lt;/author&gt;&lt;author&gt;Neil-Sztramko, SE&lt;/author&gt;&lt;author&gt;Campbell, KL&lt;/author&gt;&lt;author&gt;Camp, PG&lt;/author&gt;&lt;/authors&gt;&lt;/contributors&gt;&lt;titles&gt;&lt;title&gt;Utility of Equations to Estimate Peak Oxygen Uptake and Work Rate From a 6-Minute Walk Test in Patients with COPD in a Clinical Setting&lt;/title&gt;&lt;secondary-title&gt;Journal of CArdiopulmonary Rehabilitation and Prevention&lt;/secondary-title&gt;&lt;/titles&gt;&lt;periodical&gt;&lt;full-title&gt;Journal of CArdiopulmonary Rehabilitation and Prevention&lt;/full-title&gt;&lt;/periodical&gt;&lt;pages&gt;431-438&lt;/pages&gt;&lt;volume&gt;35&lt;/volume&gt;&lt;dates&gt;&lt;year&gt;2015&lt;/year&gt;&lt;/dates&gt;&lt;urls&gt;&lt;/urls&gt;&lt;/record&gt;&lt;/Cite&gt;&lt;/EndNote&gt;</w:instrText>
      </w:r>
      <w:r w:rsidRPr="007253D7">
        <w:rPr>
          <w:vertAlign w:val="superscript"/>
        </w:rPr>
        <w:fldChar w:fldCharType="separate"/>
      </w:r>
      <w:r>
        <w:rPr>
          <w:noProof/>
          <w:vertAlign w:val="superscript"/>
        </w:rPr>
        <w:t>[21]</w:t>
      </w:r>
      <w:r w:rsidRPr="007253D7">
        <w:rPr>
          <w:vertAlign w:val="superscript"/>
        </w:rPr>
        <w:fldChar w:fldCharType="end"/>
      </w:r>
      <w:r w:rsidRPr="006641EA">
        <w:rPr>
          <w:rStyle w:val="StyleTimesNewRoman"/>
        </w:rPr>
        <w:t xml:space="preserve"> It must be noted that this review was restricted to COPD patients, indicating a need for further evidence as to the utility of predictive equations in other population groups.</w:t>
      </w:r>
    </w:p>
    <w:p w14:paraId="193CA423" w14:textId="77777777" w:rsidR="00FE2379" w:rsidRPr="00E172E7" w:rsidRDefault="005B65C7" w:rsidP="0099709F">
      <w:pPr>
        <w:pStyle w:val="NormalF"/>
      </w:pPr>
      <w:r w:rsidRPr="006641EA">
        <w:rPr>
          <w:rStyle w:val="StyleTimesNewRoman"/>
        </w:rPr>
        <w:t>As mentioned, although studies consistently report a correlation between the two tests, the degree of association found is variable both between and within specific disease groups. Though plentiful, studies have tended to contain small numbers of subjects and other potential methodological weaknesses that make a quantification of association difficult. It is the overwhelming view that the 6MWT, whilst providing valuable information, is still a submaximal test and is not a blanket substitute for CPET. The American Thoracic Society’s view is that the 6MWT is unable to determine peak oxygen uptake, diagnose causes of dyspnoea on exertion, or evaluate mechanisms of exercise limitation, and information derived from it should be considered as complementary to, and not a replacement for, CPET.</w:t>
      </w:r>
      <w:r w:rsidRPr="008C170A">
        <w:rPr>
          <w:vertAlign w:val="superscript"/>
        </w:rPr>
        <w:fldChar w:fldCharType="begin"/>
      </w:r>
      <w:r w:rsidRPr="008C170A">
        <w:rPr>
          <w:vertAlign w:val="superscript"/>
        </w:rPr>
        <w:instrText xml:space="preserve"> ADDIN EN.CITE &lt;EndNote&gt;&lt;Cite&gt;&lt;Author&gt;ATS&lt;/Author&gt;&lt;Year&gt;2002&lt;/Year&gt;&lt;RecNum&gt;38&lt;/RecNum&gt;&lt;DisplayText&gt;[22]&lt;/DisplayText&gt;&lt;record&gt;&lt;rec-number&gt;38&lt;/rec-number&gt;&lt;foreign-keys&gt;&lt;key app="EN" db-id="2s0zpwfdupzz5vea22r52zesva2xtrt0w5vv" timestamp="1458115262"&gt;38&lt;/key&gt;&lt;/foreign-keys&gt;&lt;ref-type name="Journal Article"&gt;17&lt;/ref-type&gt;&lt;contributors&gt;&lt;authors&gt;&lt;author&gt;ATS&lt;/author&gt;&lt;/authors&gt;&lt;/contributors&gt;&lt;titles&gt;&lt;title&gt;ATS Statement: Guidelines for the Six-Minute Walk Test&lt;/title&gt;&lt;secondary-title&gt;Am J Respir Crit Care Med&lt;/secondary-title&gt;&lt;/titles&gt;&lt;periodical&gt;&lt;full-title&gt;Am J Respir Crit Care Med&lt;/full-title&gt;&lt;/periodical&gt;&lt;pages&gt;111-117&lt;/pages&gt;&lt;volume&gt;166&lt;/volume&gt;&lt;dates&gt;&lt;year&gt;2002&lt;/year&gt;&lt;/dates&gt;&lt;urls&gt;&lt;/urls&gt;&lt;/record&gt;&lt;/Cite&gt;&lt;/EndNote&gt;</w:instrText>
      </w:r>
      <w:r w:rsidRPr="008C170A">
        <w:rPr>
          <w:vertAlign w:val="superscript"/>
        </w:rPr>
        <w:fldChar w:fldCharType="separate"/>
      </w:r>
      <w:r w:rsidRPr="008C170A">
        <w:rPr>
          <w:noProof/>
          <w:vertAlign w:val="superscript"/>
        </w:rPr>
        <w:t>[22]</w:t>
      </w:r>
      <w:r w:rsidRPr="008C170A">
        <w:rPr>
          <w:vertAlign w:val="superscript"/>
        </w:rPr>
        <w:fldChar w:fldCharType="end"/>
      </w:r>
    </w:p>
    <w:p w14:paraId="46718358" w14:textId="77777777" w:rsidR="005B65C7" w:rsidRPr="00077A84" w:rsidRDefault="005B65C7" w:rsidP="0099709F">
      <w:pPr>
        <w:pStyle w:val="Heading4F"/>
      </w:pPr>
      <w:r w:rsidRPr="00077A84">
        <w:t>Incremental Shuttle Walk test (ISWT)</w:t>
      </w:r>
    </w:p>
    <w:p w14:paraId="0BC89C64" w14:textId="77777777" w:rsidR="005B65C7" w:rsidRPr="006641EA" w:rsidRDefault="005B65C7" w:rsidP="0099709F">
      <w:pPr>
        <w:pStyle w:val="NormalF"/>
        <w:rPr>
          <w:rStyle w:val="StyleTimesNewRoman"/>
        </w:rPr>
      </w:pPr>
      <w:r w:rsidRPr="006641EA">
        <w:rPr>
          <w:rStyle w:val="StyleTimesNewRoman"/>
        </w:rPr>
        <w:lastRenderedPageBreak/>
        <w:t>This test records distance completed, where patients are required to walk a series of 10 m ‘shuttles’ with incrementally decreasing times in which to complete each shuttle. The test continues until the patient is unable to complete the shuttle in the required time. Measurements of resting and recovery heart rate, oxygen saturations and arterial pressures are recorded.</w:t>
      </w:r>
      <w:r w:rsidRPr="007A04A7">
        <w:rPr>
          <w:vertAlign w:val="superscript"/>
        </w:rPr>
        <w:fldChar w:fldCharType="begin"/>
      </w:r>
      <w:r w:rsidRPr="007A04A7">
        <w:rPr>
          <w:vertAlign w:val="superscript"/>
        </w:rPr>
        <w:instrText xml:space="preserve"> ADDIN EN.CITE &lt;EndNote&gt;&lt;Cite&gt;&lt;Author&gt;Struthers&lt;/Author&gt;&lt;Year&gt;2008&lt;/Year&gt;&lt;RecNum&gt;12&lt;/RecNum&gt;&lt;DisplayText&gt;[4]&lt;/DisplayText&gt;&lt;record&gt;&lt;rec-number&gt;12&lt;/rec-number&gt;&lt;foreign-keys&gt;&lt;key app="EN" db-id="2s0zpwfdupzz5vea22r52zesva2xtrt0w5vv" timestamp="1456705502"&gt;12&lt;/key&gt;&lt;/foreign-keys&gt;&lt;ref-type name="Journal Article"&gt;17&lt;/ref-type&gt;&lt;contributors&gt;&lt;authors&gt;&lt;author&gt;Struthers, R&lt;/author&gt;&lt;author&gt;Erasmus, P&lt;/author&gt;&lt;author&gt;Holmes, K&lt;/author&gt;&lt;author&gt;Warman, P&lt;/author&gt;&lt;author&gt;Collingwood, A&lt;/author&gt;&lt;author&gt;Sneyd, JR&lt;/author&gt;&lt;/authors&gt;&lt;/contributors&gt;&lt;titles&gt;&lt;title&gt;Assessing fitness for surgery: a comparison of questionnaire, incremental shuttle walk, and cardiopulmonary exercise testing in general surgical patients &lt;/title&gt;&lt;secondary-title&gt;British Journal of Anaesthesia&lt;/secondary-title&gt;&lt;/titles&gt;&lt;periodical&gt;&lt;full-title&gt;British Journal of Anaesthesia&lt;/full-title&gt;&lt;/periodical&gt;&lt;pages&gt;774-80&lt;/pages&gt;&lt;volume&gt;101&lt;/volume&gt;&lt;number&gt;6&lt;/number&gt;&lt;dates&gt;&lt;year&gt;2008&lt;/year&gt;&lt;/dates&gt;&lt;urls&gt;&lt;/urls&gt;&lt;/record&gt;&lt;/Cite&gt;&lt;/EndNote&gt;</w:instrText>
      </w:r>
      <w:r w:rsidRPr="007A04A7">
        <w:rPr>
          <w:vertAlign w:val="superscript"/>
        </w:rPr>
        <w:fldChar w:fldCharType="separate"/>
      </w:r>
      <w:r w:rsidRPr="007A04A7">
        <w:rPr>
          <w:noProof/>
          <w:vertAlign w:val="superscript"/>
        </w:rPr>
        <w:t>[4]</w:t>
      </w:r>
      <w:r w:rsidRPr="007A04A7">
        <w:rPr>
          <w:vertAlign w:val="superscript"/>
        </w:rPr>
        <w:fldChar w:fldCharType="end"/>
      </w:r>
      <w:r w:rsidRPr="006641EA">
        <w:rPr>
          <w:rStyle w:val="StyleTimesNewRoman"/>
        </w:rPr>
        <w:t xml:space="preserve"> The American Thoracic Society considers the shuttle walk test to have a better correlation with peak oxygen uptake than the 6MWT, although notes the comparative lack of validation, reduced usage and greater potential for cardiovascular problems.</w:t>
      </w:r>
      <w:r w:rsidRPr="00660529">
        <w:rPr>
          <w:vertAlign w:val="superscript"/>
        </w:rPr>
        <w:fldChar w:fldCharType="begin"/>
      </w:r>
      <w:r w:rsidRPr="00660529">
        <w:rPr>
          <w:vertAlign w:val="superscript"/>
        </w:rPr>
        <w:instrText xml:space="preserve"> ADDIN EN.CITE &lt;EndNote&gt;&lt;Cite&gt;&lt;Author&gt;ATS&lt;/Author&gt;&lt;Year&gt;2002&lt;/Year&gt;&lt;RecNum&gt;38&lt;/RecNum&gt;&lt;DisplayText&gt;[22]&lt;/DisplayText&gt;&lt;record&gt;&lt;rec-number&gt;38&lt;/rec-number&gt;&lt;foreign-keys&gt;&lt;key app="EN" db-id="2s0zpwfdupzz5vea22r52zesva2xtrt0w5vv" timestamp="1458115262"&gt;38&lt;/key&gt;&lt;/foreign-keys&gt;&lt;ref-type name="Journal Article"&gt;17&lt;/ref-type&gt;&lt;contributors&gt;&lt;authors&gt;&lt;author&gt;ATS&lt;/author&gt;&lt;/authors&gt;&lt;/contributors&gt;&lt;titles&gt;&lt;title&gt;ATS Statement: Guidelines for the Six-Minute Walk Test&lt;/title&gt;&lt;secondary-title&gt;Am J Respir Crit Care Med&lt;/secondary-title&gt;&lt;/titles&gt;&lt;periodical&gt;&lt;full-title&gt;Am J Respir Crit Care Med&lt;/full-title&gt;&lt;/periodical&gt;&lt;pages&gt;111-117&lt;/pages&gt;&lt;volume&gt;166&lt;/volume&gt;&lt;dates&gt;&lt;year&gt;2002&lt;/year&gt;&lt;/dates&gt;&lt;urls&gt;&lt;/urls&gt;&lt;/record&gt;&lt;/Cite&gt;&lt;/EndNote&gt;</w:instrText>
      </w:r>
      <w:r w:rsidRPr="00660529">
        <w:rPr>
          <w:vertAlign w:val="superscript"/>
        </w:rPr>
        <w:fldChar w:fldCharType="separate"/>
      </w:r>
      <w:r w:rsidRPr="00660529">
        <w:rPr>
          <w:noProof/>
          <w:vertAlign w:val="superscript"/>
        </w:rPr>
        <w:t>[22]</w:t>
      </w:r>
      <w:r w:rsidRPr="00660529">
        <w:rPr>
          <w:vertAlign w:val="superscript"/>
        </w:rPr>
        <w:fldChar w:fldCharType="end"/>
      </w:r>
      <w:r w:rsidRPr="006641EA">
        <w:rPr>
          <w:rStyle w:val="StyleTimesNewRoman"/>
        </w:rPr>
        <w:t xml:space="preserve"> </w:t>
      </w:r>
    </w:p>
    <w:p w14:paraId="2A245E81" w14:textId="77777777" w:rsidR="005B65C7" w:rsidRPr="006641EA" w:rsidRDefault="005B65C7" w:rsidP="00733DE0">
      <w:pPr>
        <w:pStyle w:val="NormalF"/>
        <w:rPr>
          <w:rStyle w:val="StyleTimesNewRoman"/>
        </w:rPr>
      </w:pPr>
      <w:r w:rsidRPr="006641EA">
        <w:rPr>
          <w:rStyle w:val="StyleTimesNewRoman"/>
        </w:rPr>
        <w:t>One study by De Boer et al found a strong correlation between MSWT distance and measured peak VO2 and between maximum heart rate during MSWT and CPET in patients with sarcoidosis.</w:t>
      </w:r>
      <w:r w:rsidRPr="00DA0A2E">
        <w:rPr>
          <w:vertAlign w:val="superscript"/>
        </w:rPr>
        <w:fldChar w:fldCharType="begin"/>
      </w:r>
      <w:r w:rsidRPr="00DA0A2E">
        <w:rPr>
          <w:vertAlign w:val="superscript"/>
        </w:rPr>
        <w:instrText xml:space="preserve"> ADDIN EN.CITE &lt;EndNote&gt;&lt;Cite&gt;&lt;Author&gt;de Boer&lt;/Author&gt;&lt;Year&gt;2014&lt;/Year&gt;&lt;RecNum&gt;3&lt;/RecNum&gt;&lt;DisplayText&gt;[23]&lt;/DisplayText&gt;&lt;record&gt;&lt;rec-number&gt;3&lt;/rec-number&gt;&lt;foreign-keys&gt;&lt;key app="EN" db-id="2s0zpwfdupzz5vea22r52zesva2xtrt0w5vv" timestamp="1456191515"&gt;3&lt;/key&gt;&lt;/foreign-keys&gt;&lt;ref-type name="Journal Article"&gt;17&lt;/ref-type&gt;&lt;contributors&gt;&lt;authors&gt;&lt;author&gt;de Boer, S&lt;/author&gt;&lt;author&gt;Kolbe, J&lt;/author&gt;&lt;author&gt;Wilsher, ML&lt;/author&gt;&lt;/authors&gt;&lt;/contributors&gt;&lt;titles&gt;&lt;title&gt;Comparison of the modified shuttle walk test and cardiopulmonary exercise test in sarcoidosis&lt;/title&gt;&lt;secondary-title&gt;Respirology&lt;/secondary-title&gt;&lt;/titles&gt;&lt;periodical&gt;&lt;full-title&gt;Respirology&lt;/full-title&gt;&lt;/periodical&gt;&lt;pages&gt;604-607&lt;/pages&gt;&lt;volume&gt;19&lt;/volume&gt;&lt;dates&gt;&lt;year&gt;2014&lt;/year&gt;&lt;/dates&gt;&lt;urls&gt;&lt;/urls&gt;&lt;/record&gt;&lt;/Cite&gt;&lt;/EndNote&gt;</w:instrText>
      </w:r>
      <w:r w:rsidRPr="00DA0A2E">
        <w:rPr>
          <w:vertAlign w:val="superscript"/>
        </w:rPr>
        <w:fldChar w:fldCharType="separate"/>
      </w:r>
      <w:r w:rsidRPr="00DA0A2E">
        <w:rPr>
          <w:noProof/>
          <w:vertAlign w:val="superscript"/>
        </w:rPr>
        <w:t>[23]</w:t>
      </w:r>
      <w:r w:rsidRPr="00DA0A2E">
        <w:rPr>
          <w:vertAlign w:val="superscript"/>
        </w:rPr>
        <w:fldChar w:fldCharType="end"/>
      </w:r>
      <w:r w:rsidRPr="006641EA">
        <w:rPr>
          <w:rStyle w:val="StyleTimesNewRoman"/>
        </w:rPr>
        <w:t xml:space="preserve"> A much earlier study by Singh et al also found a strong correlation between distance walked and peak VO2, though a poor correlation between shuttle performance and FEV1. </w:t>
      </w:r>
      <w:r w:rsidRPr="00DA0A2E">
        <w:rPr>
          <w:vertAlign w:val="superscript"/>
        </w:rPr>
        <w:fldChar w:fldCharType="begin"/>
      </w:r>
      <w:r w:rsidRPr="00DA0A2E">
        <w:rPr>
          <w:vertAlign w:val="superscript"/>
        </w:rPr>
        <w:instrText xml:space="preserve"> ADDIN EN.CITE &lt;EndNote&gt;&lt;Cite&gt;&lt;Author&gt;Singh&lt;/Author&gt;&lt;Year&gt;1994&lt;/Year&gt;&lt;RecNum&gt;13&lt;/RecNum&gt;&lt;DisplayText&gt;[24]&lt;/DisplayText&gt;&lt;record&gt;&lt;rec-number&gt;13&lt;/rec-number&gt;&lt;foreign-keys&gt;&lt;key app="EN" db-id="2s0zpwfdupzz5vea22r52zesva2xtrt0w5vv" timestamp="1456707199"&gt;13&lt;/key&gt;&lt;/foreign-keys&gt;&lt;ref-type name="Journal Article"&gt;17&lt;/ref-type&gt;&lt;contributors&gt;&lt;authors&gt;&lt;author&gt;Singh, SJ&lt;/author&gt;&lt;author&gt;Morgan, MDL&lt;/author&gt;&lt;author&gt;Hardman, AE&lt;/author&gt;&lt;author&gt;Rowe, C&lt;/author&gt;&lt;author&gt;Bardsley, PA&lt;/author&gt;&lt;/authors&gt;&lt;/contributors&gt;&lt;titles&gt;&lt;title&gt;Comparison of oxygen uptake during a conventional treadmill test and the shuttle walking test in chronic airflow limitation &lt;/title&gt;&lt;secondary-title&gt;Eur Respir J&lt;/secondary-title&gt;&lt;/titles&gt;&lt;periodical&gt;&lt;full-title&gt;Eur Respir J&lt;/full-title&gt;&lt;/periodical&gt;&lt;pages&gt;2016-2020&lt;/pages&gt;&lt;volume&gt;7&lt;/volume&gt;&lt;dates&gt;&lt;year&gt;1994&lt;/year&gt;&lt;/dates&gt;&lt;urls&gt;&lt;/urls&gt;&lt;/record&gt;&lt;/Cite&gt;&lt;/EndNote&gt;</w:instrText>
      </w:r>
      <w:r w:rsidRPr="00DA0A2E">
        <w:rPr>
          <w:vertAlign w:val="superscript"/>
        </w:rPr>
        <w:fldChar w:fldCharType="separate"/>
      </w:r>
      <w:r w:rsidRPr="00DA0A2E">
        <w:rPr>
          <w:noProof/>
          <w:vertAlign w:val="superscript"/>
        </w:rPr>
        <w:t>[24]</w:t>
      </w:r>
      <w:r w:rsidRPr="00DA0A2E">
        <w:rPr>
          <w:vertAlign w:val="superscript"/>
        </w:rPr>
        <w:fldChar w:fldCharType="end"/>
      </w:r>
      <w:r w:rsidRPr="006641EA">
        <w:rPr>
          <w:rStyle w:val="StyleTimesNewRoman"/>
        </w:rPr>
        <w:t xml:space="preserve"> Pulz et al found ISWT to be similar in terms of reproducibility and accuracy in predicting peak VO2 compared with the 6MWT. </w:t>
      </w:r>
      <w:r w:rsidRPr="00DA0A2E">
        <w:rPr>
          <w:vertAlign w:val="superscript"/>
        </w:rPr>
        <w:fldChar w:fldCharType="begin"/>
      </w:r>
      <w:r w:rsidRPr="00DA0A2E">
        <w:rPr>
          <w:vertAlign w:val="superscript"/>
        </w:rPr>
        <w:instrText xml:space="preserve"> ADDIN EN.CITE &lt;EndNote&gt;&lt;Cite&gt;&lt;Author&gt;Pulz&lt;/Author&gt;&lt;Year&gt;2008&lt;/Year&gt;&lt;RecNum&gt;39&lt;/RecNum&gt;&lt;DisplayText&gt;[25]&lt;/DisplayText&gt;&lt;record&gt;&lt;rec-number&gt;39&lt;/rec-number&gt;&lt;foreign-keys&gt;&lt;key app="EN" db-id="2s0zpwfdupzz5vea22r52zesva2xtrt0w5vv" timestamp="1458117494"&gt;39&lt;/key&gt;&lt;/foreign-keys&gt;&lt;ref-type name="Journal Article"&gt;17&lt;/ref-type&gt;&lt;contributors&gt;&lt;authors&gt;&lt;author&gt;Pulz, C&lt;/author&gt;&lt;author&gt;Diniz, R&lt;/author&gt;&lt;author&gt;Alves, ANF&lt;/author&gt;&lt;author&gt;Tebexreni, AS&lt;/author&gt;&lt;author&gt;Carvalho, AC&lt;/author&gt;&lt;author&gt;de Paola, AAV&lt;/author&gt;&lt;author&gt;Almeida, DR&lt;/author&gt;&lt;/authors&gt;&lt;/contributors&gt;&lt;titles&gt;&lt;title&gt;Incremental shuttle and six-minute walking test in the assessment of functional capacity in chronic heart failure&lt;/title&gt;&lt;secondary-title&gt;The Canadian Journal of Cardiology &lt;/secondary-title&gt;&lt;/titles&gt;&lt;periodical&gt;&lt;full-title&gt;The Canadian Journal of Cardiology&lt;/full-title&gt;&lt;/periodical&gt;&lt;pages&gt;131-35&lt;/pages&gt;&lt;volume&gt;24&lt;/volume&gt;&lt;number&gt;2&lt;/number&gt;&lt;dates&gt;&lt;year&gt;2008&lt;/year&gt;&lt;/dates&gt;&lt;urls&gt;&lt;/urls&gt;&lt;/record&gt;&lt;/Cite&gt;&lt;/EndNote&gt;</w:instrText>
      </w:r>
      <w:r w:rsidRPr="00DA0A2E">
        <w:rPr>
          <w:vertAlign w:val="superscript"/>
        </w:rPr>
        <w:fldChar w:fldCharType="separate"/>
      </w:r>
      <w:r w:rsidRPr="00DA0A2E">
        <w:rPr>
          <w:noProof/>
          <w:vertAlign w:val="superscript"/>
        </w:rPr>
        <w:t>[25]</w:t>
      </w:r>
      <w:r w:rsidRPr="00DA0A2E">
        <w:rPr>
          <w:vertAlign w:val="superscript"/>
        </w:rPr>
        <w:fldChar w:fldCharType="end"/>
      </w:r>
      <w:r w:rsidRPr="006641EA">
        <w:rPr>
          <w:rStyle w:val="StyleTimesNewRoman"/>
        </w:rPr>
        <w:t xml:space="preserve"> It also found peak VO2, and not distance walked, to be a good predictor of survival, and concludes that although both ISWT and 6MWT are useful in obtaining a safe estimate of functional capacity, CPET remains the preferable procedure to predict survival in CHF patients. </w:t>
      </w:r>
      <w:r w:rsidRPr="000A4128">
        <w:rPr>
          <w:vertAlign w:val="superscript"/>
        </w:rPr>
        <w:fldChar w:fldCharType="begin"/>
      </w:r>
      <w:r w:rsidRPr="000A4128">
        <w:rPr>
          <w:vertAlign w:val="superscript"/>
        </w:rPr>
        <w:instrText xml:space="preserve"> ADDIN EN.CITE &lt;EndNote&gt;&lt;Cite&gt;&lt;Author&gt;Pulz&lt;/Author&gt;&lt;Year&gt;2008&lt;/Year&gt;&lt;RecNum&gt;39&lt;/RecNum&gt;&lt;DisplayText&gt;[25]&lt;/DisplayText&gt;&lt;record&gt;&lt;rec-number&gt;39&lt;/rec-number&gt;&lt;foreign-keys&gt;&lt;key app="EN" db-id="2s0zpwfdupzz5vea22r52zesva2xtrt0w5vv" timestamp="1458117494"&gt;39&lt;/key&gt;&lt;/foreign-keys&gt;&lt;ref-type name="Journal Article"&gt;17&lt;/ref-type&gt;&lt;contributors&gt;&lt;authors&gt;&lt;author&gt;Pulz, C&lt;/author&gt;&lt;author&gt;Diniz, R&lt;/author&gt;&lt;author&gt;Alves, ANF&lt;/author&gt;&lt;author&gt;Tebexreni, AS&lt;/author&gt;&lt;author&gt;Carvalho, AC&lt;/author&gt;&lt;author&gt;de Paola, AAV&lt;/author&gt;&lt;author&gt;Almeida, DR&lt;/author&gt;&lt;/authors&gt;&lt;/contributors&gt;&lt;titles&gt;&lt;title&gt;Incremental shuttle and six-minute walking test in the assessment of functional capacity in chronic heart failure&lt;/title&gt;&lt;secondary-title&gt;The Canadian Journal of Cardiology &lt;/secondary-title&gt;&lt;/titles&gt;&lt;periodical&gt;&lt;full-title&gt;The Canadian Journal of Cardiology&lt;/full-title&gt;&lt;/periodical&gt;&lt;pages&gt;131-35&lt;/pages&gt;&lt;volume&gt;24&lt;/volume&gt;&lt;number&gt;2&lt;/number&gt;&lt;dates&gt;&lt;year&gt;2008&lt;/year&gt;&lt;/dates&gt;&lt;urls&gt;&lt;/urls&gt;&lt;/record&gt;&lt;/Cite&gt;&lt;/EndNote&gt;</w:instrText>
      </w:r>
      <w:r w:rsidRPr="000A4128">
        <w:rPr>
          <w:vertAlign w:val="superscript"/>
        </w:rPr>
        <w:fldChar w:fldCharType="separate"/>
      </w:r>
      <w:r w:rsidRPr="000A4128">
        <w:rPr>
          <w:noProof/>
          <w:vertAlign w:val="superscript"/>
        </w:rPr>
        <w:t>[25]</w:t>
      </w:r>
      <w:r w:rsidRPr="000A4128">
        <w:rPr>
          <w:vertAlign w:val="superscript"/>
        </w:rPr>
        <w:fldChar w:fldCharType="end"/>
      </w:r>
    </w:p>
    <w:p w14:paraId="504A3ADA" w14:textId="77777777" w:rsidR="005B65C7" w:rsidRPr="00BF5208" w:rsidRDefault="00B51DD8" w:rsidP="00B51DD8">
      <w:pPr>
        <w:pStyle w:val="AttHeading2"/>
      </w:pPr>
      <w:r w:rsidRPr="00BF5208">
        <w:t xml:space="preserve">Safety </w:t>
      </w:r>
    </w:p>
    <w:p w14:paraId="4AC09BAE" w14:textId="77777777" w:rsidR="005B65C7" w:rsidRDefault="005B65C7" w:rsidP="0099709F">
      <w:pPr>
        <w:pStyle w:val="NormalF"/>
        <w:rPr>
          <w:vertAlign w:val="superscript"/>
        </w:rPr>
      </w:pPr>
      <w:r w:rsidRPr="006641EA">
        <w:rPr>
          <w:rStyle w:val="StyleTimesNewRoman"/>
        </w:rPr>
        <w:t>CPET is generally considered a safe procedure, with risk of mortality between 2 and 5 per 100,000 tests (US figures).</w:t>
      </w:r>
      <w:r w:rsidRPr="00077A84">
        <w:rPr>
          <w:vertAlign w:val="superscript"/>
        </w:rPr>
        <w:fldChar w:fldCharType="begin"/>
      </w:r>
      <w:r w:rsidRPr="00077A84">
        <w:rPr>
          <w:vertAlign w:val="superscript"/>
        </w:rPr>
        <w:instrText xml:space="preserve"> ADDIN EN.CITE &lt;EndNote&gt;&lt;Cite&gt;&lt;Author&gt;ATS/ACCP&lt;/Author&gt;&lt;Year&gt;2003&lt;/Year&gt;&lt;RecNum&gt;1&lt;/RecNum&gt;&lt;DisplayText&gt;[1]&lt;/DisplayText&gt;&lt;record&gt;&lt;rec-number&gt;1&lt;/rec-number&gt;&lt;foreign-keys&gt;&lt;key app="EN" db-id="2s0zpwfdupzz5vea22r52zesva2xtrt0w5vv" timestamp="1456047133"&gt;1&lt;/key&gt;&lt;/foreign-keys&gt;&lt;ref-type name="Journal Article"&gt;17&lt;/ref-type&gt;&lt;contributors&gt;&lt;authors&gt;&lt;author&gt;ATS/ACCP &lt;/author&gt;&lt;/authors&gt;&lt;/contributors&gt;&lt;titles&gt;&lt;title&gt;ATS/ACCP Statement on Cardiopulmonary Exercise Testing&lt;/title&gt;&lt;secondary-title&gt;American Journal of Respiratory and and Critical Care Medicine&lt;/secondary-title&gt;&lt;/titles&gt;&lt;periodical&gt;&lt;full-title&gt;American Journal of Respiratory and and Critical Care Medicine&lt;/full-title&gt;&lt;/periodical&gt;&lt;pages&gt;211-277&lt;/pages&gt;&lt;volume&gt;167&lt;/volume&gt;&lt;dates&gt;&lt;year&gt;2003&lt;/year&gt;&lt;/dates&gt;&lt;urls&gt;&lt;/urls&gt;&lt;/record&gt;&lt;/Cite&gt;&lt;/EndNote&gt;</w:instrText>
      </w:r>
      <w:r w:rsidRPr="00077A84">
        <w:rPr>
          <w:vertAlign w:val="superscript"/>
        </w:rPr>
        <w:fldChar w:fldCharType="separate"/>
      </w:r>
      <w:r w:rsidRPr="00077A84">
        <w:rPr>
          <w:noProof/>
          <w:vertAlign w:val="superscript"/>
        </w:rPr>
        <w:t>[1]</w:t>
      </w:r>
      <w:r w:rsidRPr="00077A84">
        <w:rPr>
          <w:vertAlign w:val="superscript"/>
        </w:rPr>
        <w:fldChar w:fldCharType="end"/>
      </w:r>
      <w:r w:rsidRPr="006641EA">
        <w:rPr>
          <w:rStyle w:val="StyleTimesNewRoman"/>
        </w:rPr>
        <w:t xml:space="preserve"> Serious complications (including MI) have been reported as occurring in between &lt; 1 to 5 per 10,000 tests, although incidence tends to vary dependent upon the study population.</w:t>
      </w:r>
      <w:r w:rsidRPr="00077A84">
        <w:rPr>
          <w:rStyle w:val="Emphasis"/>
          <w:i w:val="0"/>
          <w:vertAlign w:val="superscript"/>
        </w:rPr>
        <w:fldChar w:fldCharType="begin"/>
      </w:r>
      <w:r w:rsidRPr="00077A84">
        <w:rPr>
          <w:rStyle w:val="Emphasis"/>
          <w:vertAlign w:val="superscript"/>
        </w:rPr>
        <w:instrText xml:space="preserve"> ADDIN EN.CITE &lt;EndNote&gt;&lt;Cite&gt;&lt;Author&gt;ATS/ACCP&lt;/Author&gt;&lt;Year&gt;2003&lt;/Year&gt;&lt;RecNum&gt;1&lt;/RecNum&gt;&lt;DisplayText&gt;[1]&lt;/DisplayText&gt;&lt;record&gt;&lt;rec-number&gt;1&lt;/rec-number&gt;&lt;foreign-keys&gt;&lt;key app="EN" db-id="2s0zpwfdupzz5vea22r52zesva2xtrt0w5vv" timestamp="1456047133"&gt;1&lt;/key&gt;&lt;/foreign-keys&gt;&lt;ref-type name="Journal Article"&gt;17&lt;/ref-type&gt;&lt;contributors&gt;&lt;authors&gt;&lt;author&gt;ATS/ACCP &lt;/author&gt;&lt;/authors&gt;&lt;/contributors&gt;&lt;titles&gt;&lt;title&gt;ATS/ACCP Statement on Cardiopulmonary Exercise Testing&lt;/title&gt;&lt;secondary-title&gt;American Journal of Respiratory and and Critical Care Medicine&lt;/secondary-title&gt;&lt;/titles&gt;&lt;periodical&gt;&lt;full-title&gt;American Journal of Respiratory and and Critical Care Medicine&lt;/full-title&gt;&lt;/periodical&gt;&lt;pages&gt;211-277&lt;/pages&gt;&lt;volume&gt;167&lt;/volume&gt;&lt;dates&gt;&lt;year&gt;2003&lt;/year&gt;&lt;/dates&gt;&lt;urls&gt;&lt;/urls&gt;&lt;/record&gt;&lt;/Cite&gt;&lt;/EndNote&gt;</w:instrText>
      </w:r>
      <w:r w:rsidRPr="00077A84">
        <w:rPr>
          <w:rStyle w:val="Emphasis"/>
          <w:i w:val="0"/>
          <w:vertAlign w:val="superscript"/>
        </w:rPr>
        <w:fldChar w:fldCharType="separate"/>
      </w:r>
      <w:r w:rsidRPr="00077A84">
        <w:rPr>
          <w:rStyle w:val="Emphasis"/>
          <w:vertAlign w:val="superscript"/>
        </w:rPr>
        <w:t>[1]</w:t>
      </w:r>
      <w:r w:rsidRPr="00077A84">
        <w:rPr>
          <w:rStyle w:val="Emphasis"/>
          <w:i w:val="0"/>
          <w:vertAlign w:val="superscript"/>
        </w:rPr>
        <w:fldChar w:fldCharType="end"/>
      </w:r>
      <w:r w:rsidRPr="006641EA">
        <w:rPr>
          <w:rStyle w:val="StyleTimesNewRoman"/>
        </w:rPr>
        <w:t xml:space="preserve"> A retrospective study by Skalski et al reviewed 4250 patients who underwent CPET, including 1289 with congestive heart failure, 598 with hypertrophic cardiomyopathy, 194 with pulmonary hypertension and 212 with aortic stenosis. </w:t>
      </w:r>
      <w:r w:rsidRPr="00077A84">
        <w:rPr>
          <w:vertAlign w:val="superscript"/>
        </w:rPr>
        <w:fldChar w:fldCharType="begin"/>
      </w:r>
      <w:r>
        <w:rPr>
          <w:vertAlign w:val="superscript"/>
        </w:rPr>
        <w:instrText xml:space="preserve"> ADDIN EN.CITE &lt;EndNote&gt;&lt;Cite&gt;&lt;Author&gt;Skalski&lt;/Author&gt;&lt;Year&gt;2012&lt;/Year&gt;&lt;RecNum&gt;5&lt;/RecNum&gt;&lt;DisplayText&gt;[26]&lt;/DisplayText&gt;&lt;record&gt;&lt;rec-number&gt;5&lt;/rec-number&gt;&lt;foreign-keys&gt;&lt;key app="EN" db-id="2s0zpwfdupzz5vea22r52zesva2xtrt0w5vv" timestamp="1456374533"&gt;5&lt;/key&gt;&lt;/foreign-keys&gt;&lt;ref-type name="Journal Article"&gt;17&lt;/ref-type&gt;&lt;contributors&gt;&lt;authors&gt;&lt;author&gt;Skalski, J&lt;/author&gt;&lt;author&gt;Allison, TG&lt;/author&gt;&lt;author&gt;Miller, TD&lt;/author&gt;&lt;/authors&gt;&lt;/contributors&gt;&lt;titles&gt;&lt;title&gt;The Safety of Cardiopulmonary Exercise Testing in a Population With High-Risk Cardiovascular Diseases&lt;/title&gt;&lt;secondary-title&gt;Circulation&lt;/secondary-title&gt;&lt;/titles&gt;&lt;periodical&gt;&lt;full-title&gt;Circulation&lt;/full-title&gt;&lt;/periodical&gt;&lt;pages&gt;2465-2472&lt;/pages&gt;&lt;volume&gt;126&lt;/volume&gt;&lt;dates&gt;&lt;year&gt;2012&lt;/year&gt;&lt;/dates&gt;&lt;urls&gt;&lt;/urls&gt;&lt;/record&gt;&lt;/Cite&gt;&lt;/EndNote&gt;</w:instrText>
      </w:r>
      <w:r w:rsidRPr="00077A84">
        <w:rPr>
          <w:vertAlign w:val="superscript"/>
        </w:rPr>
        <w:fldChar w:fldCharType="separate"/>
      </w:r>
      <w:r>
        <w:rPr>
          <w:noProof/>
          <w:vertAlign w:val="superscript"/>
        </w:rPr>
        <w:t>[26]</w:t>
      </w:r>
      <w:r w:rsidRPr="00077A84">
        <w:rPr>
          <w:vertAlign w:val="superscript"/>
        </w:rPr>
        <w:fldChar w:fldCharType="end"/>
      </w:r>
      <w:r w:rsidRPr="006641EA">
        <w:rPr>
          <w:rStyle w:val="StyleTimesNewRoman"/>
        </w:rPr>
        <w:t xml:space="preserve"> 24% of subjects had a peak VO</w:t>
      </w:r>
      <w:r w:rsidRPr="00077A84">
        <w:rPr>
          <w:vertAlign w:val="subscript"/>
        </w:rPr>
        <w:t>2</w:t>
      </w:r>
      <w:r w:rsidRPr="006641EA">
        <w:rPr>
          <w:rStyle w:val="StyleTimesNewRoman"/>
        </w:rPr>
        <w:t xml:space="preserve"> consistent with severe functional impairment. There were a total of 8 adverse events, 6 of which were sustained ventricular tachycardia with spontaneous resolution. 1 patient with a history of CAD developed severe and persistent dyspnea, and 1 patient who was 6 years post cardiac transplant, suffered a myocardial infarction. There were no fatalities. </w:t>
      </w:r>
      <w:r w:rsidRPr="00077A84">
        <w:rPr>
          <w:vertAlign w:val="superscript"/>
        </w:rPr>
        <w:fldChar w:fldCharType="begin"/>
      </w:r>
      <w:r>
        <w:rPr>
          <w:vertAlign w:val="superscript"/>
        </w:rPr>
        <w:instrText xml:space="preserve"> ADDIN EN.CITE &lt;EndNote&gt;&lt;Cite&gt;&lt;Author&gt;Skalski&lt;/Author&gt;&lt;Year&gt;2012&lt;/Year&gt;&lt;RecNum&gt;5&lt;/RecNum&gt;&lt;DisplayText&gt;[26]&lt;/DisplayText&gt;&lt;record&gt;&lt;rec-number&gt;5&lt;/rec-number&gt;&lt;foreign-keys&gt;&lt;key app="EN" db-id="2s0zpwfdupzz5vea22r52zesva2xtrt0w5vv" timestamp="1456374533"&gt;5&lt;/key&gt;&lt;/foreign-keys&gt;&lt;ref-type name="Journal Article"&gt;17&lt;/ref-type&gt;&lt;contributors&gt;&lt;authors&gt;&lt;author&gt;Skalski, J&lt;/author&gt;&lt;author&gt;Allison, TG&lt;/author&gt;&lt;author&gt;Miller, TD&lt;/author&gt;&lt;/authors&gt;&lt;/contributors&gt;&lt;titles&gt;&lt;title&gt;The Safety of Cardiopulmonary Exercise Testing in a Population With High-Risk Cardiovascular Diseases&lt;/title&gt;&lt;secondary-title&gt;Circulation&lt;/secondary-title&gt;&lt;/titles&gt;&lt;periodical&gt;&lt;full-title&gt;Circulation&lt;/full-title&gt;&lt;/periodical&gt;&lt;pages&gt;2465-2472&lt;/pages&gt;&lt;volume&gt;126&lt;/volume&gt;&lt;dates&gt;&lt;year&gt;2012&lt;/year&gt;&lt;/dates&gt;&lt;urls&gt;&lt;/urls&gt;&lt;/record&gt;&lt;/Cite&gt;&lt;/EndNote&gt;</w:instrText>
      </w:r>
      <w:r w:rsidRPr="00077A84">
        <w:rPr>
          <w:vertAlign w:val="superscript"/>
        </w:rPr>
        <w:fldChar w:fldCharType="separate"/>
      </w:r>
      <w:r>
        <w:rPr>
          <w:noProof/>
          <w:vertAlign w:val="superscript"/>
        </w:rPr>
        <w:t>[26]</w:t>
      </w:r>
      <w:r w:rsidRPr="00077A84">
        <w:rPr>
          <w:vertAlign w:val="superscript"/>
        </w:rPr>
        <w:fldChar w:fldCharType="end"/>
      </w:r>
      <w:r w:rsidRPr="006641EA">
        <w:rPr>
          <w:rStyle w:val="StyleTimesNewRoman"/>
        </w:rPr>
        <w:t xml:space="preserve"> This and other studies have reported on the safety of CPET even in high-risk populations. </w:t>
      </w:r>
      <w:r w:rsidRPr="00077A84">
        <w:rPr>
          <w:vertAlign w:val="superscript"/>
        </w:rPr>
        <w:fldChar w:fldCharType="begin">
          <w:fldData xml:space="preserve">PEVuZE5vdGU+PENpdGU+PEF1dGhvcj5LZXRleWlhbjwvQXV0aG9yPjxZZWFyPjIwMDk8L1llYXI+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</w:fldData>
        </w:fldChar>
      </w:r>
      <w:r>
        <w:rPr>
          <w:vertAlign w:val="superscript"/>
        </w:rPr>
        <w:instrText xml:space="preserve"> ADDIN EN.CITE </w:instrText>
      </w:r>
      <w:r>
        <w:rPr>
          <w:vertAlign w:val="superscript"/>
        </w:rPr>
        <w:fldChar w:fldCharType="begin">
          <w:fldData xml:space="preserve">PEVuZE5vdGU+PENpdGU+PEF1dGhvcj5LZXRleWlhbjwvQXV0aG9yPjxZZWFyPjIwMDk8L1llYXI+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</w:fldData>
        </w:fldChar>
      </w:r>
      <w:r>
        <w:rPr>
          <w:vertAlign w:val="superscript"/>
        </w:rPr>
        <w:instrText xml:space="preserve"> ADDIN EN.CITE.DATA </w:instrText>
      </w:r>
      <w:r>
        <w:rPr>
          <w:vertAlign w:val="superscript"/>
        </w:rPr>
      </w:r>
      <w:r>
        <w:rPr>
          <w:vertAlign w:val="superscript"/>
        </w:rPr>
        <w:fldChar w:fldCharType="end"/>
      </w:r>
      <w:r w:rsidRPr="00077A84">
        <w:rPr>
          <w:vertAlign w:val="superscript"/>
        </w:rPr>
      </w:r>
      <w:r w:rsidRPr="00077A84">
        <w:rPr>
          <w:vertAlign w:val="superscript"/>
        </w:rPr>
        <w:fldChar w:fldCharType="separate"/>
      </w:r>
      <w:r>
        <w:rPr>
          <w:noProof/>
          <w:vertAlign w:val="superscript"/>
        </w:rPr>
        <w:t>[27-29]</w:t>
      </w:r>
      <w:r w:rsidRPr="00077A84">
        <w:rPr>
          <w:vertAlign w:val="superscript"/>
        </w:rPr>
        <w:fldChar w:fldCharType="end"/>
      </w:r>
      <w:r w:rsidRPr="006641EA">
        <w:rPr>
          <w:rStyle w:val="StyleTimesNewRoman"/>
        </w:rPr>
        <w:t xml:space="preserve"> There are also numerous studies reporting the safety of CPET in specific conditions such as multiple sclerosis, pulmonary hypertension and chronic heart failure.</w:t>
      </w:r>
      <w:r w:rsidRPr="00E56BD5">
        <w:rPr>
          <w:vertAlign w:val="superscript"/>
        </w:rPr>
        <w:fldChar w:fldCharType="begin">
          <w:fldData xml:space="preserve">PEVuZE5vdGU+PENpdGU+PEF1dGhvcj52YW4gZGVuIEFra2VyPC9BdXRob3I+PFllYXI+MjAxNTwv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</w:fldData>
        </w:fldChar>
      </w:r>
      <w:r>
        <w:rPr>
          <w:vertAlign w:val="superscript"/>
        </w:rPr>
        <w:instrText xml:space="preserve"> ADDIN EN.CITE </w:instrText>
      </w:r>
      <w:r>
        <w:rPr>
          <w:vertAlign w:val="superscript"/>
        </w:rPr>
        <w:fldChar w:fldCharType="begin">
          <w:fldData xml:space="preserve">PEVuZE5vdGU+PENpdGU+PEF1dGhvcj52YW4gZGVuIEFra2VyPC9BdXRob3I+PFllYXI+MjAxNTwv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</w:fldData>
        </w:fldChar>
      </w:r>
      <w:r>
        <w:rPr>
          <w:vertAlign w:val="superscript"/>
        </w:rPr>
        <w:instrText xml:space="preserve"> ADDIN EN.CITE.DATA </w:instrText>
      </w:r>
      <w:r>
        <w:rPr>
          <w:vertAlign w:val="superscript"/>
        </w:rPr>
      </w:r>
      <w:r>
        <w:rPr>
          <w:vertAlign w:val="superscript"/>
        </w:rPr>
        <w:fldChar w:fldCharType="end"/>
      </w:r>
      <w:r w:rsidRPr="00E56BD5">
        <w:rPr>
          <w:vertAlign w:val="superscript"/>
        </w:rPr>
      </w:r>
      <w:r w:rsidRPr="00E56BD5">
        <w:rPr>
          <w:vertAlign w:val="superscript"/>
        </w:rPr>
        <w:fldChar w:fldCharType="separate"/>
      </w:r>
      <w:r>
        <w:rPr>
          <w:noProof/>
          <w:vertAlign w:val="superscript"/>
        </w:rPr>
        <w:t>[28, 30, 31]</w:t>
      </w:r>
      <w:r w:rsidRPr="00E56BD5">
        <w:rPr>
          <w:vertAlign w:val="superscript"/>
        </w:rPr>
        <w:fldChar w:fldCharType="end"/>
      </w:r>
    </w:p>
    <w:p w14:paraId="5A213DEC" w14:textId="77777777" w:rsidR="00FE2379" w:rsidRDefault="005B65C7" w:rsidP="0099709F">
      <w:pPr>
        <w:pStyle w:val="NormalF"/>
        <w:rPr>
          <w:rStyle w:val="StyleTimesNewRoman"/>
        </w:rPr>
      </w:pPr>
      <w:r w:rsidRPr="006641EA">
        <w:rPr>
          <w:rStyle w:val="StyleTimesNewRoman"/>
        </w:rPr>
        <w:t>To maintain its safety profile, CPET requires the use of highly trained, qualified personnel, with appropriate preparation of both equipment and patients.</w:t>
      </w:r>
      <w:r w:rsidRPr="00077A84">
        <w:rPr>
          <w:vertAlign w:val="superscript"/>
        </w:rPr>
        <w:fldChar w:fldCharType="begin"/>
      </w:r>
      <w:r w:rsidRPr="00077A84">
        <w:rPr>
          <w:vertAlign w:val="superscript"/>
        </w:rPr>
        <w:instrText xml:space="preserve"> ADDIN EN.CITE &lt;EndNote&gt;&lt;Cite&gt;&lt;Author&gt;ATS/ACCP&lt;/Author&gt;&lt;Year&gt;2003&lt;/Year&gt;&lt;RecNum&gt;1&lt;/RecNum&gt;&lt;DisplayText&gt;[1]&lt;/DisplayText&gt;&lt;record&gt;&lt;rec-number&gt;1&lt;/rec-number&gt;&lt;foreign-keys&gt;&lt;key app="EN" db-id="2s0zpwfdupzz5vea22r52zesva2xtrt0w5vv" timestamp="1456047133"&gt;1&lt;/key&gt;&lt;/foreign-keys&gt;&lt;ref-type name="Journal Article"&gt;17&lt;/ref-type&gt;&lt;contributors&gt;&lt;authors&gt;&lt;author&gt;ATS/ACCP &lt;/author&gt;&lt;/authors&gt;&lt;/contributors&gt;&lt;titles&gt;&lt;title&gt;ATS/ACCP Statement on Cardiopulmonary Exercise Testing&lt;/title&gt;&lt;secondary-title&gt;American Journal of Respiratory and and Critical Care Medicine&lt;/secondary-title&gt;&lt;/titles&gt;&lt;periodical&gt;&lt;full-title&gt;American Journal of Respiratory and and Critical Care Medicine&lt;/full-title&gt;&lt;/periodical&gt;&lt;pages&gt;211-277&lt;/pages&gt;&lt;volume&gt;167&lt;/volume&gt;&lt;dates&gt;&lt;year&gt;2003&lt;/year&gt;&lt;/dates&gt;&lt;urls&gt;&lt;/urls&gt;&lt;/record&gt;&lt;/Cite&gt;&lt;/EndNote&gt;</w:instrText>
      </w:r>
      <w:r w:rsidRPr="00077A84">
        <w:rPr>
          <w:vertAlign w:val="superscript"/>
        </w:rPr>
        <w:fldChar w:fldCharType="separate"/>
      </w:r>
      <w:r w:rsidRPr="00077A84">
        <w:rPr>
          <w:noProof/>
          <w:vertAlign w:val="superscript"/>
        </w:rPr>
        <w:t>[1]</w:t>
      </w:r>
      <w:r w:rsidRPr="00077A84">
        <w:rPr>
          <w:vertAlign w:val="superscript"/>
        </w:rPr>
        <w:fldChar w:fldCharType="end"/>
      </w:r>
      <w:r w:rsidRPr="006641EA">
        <w:rPr>
          <w:rStyle w:val="StyleTimesNewRoman"/>
        </w:rPr>
        <w:t xml:space="preserve"> There are also numerous relative and absolute contraindications to be taken into consideration when determining suitability of subjects for testing</w:t>
      </w:r>
      <w:r w:rsidR="00B238D9">
        <w:rPr>
          <w:rStyle w:val="StyleTimesNewRoman"/>
        </w:rPr>
        <w:t xml:space="preserve"> </w:t>
      </w:r>
      <w:r w:rsidRPr="006641EA">
        <w:rPr>
          <w:rStyle w:val="StyleTimesNewRoman"/>
        </w:rPr>
        <w:t>as well as specified criteria for termination of exercise testing</w:t>
      </w:r>
      <w:r w:rsidR="003A2AF0">
        <w:rPr>
          <w:rStyle w:val="StyleTimesNewRoman"/>
        </w:rPr>
        <w:t xml:space="preserve"> </w:t>
      </w:r>
      <w:r w:rsidR="003A2AF0" w:rsidRPr="003A2AF0">
        <w:rPr>
          <w:rStyle w:val="StyleTimesNewRoman"/>
        </w:rPr>
        <w:t>(taken from ACCP Statement</w:t>
      </w:r>
      <w:r w:rsidR="003A2AF0" w:rsidRPr="003A2AF0">
        <w:rPr>
          <w:rStyle w:val="StyleTimesNewRoman"/>
          <w:vertAlign w:val="superscript"/>
        </w:rPr>
        <w:t>[1]</w:t>
      </w:r>
      <w:r w:rsidR="003A2AF0" w:rsidRPr="003A2AF0">
        <w:rPr>
          <w:rStyle w:val="StyleTimesNewRoman"/>
        </w:rPr>
        <w:t>)</w:t>
      </w:r>
      <w:r w:rsidR="003A2AF0">
        <w:rPr>
          <w:rStyle w:val="StyleTimesNewRoman"/>
        </w:rPr>
        <w:t xml:space="preserve"> </w:t>
      </w:r>
    </w:p>
    <w:p w14:paraId="48516D29" w14:textId="77777777" w:rsidR="00BF5208" w:rsidRDefault="00BF5208" w:rsidP="00B238D9">
      <w:pPr>
        <w:pStyle w:val="AttHeading3"/>
      </w:pPr>
      <w:r w:rsidRPr="0099709F">
        <w:t>Absolute contraindications for cardiopulmonary exercise testing (taken from ACCP Statement</w:t>
      </w:r>
      <w:r w:rsidRPr="0099709F">
        <w:rPr>
          <w:vertAlign w:val="superscript"/>
        </w:rPr>
        <w:fldChar w:fldCharType="begin"/>
      </w:r>
      <w:r w:rsidRPr="0099709F">
        <w:rPr>
          <w:vertAlign w:val="superscript"/>
        </w:rPr>
        <w:instrText xml:space="preserve"> ADDIN EN.CITE &lt;EndNote&gt;&lt;Cite&gt;&lt;Author&gt;ATS/ACCP&lt;/Author&gt;&lt;Year&gt;2003&lt;/Year&gt;&lt;RecNum&gt;1&lt;/RecNum&gt;&lt;DisplayText&gt;[1]&lt;/DisplayText&gt;&lt;record&gt;&lt;rec-number&gt;1&lt;/rec-number&gt;&lt;foreign-keys&gt;&lt;key app="EN" db-id="2s0zpwfdupzz5vea22r52zesva2xtrt0w5vv" timestamp="1456047133"&gt;1&lt;/key&gt;&lt;/foreign-keys&gt;&lt;ref-type name="Journal Article"&gt;17&lt;/ref-type&gt;&lt;contributors&gt;&lt;authors&gt;&lt;author&gt;ATS/ACCP &lt;/author&gt;&lt;/authors&gt;&lt;/contributors&gt;&lt;titles&gt;&lt;title&gt;ATS/ACCP Statement on Cardiopulmonary Exercise Testing&lt;/title&gt;&lt;secondary-title&gt;American Journal of Respiratory and and Critical Care Medicine&lt;/secondary-title&gt;&lt;/titles&gt;&lt;periodical&gt;&lt;full-title&gt;American Journal of Respiratory and and Critical Care Medicine&lt;/full-title&gt;&lt;/periodical&gt;&lt;pages&gt;211-277&lt;/pages&gt;&lt;volume&gt;167&lt;/volume&gt;&lt;dates&gt;&lt;year&gt;2003&lt;/year&gt;&lt;/dates&gt;&lt;urls&gt;&lt;/urls&gt;&lt;/record&gt;&lt;/Cite&gt;&lt;/EndNote&gt;</w:instrText>
      </w:r>
      <w:r w:rsidRPr="0099709F">
        <w:rPr>
          <w:vertAlign w:val="superscript"/>
        </w:rPr>
        <w:fldChar w:fldCharType="separate"/>
      </w:r>
      <w:r w:rsidRPr="0099709F">
        <w:rPr>
          <w:noProof/>
          <w:vertAlign w:val="superscript"/>
        </w:rPr>
        <w:t>[1]</w:t>
      </w:r>
      <w:r w:rsidRPr="0099709F">
        <w:rPr>
          <w:vertAlign w:val="superscript"/>
        </w:rPr>
        <w:fldChar w:fldCharType="end"/>
      </w:r>
      <w:r w:rsidRPr="0099709F">
        <w:t>)</w:t>
      </w:r>
    </w:p>
    <w:p w14:paraId="76D5A358" w14:textId="77777777" w:rsidR="00AC04EA" w:rsidRDefault="00AC04EA" w:rsidP="00AC04EA">
      <w:pPr>
        <w:pStyle w:val="StyleListParagraphTimesNewRomanJustifiedBefore12pt1"/>
      </w:pPr>
      <w:r w:rsidRPr="006668DA">
        <w:t xml:space="preserve">Acute myocardial infarction (3-5 days) </w:t>
      </w:r>
    </w:p>
    <w:p w14:paraId="7CE864EB" w14:textId="77777777" w:rsidR="00AC04EA" w:rsidRDefault="00AC04EA" w:rsidP="00AC04EA">
      <w:pPr>
        <w:pStyle w:val="StyleListParagraphTimesNewRomanJustifiedBefore12pt1"/>
      </w:pPr>
      <w:r w:rsidRPr="00077A84">
        <w:t xml:space="preserve"> </w:t>
      </w:r>
      <w:r w:rsidRPr="006668DA">
        <w:t>Unstable angina</w:t>
      </w:r>
    </w:p>
    <w:p w14:paraId="7A74989C" w14:textId="77777777" w:rsidR="00AC04EA" w:rsidRDefault="00AC04EA" w:rsidP="00AC04EA">
      <w:pPr>
        <w:pStyle w:val="StyleListParagraphTimesNewRomanJustifiedBefore12pt1"/>
      </w:pPr>
      <w:r w:rsidRPr="006668DA">
        <w:t>Uncontrolled arrhythmias causing symptoms or haemodynamic compromise</w:t>
      </w:r>
    </w:p>
    <w:p w14:paraId="660F81A5" w14:textId="77777777" w:rsidR="00AC04EA" w:rsidRDefault="00AC04EA" w:rsidP="00AC04EA">
      <w:pPr>
        <w:pStyle w:val="StyleListParagraphTimesNewRomanJustifiedBefore12pt1"/>
      </w:pPr>
      <w:r w:rsidRPr="006668DA">
        <w:t>Syncope</w:t>
      </w:r>
    </w:p>
    <w:p w14:paraId="7BED8336" w14:textId="77777777" w:rsidR="00AC04EA" w:rsidRDefault="00AC04EA" w:rsidP="00AC04EA">
      <w:pPr>
        <w:pStyle w:val="StyleListParagraphTimesNewRomanJustifiedBefore12pt1"/>
      </w:pPr>
      <w:r w:rsidRPr="006668DA">
        <w:t>Active endocarditis</w:t>
      </w:r>
    </w:p>
    <w:p w14:paraId="61CF9A83" w14:textId="77777777" w:rsidR="00AC04EA" w:rsidRDefault="00AC04EA" w:rsidP="00AC04EA">
      <w:pPr>
        <w:pStyle w:val="StyleListParagraphTimesNewRomanJustifiedBefore12pt1"/>
      </w:pPr>
      <w:r w:rsidRPr="006668DA">
        <w:t>Acute myocarditis or pericarditis</w:t>
      </w:r>
    </w:p>
    <w:p w14:paraId="74678301" w14:textId="77777777" w:rsidR="00AC04EA" w:rsidRDefault="00AC04EA" w:rsidP="00AC04EA">
      <w:pPr>
        <w:pStyle w:val="StyleListParagraphTimesNewRomanJustifiedBefore12pt1"/>
      </w:pPr>
      <w:r w:rsidRPr="006668DA">
        <w:t>Symptomatic severe aortic stenosis</w:t>
      </w:r>
    </w:p>
    <w:p w14:paraId="4219C163" w14:textId="77777777" w:rsidR="00AC04EA" w:rsidRDefault="00AC04EA" w:rsidP="00AC04EA">
      <w:pPr>
        <w:pStyle w:val="StyleListParagraphTimesNewRomanJustifiedBefore12pt1"/>
      </w:pPr>
      <w:r w:rsidRPr="006668DA">
        <w:lastRenderedPageBreak/>
        <w:t>Uncontrolled heart failure</w:t>
      </w:r>
    </w:p>
    <w:p w14:paraId="711CCEE6" w14:textId="77777777" w:rsidR="00AC04EA" w:rsidRDefault="00AC04EA" w:rsidP="00AC04EA">
      <w:pPr>
        <w:pStyle w:val="StyleListParagraphTimesNewRomanJustifiedBefore12pt1"/>
      </w:pPr>
      <w:r w:rsidRPr="006668DA">
        <w:t>Acute pulmonary embolus or pulmonary infarction</w:t>
      </w:r>
    </w:p>
    <w:p w14:paraId="793A48E2" w14:textId="77777777" w:rsidR="00AC04EA" w:rsidRDefault="00AC04EA" w:rsidP="00AC04EA">
      <w:pPr>
        <w:pStyle w:val="StyleListParagraphTimesNewRomanJustifiedBefore12pt1"/>
      </w:pPr>
      <w:r w:rsidRPr="006668DA">
        <w:t>Thrombosis of lower extremities</w:t>
      </w:r>
    </w:p>
    <w:p w14:paraId="4C0B05B4" w14:textId="77777777" w:rsidR="00AC04EA" w:rsidRDefault="00AC04EA" w:rsidP="00AC04EA">
      <w:pPr>
        <w:pStyle w:val="StyleListParagraphTimesNewRomanJustifiedBefore12pt1"/>
      </w:pPr>
      <w:r w:rsidRPr="006668DA">
        <w:t>Suspected dissecting aneurysm</w:t>
      </w:r>
    </w:p>
    <w:p w14:paraId="5DE6B11E" w14:textId="77777777" w:rsidR="00AC04EA" w:rsidRDefault="00AC04EA" w:rsidP="00AC04EA">
      <w:pPr>
        <w:pStyle w:val="StyleListParagraphTimesNewRomanJustifiedBefore12pt1"/>
      </w:pPr>
      <w:r w:rsidRPr="006668DA">
        <w:t>Uncontrolled asthma</w:t>
      </w:r>
    </w:p>
    <w:p w14:paraId="7625A6DC" w14:textId="77777777" w:rsidR="00AC04EA" w:rsidRDefault="00AC04EA" w:rsidP="00AC04EA">
      <w:pPr>
        <w:pStyle w:val="StyleListParagraphTimesNewRomanJustifiedBefore12pt1"/>
      </w:pPr>
      <w:r w:rsidRPr="006668DA">
        <w:t>Pulmonary oedema</w:t>
      </w:r>
    </w:p>
    <w:p w14:paraId="1D7F3365" w14:textId="77777777" w:rsidR="00AC04EA" w:rsidRDefault="00AC04EA" w:rsidP="00AC04EA">
      <w:pPr>
        <w:pStyle w:val="StyleListParagraphTimesNewRomanJustifiedBefore12pt1"/>
      </w:pPr>
      <w:r w:rsidRPr="006668DA">
        <w:t>Room air desaturation at rest &lt;= 85%</w:t>
      </w:r>
    </w:p>
    <w:p w14:paraId="33E36BB4" w14:textId="77777777" w:rsidR="00AC04EA" w:rsidRDefault="00AC04EA" w:rsidP="00AC04EA">
      <w:pPr>
        <w:pStyle w:val="StyleListParagraphTimesNewRomanJustifiedBefore12pt1"/>
      </w:pPr>
      <w:r w:rsidRPr="006668DA">
        <w:t>Respiratory failure</w:t>
      </w:r>
    </w:p>
    <w:p w14:paraId="36A7B334" w14:textId="77777777" w:rsidR="00AC04EA" w:rsidRPr="00077A84" w:rsidRDefault="00AC04EA" w:rsidP="00AC04EA">
      <w:pPr>
        <w:pStyle w:val="StyleListParagraphTimesNewRomanJustifiedBefore12pt1"/>
      </w:pPr>
      <w:r w:rsidRPr="006668DA">
        <w:t>Acute non cardiopulmonary disorder that may affect exercise performance or be aggravated by exercise (eg infection, renal failure, thyrotoxicosis)</w:t>
      </w:r>
    </w:p>
    <w:p w14:paraId="5A92B16C" w14:textId="77777777" w:rsidR="00AC04EA" w:rsidRDefault="00AC04EA" w:rsidP="00B238D9">
      <w:pPr>
        <w:pStyle w:val="AttHeading3"/>
      </w:pPr>
      <w:r>
        <w:t>R</w:t>
      </w:r>
      <w:r w:rsidRPr="00AC04EA">
        <w:t>elative contraindications for cardiopulmonary exercise testing (taken from ACCP Statement</w:t>
      </w:r>
      <w:r w:rsidRPr="00AC04EA">
        <w:rPr>
          <w:vertAlign w:val="superscript"/>
        </w:rPr>
        <w:t>[1]</w:t>
      </w:r>
      <w:r w:rsidRPr="00AC04EA">
        <w:t>)</w:t>
      </w:r>
    </w:p>
    <w:p w14:paraId="48AD6CC7" w14:textId="77777777" w:rsidR="005236B6" w:rsidRDefault="005236B6" w:rsidP="00AC04EA">
      <w:pPr>
        <w:pStyle w:val="StyleListParagraphTimesNewRomanJustifiedBefore12pt1"/>
      </w:pPr>
      <w:r w:rsidRPr="00077A84">
        <w:t xml:space="preserve">Left main coronary stenosis or equivalent </w:t>
      </w:r>
    </w:p>
    <w:p w14:paraId="4032E164" w14:textId="77777777" w:rsidR="005236B6" w:rsidRDefault="005236B6" w:rsidP="00AC04EA">
      <w:pPr>
        <w:pStyle w:val="StyleListParagraphTimesNewRomanJustifiedBefore12pt1"/>
      </w:pPr>
      <w:r w:rsidRPr="00077A84">
        <w:t>Moderate stenotic valvular heart disease</w:t>
      </w:r>
      <w:r w:rsidRPr="00077A84" w:rsidDel="005236B6">
        <w:t xml:space="preserve"> </w:t>
      </w:r>
    </w:p>
    <w:p w14:paraId="7AFD7DA9" w14:textId="77777777" w:rsidR="005236B6" w:rsidRDefault="005236B6" w:rsidP="00AC04EA">
      <w:pPr>
        <w:pStyle w:val="StyleListParagraphTimesNewRomanJustifiedBefore12pt1"/>
      </w:pPr>
      <w:r w:rsidRPr="00077A84">
        <w:t>Severe untreated hypertension at rest (&gt;200 mmHg sys, &gt;120 mmHg diast)</w:t>
      </w:r>
    </w:p>
    <w:p w14:paraId="69CAAF68" w14:textId="77777777" w:rsidR="005236B6" w:rsidRDefault="005236B6" w:rsidP="00AC04EA">
      <w:pPr>
        <w:pStyle w:val="StyleListParagraphTimesNewRomanJustifiedBefore12pt1"/>
      </w:pPr>
      <w:r w:rsidRPr="00077A84">
        <w:t xml:space="preserve">Tachyarrhythmias or bradyarrhythmias </w:t>
      </w:r>
    </w:p>
    <w:p w14:paraId="1FB82218" w14:textId="77777777" w:rsidR="005236B6" w:rsidRDefault="005236B6" w:rsidP="00AC04EA">
      <w:pPr>
        <w:pStyle w:val="StyleListParagraphTimesNewRomanJustifiedBefore12pt1"/>
      </w:pPr>
      <w:r w:rsidRPr="00077A84">
        <w:t xml:space="preserve">High degree atrioventricular block </w:t>
      </w:r>
    </w:p>
    <w:p w14:paraId="7600A91D" w14:textId="77777777" w:rsidR="005236B6" w:rsidRDefault="005236B6" w:rsidP="00AC04EA">
      <w:pPr>
        <w:pStyle w:val="StyleListParagraphTimesNewRomanJustifiedBefore12pt1"/>
      </w:pPr>
      <w:r w:rsidRPr="00077A84">
        <w:t>Hypertrophic cardiomyopathy</w:t>
      </w:r>
    </w:p>
    <w:p w14:paraId="1264B8CC" w14:textId="77777777" w:rsidR="005236B6" w:rsidRDefault="005236B6" w:rsidP="00AC04EA">
      <w:pPr>
        <w:pStyle w:val="StyleListParagraphTimesNewRomanJustifiedBefore12pt1"/>
      </w:pPr>
      <w:r w:rsidRPr="00077A84">
        <w:t>Significant pulmonary hypertension</w:t>
      </w:r>
    </w:p>
    <w:p w14:paraId="3D1215F1" w14:textId="77777777" w:rsidR="005236B6" w:rsidRDefault="005236B6" w:rsidP="00AC04EA">
      <w:pPr>
        <w:pStyle w:val="StyleListParagraphTimesNewRomanJustifiedBefore12pt1"/>
      </w:pPr>
      <w:r w:rsidRPr="00077A84">
        <w:t>Advanced or complicated pregnancy</w:t>
      </w:r>
    </w:p>
    <w:p w14:paraId="79E0A25A" w14:textId="77777777" w:rsidR="005236B6" w:rsidRDefault="005236B6" w:rsidP="00AC04EA">
      <w:pPr>
        <w:pStyle w:val="StyleListParagraphTimesNewRomanJustifiedBefore12pt1"/>
      </w:pPr>
      <w:r w:rsidRPr="00077A84">
        <w:t>Electrolyte abnormalities</w:t>
      </w:r>
    </w:p>
    <w:p w14:paraId="39C154CD" w14:textId="77777777" w:rsidR="005236B6" w:rsidRDefault="005236B6" w:rsidP="005236B6">
      <w:pPr>
        <w:pStyle w:val="StyleListParagraphTimesNewRomanJustifiedBefore12pt1"/>
      </w:pPr>
      <w:r w:rsidRPr="00077A84">
        <w:t>Orthopaedic impairment that compromises exercise performance</w:t>
      </w:r>
    </w:p>
    <w:p w14:paraId="48DF0AEC" w14:textId="77777777" w:rsidR="005B65C7" w:rsidRDefault="005B65C7" w:rsidP="00B238D9">
      <w:pPr>
        <w:pStyle w:val="AttHeading3"/>
      </w:pPr>
      <w:r w:rsidRPr="00077A84">
        <w:t xml:space="preserve">Indications for exercise termination </w:t>
      </w:r>
      <w:r w:rsidR="00B238D9">
        <w:t>(taken from ACCP Statement</w:t>
      </w:r>
      <w:r w:rsidR="00B238D9" w:rsidRPr="00B238D9">
        <w:rPr>
          <w:vertAlign w:val="superscript"/>
        </w:rPr>
        <w:t>[1]</w:t>
      </w:r>
      <w:r w:rsidR="00B238D9">
        <w:t>)</w:t>
      </w:r>
    </w:p>
    <w:p w14:paraId="2FB2E065" w14:textId="77777777" w:rsidR="005236B6" w:rsidRPr="00077A84" w:rsidRDefault="005236B6" w:rsidP="005E16A1">
      <w:pPr>
        <w:pStyle w:val="StyleListParagraphTimesNewRomanJustifiedBefore12pt1"/>
        <w:numPr>
          <w:ilvl w:val="1"/>
          <w:numId w:val="35"/>
        </w:numPr>
      </w:pPr>
      <w:r w:rsidRPr="00077A84">
        <w:t>Chest pain suggestive of ischaemia</w:t>
      </w:r>
    </w:p>
    <w:p w14:paraId="7C57424D" w14:textId="77777777" w:rsidR="005236B6" w:rsidRPr="00077A84" w:rsidRDefault="005236B6" w:rsidP="005E16A1">
      <w:pPr>
        <w:pStyle w:val="StyleListParagraphTimesNewRomanJustifiedBefore12pt1"/>
        <w:numPr>
          <w:ilvl w:val="1"/>
          <w:numId w:val="35"/>
        </w:numPr>
      </w:pPr>
      <w:r w:rsidRPr="00077A84">
        <w:t>Ischaemic ECG changes</w:t>
      </w:r>
    </w:p>
    <w:p w14:paraId="3A978C58" w14:textId="77777777" w:rsidR="005236B6" w:rsidRPr="00077A84" w:rsidRDefault="005236B6" w:rsidP="005E16A1">
      <w:pPr>
        <w:pStyle w:val="StyleListParagraphTimesNewRomanJustifiedBefore12pt1"/>
        <w:numPr>
          <w:ilvl w:val="1"/>
          <w:numId w:val="35"/>
        </w:numPr>
      </w:pPr>
      <w:r w:rsidRPr="00077A84">
        <w:t>Complex ectopy</w:t>
      </w:r>
    </w:p>
    <w:p w14:paraId="62EFD5EC" w14:textId="77777777" w:rsidR="005236B6" w:rsidRPr="00077A84" w:rsidRDefault="005236B6" w:rsidP="005E16A1">
      <w:pPr>
        <w:pStyle w:val="StyleListParagraphTimesNewRomanJustifiedBefore12pt1"/>
        <w:numPr>
          <w:ilvl w:val="1"/>
          <w:numId w:val="35"/>
        </w:numPr>
      </w:pPr>
      <w:r w:rsidRPr="00077A84">
        <w:t>Second or third degree heart block</w:t>
      </w:r>
    </w:p>
    <w:p w14:paraId="25EEA34A" w14:textId="77777777" w:rsidR="005236B6" w:rsidRPr="00077A84" w:rsidRDefault="005236B6" w:rsidP="005E16A1">
      <w:pPr>
        <w:pStyle w:val="StyleListParagraphTimesNewRomanJustifiedBefore12pt1"/>
        <w:numPr>
          <w:ilvl w:val="1"/>
          <w:numId w:val="35"/>
        </w:numPr>
      </w:pPr>
      <w:r w:rsidRPr="00077A84">
        <w:t>Fall in systolic pressure &gt; 20 mmHg from the highest value during the test</w:t>
      </w:r>
    </w:p>
    <w:p w14:paraId="4EFB1E94" w14:textId="77777777" w:rsidR="005236B6" w:rsidRPr="00077A84" w:rsidRDefault="005236B6" w:rsidP="005E16A1">
      <w:pPr>
        <w:pStyle w:val="StyleListParagraphTimesNewRomanJustifiedBefore12pt1"/>
        <w:numPr>
          <w:ilvl w:val="1"/>
          <w:numId w:val="35"/>
        </w:numPr>
      </w:pPr>
      <w:r w:rsidRPr="00077A84">
        <w:t>Hypertension (&gt;250 mmHg systolic; &gt;120 mmHg diastolic)</w:t>
      </w:r>
    </w:p>
    <w:p w14:paraId="12D105A9" w14:textId="77777777" w:rsidR="005236B6" w:rsidRPr="00077A84" w:rsidRDefault="005236B6" w:rsidP="005E16A1">
      <w:pPr>
        <w:pStyle w:val="StyleListParagraphTimesNewRomanJustifiedBefore12pt1"/>
        <w:numPr>
          <w:ilvl w:val="1"/>
          <w:numId w:val="35"/>
        </w:numPr>
      </w:pPr>
      <w:r w:rsidRPr="00077A84">
        <w:t>Severe desaturation: Spo2 &lt;=80% when accompanied by symptoms and signs of severe hypoxaemia</w:t>
      </w:r>
    </w:p>
    <w:p w14:paraId="77D2DB77" w14:textId="77777777" w:rsidR="005236B6" w:rsidRPr="00077A84" w:rsidRDefault="005236B6" w:rsidP="005E16A1">
      <w:pPr>
        <w:pStyle w:val="StyleListParagraphTimesNewRomanJustifiedBefore12pt1"/>
        <w:numPr>
          <w:ilvl w:val="1"/>
          <w:numId w:val="35"/>
        </w:numPr>
      </w:pPr>
      <w:r w:rsidRPr="00077A84">
        <w:t>Sudden pallor</w:t>
      </w:r>
    </w:p>
    <w:p w14:paraId="6F3A5179" w14:textId="77777777" w:rsidR="005236B6" w:rsidRPr="00077A84" w:rsidRDefault="005236B6" w:rsidP="005E16A1">
      <w:pPr>
        <w:pStyle w:val="StyleListParagraphTimesNewRomanJustifiedBefore12pt1"/>
        <w:numPr>
          <w:ilvl w:val="1"/>
          <w:numId w:val="35"/>
        </w:numPr>
      </w:pPr>
      <w:r w:rsidRPr="00077A84">
        <w:t xml:space="preserve">Loss of coordination </w:t>
      </w:r>
    </w:p>
    <w:p w14:paraId="2B5488DE" w14:textId="77777777" w:rsidR="005236B6" w:rsidRPr="00077A84" w:rsidRDefault="005236B6" w:rsidP="005E16A1">
      <w:pPr>
        <w:pStyle w:val="StyleListParagraphTimesNewRomanJustifiedBefore12pt1"/>
        <w:numPr>
          <w:ilvl w:val="1"/>
          <w:numId w:val="35"/>
        </w:numPr>
      </w:pPr>
      <w:r w:rsidRPr="00077A84">
        <w:t xml:space="preserve">Mental confusion </w:t>
      </w:r>
    </w:p>
    <w:p w14:paraId="65137481" w14:textId="77777777" w:rsidR="005236B6" w:rsidRPr="00077A84" w:rsidRDefault="005236B6" w:rsidP="005E16A1">
      <w:pPr>
        <w:pStyle w:val="StyleListParagraphTimesNewRomanJustifiedBefore12pt1"/>
        <w:numPr>
          <w:ilvl w:val="1"/>
          <w:numId w:val="35"/>
        </w:numPr>
      </w:pPr>
      <w:r w:rsidRPr="00077A84">
        <w:t>Dizziness or faintness</w:t>
      </w:r>
    </w:p>
    <w:p w14:paraId="36695A1F" w14:textId="77777777" w:rsidR="005236B6" w:rsidRPr="00077A84" w:rsidRDefault="005236B6" w:rsidP="005E16A1">
      <w:pPr>
        <w:pStyle w:val="StyleListParagraphTimesNewRomanJustifiedBefore12pt1"/>
        <w:numPr>
          <w:ilvl w:val="1"/>
          <w:numId w:val="35"/>
        </w:numPr>
      </w:pPr>
      <w:r w:rsidRPr="00077A84">
        <w:t>Signs of respiratory failure</w:t>
      </w:r>
    </w:p>
    <w:p w14:paraId="02B32843" w14:textId="77777777" w:rsidR="005B65C7" w:rsidRPr="00BF5208" w:rsidRDefault="00B51DD8" w:rsidP="00B51DD8">
      <w:pPr>
        <w:pStyle w:val="AttHeading2"/>
      </w:pPr>
      <w:r w:rsidRPr="00BF5208">
        <w:t>CPET In Children</w:t>
      </w:r>
    </w:p>
    <w:p w14:paraId="2E1C5361" w14:textId="77777777" w:rsidR="005B65C7" w:rsidRPr="006641EA" w:rsidRDefault="005B65C7" w:rsidP="00733DE0">
      <w:pPr>
        <w:pStyle w:val="NormalF"/>
        <w:rPr>
          <w:rStyle w:val="StyleTimesNewRoman"/>
        </w:rPr>
      </w:pPr>
      <w:r w:rsidRPr="006641EA">
        <w:rPr>
          <w:rStyle w:val="StyleTimesNewRoman"/>
        </w:rPr>
        <w:t xml:space="preserve">Exercise testing in children differs from adults in terms of indications, technical considerations in conducting the test, and in the interpretation of results. There are limited numbers of studies involving the use of CPET in children, however the available evidence has found it to be safe and effective in </w:t>
      </w:r>
      <w:r w:rsidRPr="006641EA">
        <w:rPr>
          <w:rStyle w:val="StyleTimesNewRoman"/>
        </w:rPr>
        <w:lastRenderedPageBreak/>
        <w:t xml:space="preserve">healthy children as young as four years old. </w:t>
      </w:r>
      <w:r w:rsidRPr="00077A84">
        <w:rPr>
          <w:vertAlign w:val="superscript"/>
        </w:rPr>
        <w:fldChar w:fldCharType="begin"/>
      </w:r>
      <w:r>
        <w:rPr>
          <w:vertAlign w:val="superscript"/>
        </w:rPr>
        <w:instrText xml:space="preserve"> ADDIN EN.CITE &lt;EndNote&gt;&lt;Cite&gt;&lt;Author&gt;Ilarraza-Lomeli&lt;/Author&gt;&lt;Year&gt;2013&lt;/Year&gt;&lt;RecNum&gt;25&lt;/RecNum&gt;&lt;DisplayText&gt;[32]&lt;/DisplayText&gt;&lt;record&gt;&lt;rec-number&gt;25&lt;/rec-number&gt;&lt;foreign-keys&gt;&lt;key app="EN" db-id="2s0zpwfdupzz5vea22r52zesva2xtrt0w5vv" timestamp="1457944722"&gt;25&lt;/key&gt;&lt;/foreign-keys&gt;&lt;ref-type name="Journal Article"&gt;17&lt;/ref-type&gt;&lt;contributors&gt;&lt;authors&gt;&lt;author&gt;Ilarraza-Lomeli, H&lt;/author&gt;&lt;author&gt;Castaneda-Lopez, J&lt;/author&gt;&lt;author&gt;Rius,M&lt;/author&gt;&lt;author&gt;Myers, J&lt;/author&gt;&lt;author&gt;Miranda, I&lt;/author&gt;&lt;author&gt;Calderon, J&lt;/author&gt;&lt;author&gt;Figueroa, J&lt;/author&gt;&lt;author&gt;Buendia, A&lt;/author&gt;&lt;author&gt;Quiroga, P&lt;/author&gt;&lt;author&gt;Vallejo, E&lt;/author&gt;&lt;/authors&gt;&lt;/contributors&gt;&lt;titles&gt;&lt;title&gt;Cardiopulmonary exercise testing in healthy children and adolescents at moderately high altitude&lt;/title&gt;&lt;secondary-title&gt;Archivos de Cardiologia de Mexico&lt;/secondary-title&gt;&lt;/titles&gt;&lt;periodical&gt;&lt;full-title&gt;Archivos de Cardiologia de Mexico&lt;/full-title&gt;&lt;/periodical&gt;&lt;pages&gt;176&lt;/pages&gt;&lt;volume&gt;83&lt;/volume&gt;&lt;number&gt;3&lt;/number&gt;&lt;section&gt;182&lt;/section&gt;&lt;dates&gt;&lt;year&gt;2013&lt;/year&gt;&lt;/dates&gt;&lt;urls&gt;&lt;/urls&gt;&lt;/record&gt;&lt;/Cite&gt;&lt;/EndNote&gt;</w:instrText>
      </w:r>
      <w:r w:rsidRPr="00077A84">
        <w:rPr>
          <w:vertAlign w:val="superscript"/>
        </w:rPr>
        <w:fldChar w:fldCharType="separate"/>
      </w:r>
      <w:r>
        <w:rPr>
          <w:noProof/>
          <w:vertAlign w:val="superscript"/>
        </w:rPr>
        <w:t>[32]</w:t>
      </w:r>
      <w:r w:rsidRPr="00077A84">
        <w:rPr>
          <w:vertAlign w:val="superscript"/>
        </w:rPr>
        <w:fldChar w:fldCharType="end"/>
      </w:r>
      <w:r w:rsidRPr="006641EA">
        <w:rPr>
          <w:rStyle w:val="StyleTimesNewRoman"/>
        </w:rPr>
        <w:t xml:space="preserve"> </w:t>
      </w:r>
      <w:r w:rsidR="003A2AF0">
        <w:rPr>
          <w:rStyle w:val="StyleTimesNewRoman"/>
        </w:rPr>
        <w:t>A</w:t>
      </w:r>
      <w:r w:rsidRPr="006641EA">
        <w:rPr>
          <w:rStyle w:val="StyleTimesNewRoman"/>
        </w:rPr>
        <w:t xml:space="preserve"> summar</w:t>
      </w:r>
      <w:r w:rsidR="003A2AF0">
        <w:rPr>
          <w:rStyle w:val="StyleTimesNewRoman"/>
        </w:rPr>
        <w:t xml:space="preserve">y of </w:t>
      </w:r>
      <w:r w:rsidRPr="006641EA">
        <w:rPr>
          <w:rStyle w:val="StyleTimesNewRoman"/>
        </w:rPr>
        <w:t>the indications for exercise testing in children</w:t>
      </w:r>
      <w:r w:rsidR="003A2AF0">
        <w:rPr>
          <w:rStyle w:val="StyleTimesNewRoman"/>
        </w:rPr>
        <w:t xml:space="preserve"> is as follows: </w:t>
      </w:r>
      <w:r w:rsidR="003A2AF0" w:rsidRPr="0099709F">
        <w:rPr>
          <w:bCs/>
          <w:iCs/>
          <w:vertAlign w:val="superscript"/>
        </w:rPr>
        <w:fldChar w:fldCharType="begin"/>
      </w:r>
      <w:r w:rsidR="003A2AF0" w:rsidRPr="0099709F">
        <w:rPr>
          <w:bCs/>
          <w:iCs/>
          <w:vertAlign w:val="superscript"/>
        </w:rPr>
        <w:instrText xml:space="preserve"> ADDIN EN.CITE &lt;EndNote&gt;&lt;Cite&gt;&lt;Author&gt;Washington&lt;/Author&gt;&lt;Year&gt;1994&lt;/Year&gt;&lt;RecNum&gt;23&lt;/RecNum&gt;&lt;DisplayText&gt;[33, 34]&lt;/DisplayText&gt;&lt;record&gt;&lt;rec-number&gt;23&lt;/rec-number&gt;&lt;foreign-keys&gt;&lt;key app="EN" db-id="2s0zpwfdupzz5vea22r52zesva2xtrt0w5vv" timestamp="1457915339"&gt;23&lt;/key&gt;&lt;/foreign-keys&gt;&lt;ref-type name="Journal Article"&gt;17&lt;/ref-type&gt;&lt;contributors&gt;&lt;authors&gt;&lt;author&gt;Washington, RL&lt;/author&gt;&lt;author&gt;Bricker, T&lt;/author&gt;&lt;author&gt;Alpert, BS&lt;/author&gt;&lt;author&gt;Daniels, SR&amp;#xD;Deckelbaum, RJ&lt;/author&gt;&lt;author&gt;Fisher, EA&lt;/author&gt;&lt;author&gt;Gidding, SS&lt;/author&gt;&lt;author&gt;Isabel-Jones, J&lt;/author&gt;&lt;author&gt;Kavey, RW&lt;/author&gt;&lt;author&gt;Marx, GR&lt;/author&gt;&lt;author&gt;Strong, WB&lt;/author&gt;&lt;author&gt;Teske, DW&lt;/author&gt;&lt;author&gt;Wilmore, JH&lt;/author&gt;&lt;author&gt;Winston, M&lt;/author&gt;&lt;/authors&gt;&lt;/contributors&gt;&lt;titles&gt;&lt;title&gt;Guidelines for Exercise Testing in the Pediatric Age Group&lt;/title&gt;&lt;secondary-title&gt;Circulation&lt;/secondary-title&gt;&lt;/titles&gt;&lt;periodical&gt;&lt;full-title&gt;Circulation&lt;/full-title&gt;&lt;/periodical&gt;&lt;pages&gt;2166-2179&lt;/pages&gt;&lt;volume&gt;90&lt;/volume&gt;&lt;number&gt;4&lt;/number&gt;&lt;dates&gt;&lt;year&gt;1994&lt;/year&gt;&lt;/dates&gt;&lt;urls&gt;&lt;/urls&gt;&lt;/record&gt;&lt;/Cite&gt;&lt;Cite&gt;&lt;Author&gt;Takken&lt;/Author&gt;&lt;Year&gt;2009&lt;/Year&gt;&lt;RecNum&gt;26&lt;/RecNum&gt;&lt;record&gt;&lt;rec-number&gt;26&lt;/rec-number&gt;&lt;foreign-keys&gt;&lt;key app="EN" db-id="2s0zpwfdupzz5vea22r52zesva2xtrt0w5vv" timestamp="1457956729"&gt;26&lt;/key&gt;&lt;/foreign-keys&gt;&lt;ref-type name="Journal Article"&gt;17&lt;/ref-type&gt;&lt;contributors&gt;&lt;authors&gt;&lt;author&gt;Takken, T&lt;/author&gt;&lt;author&gt;Blank, AC&lt;/author&gt;&lt;author&gt;Hulzebos, eh&lt;/author&gt;&lt;author&gt;van Brussel, M&lt;/author&gt;&lt;author&gt;Groen, WG&lt;/author&gt;&lt;author&gt;Helders, PJ&lt;/author&gt;&lt;/authors&gt;&lt;/contributors&gt;&lt;titles&gt;&lt;title&gt;Cardiopulmonary exercise testing in congenital heart disease: (contr) indications and interpretation &lt;/title&gt;&lt;secondary-title&gt;Netherlands Heart Journal&lt;/secondary-title&gt;&lt;/titles&gt;&lt;periodical&gt;&lt;full-title&gt;Netherlands Heart Journal&lt;/full-title&gt;&lt;/periodical&gt;&lt;pages&gt;385-392&lt;/pages&gt;&lt;volume&gt;17&lt;/volume&gt;&lt;number&gt;10&lt;/number&gt;&lt;dates&gt;&lt;year&gt;2009&lt;/year&gt;&lt;/dates&gt;&lt;urls&gt;&lt;/urls&gt;&lt;/record&gt;&lt;/Cite&gt;&lt;/EndNote&gt;</w:instrText>
      </w:r>
      <w:r w:rsidR="003A2AF0" w:rsidRPr="0099709F">
        <w:rPr>
          <w:bCs/>
          <w:iCs/>
          <w:vertAlign w:val="superscript"/>
        </w:rPr>
        <w:fldChar w:fldCharType="separate"/>
      </w:r>
      <w:r w:rsidR="003A2AF0" w:rsidRPr="0099709F">
        <w:rPr>
          <w:bCs/>
          <w:iCs/>
          <w:noProof/>
          <w:vertAlign w:val="superscript"/>
        </w:rPr>
        <w:t>[33, 34]</w:t>
      </w:r>
      <w:r w:rsidR="003A2AF0" w:rsidRPr="0099709F">
        <w:rPr>
          <w:bCs/>
          <w:iCs/>
          <w:vertAlign w:val="superscript"/>
        </w:rPr>
        <w:fldChar w:fldCharType="end"/>
      </w:r>
    </w:p>
    <w:p w14:paraId="0FB77D32" w14:textId="77777777" w:rsidR="005B65C7" w:rsidRPr="00B238D9" w:rsidRDefault="005B65C7" w:rsidP="00B238D9">
      <w:pPr>
        <w:pStyle w:val="AttHeading3"/>
      </w:pPr>
      <w:r w:rsidRPr="00B238D9">
        <w:t>Indications for exercise testing in children</w:t>
      </w:r>
      <w:r w:rsidR="005E16A1" w:rsidRPr="005E16A1">
        <w:rPr>
          <w:vertAlign w:val="superscript"/>
        </w:rPr>
        <w:t>[</w:t>
      </w:r>
      <w:r w:rsidR="005E16A1">
        <w:rPr>
          <w:noProof/>
          <w:vertAlign w:val="superscript"/>
        </w:rPr>
        <w:t xml:space="preserve">33, </w:t>
      </w:r>
      <w:r w:rsidR="005E16A1" w:rsidRPr="0099709F">
        <w:rPr>
          <w:noProof/>
          <w:vertAlign w:val="superscript"/>
        </w:rPr>
        <w:t>34]</w:t>
      </w:r>
      <w:r w:rsidRPr="00B238D9">
        <w:t xml:space="preserve"> </w:t>
      </w:r>
    </w:p>
    <w:p w14:paraId="0D4AA030" w14:textId="77777777" w:rsidR="005B65C7" w:rsidRPr="00A03C3F" w:rsidRDefault="005B65C7" w:rsidP="005E16A1">
      <w:pPr>
        <w:pStyle w:val="StyleListParagraphTimesNewRomanJustifiedBefore12pt1"/>
        <w:numPr>
          <w:ilvl w:val="1"/>
          <w:numId w:val="35"/>
        </w:numPr>
      </w:pPr>
      <w:r w:rsidRPr="00A03C3F">
        <w:t xml:space="preserve">Evaluation of symptoms or signs induced or aggravated by exercise </w:t>
      </w:r>
    </w:p>
    <w:p w14:paraId="02F00DAF" w14:textId="77777777" w:rsidR="005B65C7" w:rsidRPr="00A03C3F" w:rsidRDefault="005B65C7" w:rsidP="005E16A1">
      <w:pPr>
        <w:pStyle w:val="StyleListParagraphTimesNewRomanJustifiedBefore12pt1"/>
        <w:numPr>
          <w:ilvl w:val="1"/>
          <w:numId w:val="35"/>
        </w:numPr>
      </w:pPr>
      <w:r w:rsidRPr="00A03C3F">
        <w:t>Diagnoses disease</w:t>
      </w:r>
    </w:p>
    <w:p w14:paraId="4E49A78C" w14:textId="77777777" w:rsidR="005B65C7" w:rsidRPr="00A03C3F" w:rsidRDefault="005B65C7" w:rsidP="005E16A1">
      <w:pPr>
        <w:pStyle w:val="StyleListParagraphTimesNewRomanJustifiedBefore12pt1"/>
        <w:numPr>
          <w:ilvl w:val="1"/>
          <w:numId w:val="35"/>
        </w:numPr>
      </w:pPr>
      <w:r w:rsidRPr="00A03C3F">
        <w:t>Provides indications for surgery, therapy or additional tests</w:t>
      </w:r>
    </w:p>
    <w:p w14:paraId="7AAD8FCF" w14:textId="77777777" w:rsidR="005B65C7" w:rsidRPr="00A03C3F" w:rsidRDefault="005B65C7" w:rsidP="005E16A1">
      <w:pPr>
        <w:pStyle w:val="StyleListParagraphTimesNewRomanJustifiedBefore12pt1"/>
        <w:numPr>
          <w:ilvl w:val="1"/>
          <w:numId w:val="35"/>
        </w:numPr>
      </w:pPr>
      <w:r w:rsidRPr="00A03C3F">
        <w:t>Identify abnormal or adaptive responses in children with cardiac or other disorders</w:t>
      </w:r>
    </w:p>
    <w:p w14:paraId="6F72E2E5" w14:textId="77777777" w:rsidR="005B65C7" w:rsidRPr="00A03C3F" w:rsidRDefault="005B65C7" w:rsidP="005E16A1">
      <w:pPr>
        <w:pStyle w:val="StyleListParagraphTimesNewRomanJustifiedBefore12pt1"/>
        <w:numPr>
          <w:ilvl w:val="1"/>
          <w:numId w:val="35"/>
        </w:numPr>
      </w:pPr>
      <w:r w:rsidRPr="00A03C3F">
        <w:t>Assess effectiveness of treatments</w:t>
      </w:r>
    </w:p>
    <w:p w14:paraId="25775E35" w14:textId="77777777" w:rsidR="005B65C7" w:rsidRPr="00A03C3F" w:rsidRDefault="005B65C7" w:rsidP="005E16A1">
      <w:pPr>
        <w:pStyle w:val="StyleListParagraphTimesNewRomanJustifiedBefore12pt1"/>
        <w:numPr>
          <w:ilvl w:val="1"/>
          <w:numId w:val="35"/>
        </w:numPr>
      </w:pPr>
      <w:r w:rsidRPr="00A03C3F">
        <w:t>Estimation of functional capacity for recreational and athletic recommendations</w:t>
      </w:r>
    </w:p>
    <w:p w14:paraId="6F65EA32" w14:textId="77777777" w:rsidR="005B65C7" w:rsidRPr="00A03C3F" w:rsidRDefault="005B65C7" w:rsidP="005E16A1">
      <w:pPr>
        <w:pStyle w:val="StyleListParagraphTimesNewRomanJustifiedBefore12pt1"/>
        <w:numPr>
          <w:ilvl w:val="1"/>
          <w:numId w:val="35"/>
        </w:numPr>
      </w:pPr>
      <w:r w:rsidRPr="00A03C3F">
        <w:t xml:space="preserve">Prognostic estimates </w:t>
      </w:r>
    </w:p>
    <w:p w14:paraId="33D6834A" w14:textId="77777777" w:rsidR="005B65C7" w:rsidRPr="00A03C3F" w:rsidRDefault="005B65C7" w:rsidP="005E16A1">
      <w:pPr>
        <w:pStyle w:val="StyleListParagraphTimesNewRomanJustifiedBefore12pt1"/>
        <w:numPr>
          <w:ilvl w:val="1"/>
          <w:numId w:val="35"/>
        </w:numPr>
      </w:pPr>
      <w:r w:rsidRPr="00A03C3F">
        <w:t>Assessment of risk for future complications in existing disease</w:t>
      </w:r>
    </w:p>
    <w:p w14:paraId="477782ED" w14:textId="77777777" w:rsidR="005B65C7" w:rsidRPr="00A03C3F" w:rsidRDefault="005B65C7" w:rsidP="005E16A1">
      <w:pPr>
        <w:pStyle w:val="StyleListParagraphTimesNewRomanJustifiedBefore12pt1"/>
        <w:numPr>
          <w:ilvl w:val="1"/>
          <w:numId w:val="35"/>
        </w:numPr>
      </w:pPr>
      <w:r w:rsidRPr="00A03C3F">
        <w:t>Evaluation of fitness</w:t>
      </w:r>
    </w:p>
    <w:p w14:paraId="4EE69E28" w14:textId="77777777" w:rsidR="005B65C7" w:rsidRPr="00077A84" w:rsidRDefault="005B65C7" w:rsidP="005E16A1">
      <w:pPr>
        <w:pStyle w:val="StyleListParagraphTimesNewRomanJustifiedBefore12pt1"/>
        <w:numPr>
          <w:ilvl w:val="1"/>
          <w:numId w:val="35"/>
        </w:numPr>
        <w:rPr>
          <w:szCs w:val="22"/>
        </w:rPr>
      </w:pPr>
      <w:r w:rsidRPr="00A03C3F">
        <w:t>Baseline and follow</w:t>
      </w:r>
      <w:r>
        <w:rPr>
          <w:szCs w:val="22"/>
        </w:rPr>
        <w:t>-up of cardiac rehabilitation</w:t>
      </w:r>
      <w:r w:rsidR="003A2AF0">
        <w:rPr>
          <w:szCs w:val="22"/>
        </w:rPr>
        <w:t>.</w:t>
      </w:r>
    </w:p>
    <w:p w14:paraId="004E3921" w14:textId="77777777" w:rsidR="003A2AF0" w:rsidRDefault="005B65C7" w:rsidP="00733DE0">
      <w:pPr>
        <w:pStyle w:val="NormalF"/>
        <w:rPr>
          <w:rStyle w:val="StyleTimesNewRoman"/>
        </w:rPr>
      </w:pPr>
      <w:r w:rsidRPr="006641EA">
        <w:rPr>
          <w:rStyle w:val="StyleTimesNewRoman"/>
        </w:rPr>
        <w:t>Diseases in which CPET may provide useful information include congenital heart disease, acquired valvular heart disease, cardiomyopathy, chronic lung disease, Kawasaki disease, systemic or pulmonary hypertension, and sickle cell disease.</w:t>
      </w:r>
      <w:r w:rsidRPr="00077A84">
        <w:rPr>
          <w:vertAlign w:val="superscript"/>
        </w:rPr>
        <w:fldChar w:fldCharType="begin"/>
      </w:r>
      <w:r>
        <w:rPr>
          <w:vertAlign w:val="superscript"/>
        </w:rPr>
        <w:instrText xml:space="preserve"> ADDIN EN.CITE &lt;EndNote&gt;&lt;Cite&gt;&lt;Author&gt;Washington&lt;/Author&gt;&lt;Year&gt;1994&lt;/Year&gt;&lt;RecNum&gt;23&lt;/RecNum&gt;&lt;DisplayText&gt;[33]&lt;/DisplayText&gt;&lt;record&gt;&lt;rec-number&gt;23&lt;/rec-number&gt;&lt;foreign-keys&gt;&lt;key app="EN" db-id="2s0zpwfdupzz5vea22r52zesva2xtrt0w5vv" timestamp="1457915339"&gt;23&lt;/key&gt;&lt;/foreign-keys&gt;&lt;ref-type name="Journal Article"&gt;17&lt;/ref-type&gt;&lt;contributors&gt;&lt;authors&gt;&lt;author&gt;Washington, RL&lt;/author&gt;&lt;author&gt;Bricker, T&lt;/author&gt;&lt;author&gt;Alpert, BS&lt;/author&gt;&lt;author&gt;Daniels, SR&amp;#xD;Deckelbaum, RJ&lt;/author&gt;&lt;author&gt;Fisher, EA&lt;/author&gt;&lt;author&gt;Gidding, SS&lt;/author&gt;&lt;author&gt;Isabel-Jones, J&lt;/author&gt;&lt;author&gt;Kavey, RW&lt;/author&gt;&lt;author&gt;Marx, GR&lt;/author&gt;&lt;author&gt;Strong, WB&lt;/author&gt;&lt;author&gt;Teske, DW&lt;/author&gt;&lt;author&gt;Wilmore, JH&lt;/author&gt;&lt;author&gt;Winston, M&lt;/author&gt;&lt;/authors&gt;&lt;/contributors&gt;&lt;titles&gt;&lt;title&gt;Guidelines for Exercise Testing in the Pediatric Age Group&lt;/title&gt;&lt;secondary-title&gt;Circulation&lt;/secondary-title&gt;&lt;/titles&gt;&lt;periodical&gt;&lt;full-title&gt;Circulation&lt;/full-title&gt;&lt;/periodical&gt;&lt;pages&gt;2166-2179&lt;/pages&gt;&lt;volume&gt;90&lt;/volume&gt;&lt;number&gt;4&lt;/number&gt;&lt;dates&gt;&lt;year&gt;1994&lt;/year&gt;&lt;/dates&gt;&lt;urls&gt;&lt;/urls&gt;&lt;/record&gt;&lt;/Cite&gt;&lt;/EndNote&gt;</w:instrText>
      </w:r>
      <w:r w:rsidRPr="00077A84">
        <w:rPr>
          <w:vertAlign w:val="superscript"/>
        </w:rPr>
        <w:fldChar w:fldCharType="separate"/>
      </w:r>
      <w:r>
        <w:rPr>
          <w:noProof/>
          <w:vertAlign w:val="superscript"/>
        </w:rPr>
        <w:t>[33]</w:t>
      </w:r>
      <w:r w:rsidRPr="00077A84">
        <w:rPr>
          <w:vertAlign w:val="superscript"/>
        </w:rPr>
        <w:fldChar w:fldCharType="end"/>
      </w:r>
      <w:r w:rsidRPr="006641EA">
        <w:rPr>
          <w:rStyle w:val="StyleTimesNewRoman"/>
        </w:rPr>
        <w:t xml:space="preserve"> CPET in children is generally considered safe when conducted under adequate supervision with adherence to relevant safety precautions. However there are conditions where the risk of testing is likely to outweigh the significance of information gained. </w:t>
      </w:r>
      <w:r w:rsidR="00906228">
        <w:rPr>
          <w:rStyle w:val="StyleTimesNewRoman"/>
        </w:rPr>
        <w:t>Listed below are</w:t>
      </w:r>
      <w:r w:rsidRPr="006641EA">
        <w:rPr>
          <w:rStyle w:val="StyleTimesNewRoman"/>
        </w:rPr>
        <w:t xml:space="preserve"> the absolute and relative contraindications for exercise testing in the paediatric population, </w:t>
      </w:r>
      <w:r w:rsidR="00906228">
        <w:rPr>
          <w:rStyle w:val="StyleTimesNewRoman"/>
        </w:rPr>
        <w:t xml:space="preserve">followed by a list of </w:t>
      </w:r>
      <w:r w:rsidR="00906228" w:rsidRPr="006641EA">
        <w:rPr>
          <w:rStyle w:val="StyleTimesNewRoman"/>
        </w:rPr>
        <w:t>r</w:t>
      </w:r>
      <w:r w:rsidR="00906228">
        <w:rPr>
          <w:rStyle w:val="StyleTimesNewRoman"/>
        </w:rPr>
        <w:t>e</w:t>
      </w:r>
      <w:r w:rsidR="00906228" w:rsidRPr="006641EA">
        <w:rPr>
          <w:rStyle w:val="StyleTimesNewRoman"/>
        </w:rPr>
        <w:t>asons</w:t>
      </w:r>
      <w:r w:rsidRPr="006641EA">
        <w:rPr>
          <w:rStyle w:val="StyleTimesNewRoman"/>
        </w:rPr>
        <w:t xml:space="preserve"> for test termination</w:t>
      </w:r>
      <w:r w:rsidR="00906228">
        <w:rPr>
          <w:rStyle w:val="StyleTimesNewRoman"/>
        </w:rPr>
        <w:t>.</w:t>
      </w:r>
      <w:r w:rsidR="003A2AF0">
        <w:rPr>
          <w:rStyle w:val="StyleTimesNewRoman"/>
        </w:rPr>
        <w:t xml:space="preserve"> </w:t>
      </w:r>
    </w:p>
    <w:p w14:paraId="53F25D3C" w14:textId="77777777" w:rsidR="00BF5208" w:rsidRDefault="00190762" w:rsidP="00186BAF">
      <w:pPr>
        <w:pStyle w:val="AttHeading3"/>
        <w:rPr>
          <w:vertAlign w:val="superscript"/>
        </w:rPr>
      </w:pPr>
      <w:r w:rsidRPr="0099709F">
        <w:t xml:space="preserve">Absolute </w:t>
      </w:r>
      <w:r w:rsidR="00BF5208" w:rsidRPr="0099709F">
        <w:t>Contraindications for exercise testing in children</w:t>
      </w:r>
      <w:r w:rsidR="00BF5208" w:rsidRPr="0099709F">
        <w:rPr>
          <w:vertAlign w:val="superscript"/>
        </w:rPr>
        <w:fldChar w:fldCharType="begin"/>
      </w:r>
      <w:r w:rsidR="00BF5208" w:rsidRPr="0099709F">
        <w:rPr>
          <w:vertAlign w:val="superscript"/>
        </w:rPr>
        <w:instrText xml:space="preserve"> ADDIN EN.CITE &lt;EndNote&gt;&lt;Cite&gt;&lt;Author&gt;Takken&lt;/Author&gt;&lt;Year&gt;2009&lt;/Year&gt;&lt;RecNum&gt;26&lt;/RecNum&gt;&lt;DisplayText&gt;[34]&lt;/DisplayText&gt;&lt;record&gt;&lt;rec-number&gt;26&lt;/rec-number&gt;&lt;foreign-keys&gt;&lt;key app="EN" db-id="2s0zpwfdupzz5vea22r52zesva2xtrt0w5vv" timestamp="1457956729"&gt;26&lt;/key&gt;&lt;/foreign-keys&gt;&lt;ref-type name="Journal Article"&gt;17&lt;/ref-type&gt;&lt;contributors&gt;&lt;authors&gt;&lt;author&gt;Takken, T&lt;/author&gt;&lt;author&gt;Blank, AC&lt;/author&gt;&lt;author&gt;Hulzebos, eh&lt;/author&gt;&lt;author&gt;van Brussel, M&lt;/author&gt;&lt;author&gt;Groen, WG&lt;/author&gt;&lt;author&gt;Helders, PJ&lt;/author&gt;&lt;/authors&gt;&lt;/contributors&gt;&lt;titles&gt;&lt;title&gt;Cardiopulmonary exercise testing in congenital heart disease: (contr) indications and interpretation &lt;/title&gt;&lt;secondary-title&gt;Netherlands Heart Journal&lt;/secondary-title&gt;&lt;/titles&gt;&lt;periodical&gt;&lt;full-title&gt;Netherlands Heart Journal&lt;/full-title&gt;&lt;/periodical&gt;&lt;pages&gt;385-392&lt;/pages&gt;&lt;volume&gt;17&lt;/volume&gt;&lt;number&gt;10&lt;/number&gt;&lt;dates&gt;&lt;year&gt;2009&lt;/year&gt;&lt;/dates&gt;&lt;urls&gt;&lt;/urls&gt;&lt;/record&gt;&lt;/Cite&gt;&lt;/EndNote&gt;</w:instrText>
      </w:r>
      <w:r w:rsidR="00BF5208" w:rsidRPr="0099709F">
        <w:rPr>
          <w:vertAlign w:val="superscript"/>
        </w:rPr>
        <w:fldChar w:fldCharType="separate"/>
      </w:r>
      <w:r w:rsidR="00BF5208" w:rsidRPr="0099709F">
        <w:rPr>
          <w:noProof/>
          <w:vertAlign w:val="superscript"/>
        </w:rPr>
        <w:t>[34]</w:t>
      </w:r>
      <w:r w:rsidR="00BF5208" w:rsidRPr="0099709F">
        <w:rPr>
          <w:vertAlign w:val="superscript"/>
        </w:rPr>
        <w:fldChar w:fldCharType="end"/>
      </w:r>
    </w:p>
    <w:p w14:paraId="13EFB41F" w14:textId="77777777" w:rsidR="00186BAF" w:rsidRDefault="00190762" w:rsidP="005E16A1">
      <w:pPr>
        <w:pStyle w:val="StyleListParagraphTimesNewRomanJustifiedBefore12pt1"/>
        <w:numPr>
          <w:ilvl w:val="1"/>
          <w:numId w:val="35"/>
        </w:numPr>
      </w:pPr>
      <w:r w:rsidRPr="00077A84">
        <w:t>Active inflammatory heart disease</w:t>
      </w:r>
    </w:p>
    <w:p w14:paraId="6DDDCBA5" w14:textId="77777777" w:rsidR="00190762" w:rsidRDefault="00190762" w:rsidP="005E16A1">
      <w:pPr>
        <w:pStyle w:val="StyleListParagraphTimesNewRomanJustifiedBefore12pt1"/>
        <w:numPr>
          <w:ilvl w:val="1"/>
          <w:numId w:val="35"/>
        </w:numPr>
      </w:pPr>
      <w:r w:rsidRPr="00077A84">
        <w:t>Active hepatitis</w:t>
      </w:r>
    </w:p>
    <w:p w14:paraId="70DA7698" w14:textId="77777777" w:rsidR="00190762" w:rsidRDefault="00190762" w:rsidP="005E16A1">
      <w:pPr>
        <w:pStyle w:val="StyleListParagraphTimesNewRomanJustifiedBefore12pt1"/>
        <w:numPr>
          <w:ilvl w:val="1"/>
          <w:numId w:val="35"/>
        </w:numPr>
      </w:pPr>
      <w:r w:rsidRPr="00077A84">
        <w:t>Acute myocardial infarction</w:t>
      </w:r>
    </w:p>
    <w:p w14:paraId="08049697" w14:textId="77777777" w:rsidR="00190762" w:rsidRDefault="00190762" w:rsidP="005E16A1">
      <w:pPr>
        <w:pStyle w:val="StyleListParagraphTimesNewRomanJustifiedBefore12pt1"/>
        <w:numPr>
          <w:ilvl w:val="1"/>
          <w:numId w:val="35"/>
        </w:numPr>
      </w:pPr>
      <w:r w:rsidRPr="00077A84">
        <w:t>Active pneumonia</w:t>
      </w:r>
    </w:p>
    <w:p w14:paraId="3311CB97" w14:textId="77777777" w:rsidR="00190762" w:rsidRDefault="00190762" w:rsidP="005E16A1">
      <w:pPr>
        <w:pStyle w:val="StyleListParagraphTimesNewRomanJustifiedBefore12pt1"/>
        <w:numPr>
          <w:ilvl w:val="1"/>
          <w:numId w:val="35"/>
        </w:numPr>
      </w:pPr>
      <w:r w:rsidRPr="00077A84">
        <w:t>Severe systemic hypertension for age</w:t>
      </w:r>
    </w:p>
    <w:p w14:paraId="4CBC2431" w14:textId="77777777" w:rsidR="00190762" w:rsidRDefault="00190762" w:rsidP="005E16A1">
      <w:pPr>
        <w:pStyle w:val="StyleListParagraphTimesNewRomanJustifiedBefore12pt1"/>
        <w:numPr>
          <w:ilvl w:val="1"/>
          <w:numId w:val="35"/>
        </w:numPr>
      </w:pPr>
      <w:r w:rsidRPr="00077A84">
        <w:t>Acute orthopaedic injury to exercise muscle group</w:t>
      </w:r>
    </w:p>
    <w:p w14:paraId="68C53873" w14:textId="77777777" w:rsidR="00190762" w:rsidRDefault="00190762" w:rsidP="00190762">
      <w:pPr>
        <w:pStyle w:val="AttHeading3"/>
        <w:rPr>
          <w:vertAlign w:val="superscript"/>
        </w:rPr>
      </w:pPr>
      <w:r>
        <w:t>Relativ</w:t>
      </w:r>
      <w:r w:rsidRPr="0099709F">
        <w:t>e Contraindications for exercise testing in children</w:t>
      </w:r>
      <w:r w:rsidRPr="0099709F">
        <w:rPr>
          <w:vertAlign w:val="superscript"/>
        </w:rPr>
        <w:fldChar w:fldCharType="begin"/>
      </w:r>
      <w:r w:rsidRPr="0099709F">
        <w:rPr>
          <w:vertAlign w:val="superscript"/>
        </w:rPr>
        <w:instrText xml:space="preserve"> ADDIN EN.CITE &lt;EndNote&gt;&lt;Cite&gt;&lt;Author&gt;Takken&lt;/Author&gt;&lt;Year&gt;2009&lt;/Year&gt;&lt;RecNum&gt;26&lt;/RecNum&gt;&lt;DisplayText&gt;[34]&lt;/DisplayText&gt;&lt;record&gt;&lt;rec-number&gt;26&lt;/rec-number&gt;&lt;foreign-keys&gt;&lt;key app="EN" db-id="2s0zpwfdupzz5vea22r52zesva2xtrt0w5vv" timestamp="1457956729"&gt;26&lt;/key&gt;&lt;/foreign-keys&gt;&lt;ref-type name="Journal Article"&gt;17&lt;/ref-type&gt;&lt;contributors&gt;&lt;authors&gt;&lt;author&gt;Takken, T&lt;/author&gt;&lt;author&gt;Blank, AC&lt;/author&gt;&lt;author&gt;Hulzebos, eh&lt;/author&gt;&lt;author&gt;van Brussel, M&lt;/author&gt;&lt;author&gt;Groen, WG&lt;/author&gt;&lt;author&gt;Helders, PJ&lt;/author&gt;&lt;/authors&gt;&lt;/contributors&gt;&lt;titles&gt;&lt;title&gt;Cardiopulmonary exercise testing in congenital heart disease: (contr) indications and interpretation &lt;/title&gt;&lt;secondary-title&gt;Netherlands Heart Journal&lt;/secondary-title&gt;&lt;/titles&gt;&lt;periodical&gt;&lt;full-title&gt;Netherlands Heart Journal&lt;/full-title&gt;&lt;/periodical&gt;&lt;pages&gt;385-392&lt;/pages&gt;&lt;volume&gt;17&lt;/volume&gt;&lt;number&gt;10&lt;/number&gt;&lt;dates&gt;&lt;year&gt;2009&lt;/year&gt;&lt;/dates&gt;&lt;urls&gt;&lt;/urls&gt;&lt;/record&gt;&lt;/Cite&gt;&lt;/EndNote&gt;</w:instrText>
      </w:r>
      <w:r w:rsidRPr="0099709F">
        <w:rPr>
          <w:vertAlign w:val="superscript"/>
        </w:rPr>
        <w:fldChar w:fldCharType="separate"/>
      </w:r>
      <w:r w:rsidRPr="0099709F">
        <w:rPr>
          <w:noProof/>
          <w:vertAlign w:val="superscript"/>
        </w:rPr>
        <w:t>[</w:t>
      </w:r>
      <w:r w:rsidR="005E16A1">
        <w:rPr>
          <w:noProof/>
          <w:vertAlign w:val="superscript"/>
        </w:rPr>
        <w:t>3</w:t>
      </w:r>
      <w:r w:rsidRPr="0099709F">
        <w:rPr>
          <w:noProof/>
          <w:vertAlign w:val="superscript"/>
        </w:rPr>
        <w:t>4]</w:t>
      </w:r>
      <w:r w:rsidRPr="0099709F">
        <w:rPr>
          <w:vertAlign w:val="superscript"/>
        </w:rPr>
        <w:fldChar w:fldCharType="end"/>
      </w:r>
    </w:p>
    <w:p w14:paraId="71138D02" w14:textId="77777777" w:rsidR="00190762" w:rsidRDefault="00190762" w:rsidP="005E16A1">
      <w:pPr>
        <w:pStyle w:val="StyleListParagraphTimesNewRomanJustifiedBefore12pt1"/>
        <w:numPr>
          <w:ilvl w:val="1"/>
          <w:numId w:val="35"/>
        </w:numPr>
      </w:pPr>
      <w:r w:rsidRPr="00077A84">
        <w:t>Severe left or right ventricular outflow obstruction</w:t>
      </w:r>
    </w:p>
    <w:p w14:paraId="161581E3" w14:textId="77777777" w:rsidR="00190762" w:rsidRDefault="00190762" w:rsidP="005E16A1">
      <w:pPr>
        <w:pStyle w:val="StyleListParagraphTimesNewRomanJustifiedBefore12pt1"/>
        <w:numPr>
          <w:ilvl w:val="1"/>
          <w:numId w:val="35"/>
        </w:numPr>
      </w:pPr>
      <w:r w:rsidRPr="00077A84">
        <w:t>Congestive heart disease</w:t>
      </w:r>
    </w:p>
    <w:p w14:paraId="52249431" w14:textId="77777777" w:rsidR="00190762" w:rsidRDefault="00190762" w:rsidP="005E16A1">
      <w:pPr>
        <w:pStyle w:val="StyleListParagraphTimesNewRomanJustifiedBefore12pt1"/>
        <w:numPr>
          <w:ilvl w:val="1"/>
          <w:numId w:val="35"/>
        </w:numPr>
      </w:pPr>
      <w:r w:rsidRPr="00077A84">
        <w:t>Pulmonary vascular obstructive disease</w:t>
      </w:r>
    </w:p>
    <w:p w14:paraId="6055F484" w14:textId="77777777" w:rsidR="00190762" w:rsidRDefault="00190762" w:rsidP="005E16A1">
      <w:pPr>
        <w:pStyle w:val="StyleListParagraphTimesNewRomanJustifiedBefore12pt1"/>
        <w:numPr>
          <w:ilvl w:val="1"/>
          <w:numId w:val="35"/>
        </w:numPr>
      </w:pPr>
      <w:r w:rsidRPr="00077A84">
        <w:t>Severe aortic stenosis</w:t>
      </w:r>
    </w:p>
    <w:p w14:paraId="5C924830" w14:textId="77777777" w:rsidR="00190762" w:rsidRDefault="00190762" w:rsidP="005E16A1">
      <w:pPr>
        <w:pStyle w:val="StyleListParagraphTimesNewRomanJustifiedBefore12pt1"/>
        <w:numPr>
          <w:ilvl w:val="1"/>
          <w:numId w:val="35"/>
        </w:numPr>
      </w:pPr>
      <w:r w:rsidRPr="00077A84">
        <w:t>Severe mitral stenosis</w:t>
      </w:r>
    </w:p>
    <w:p w14:paraId="72E84A47" w14:textId="77777777" w:rsidR="00190762" w:rsidRDefault="00190762" w:rsidP="005E16A1">
      <w:pPr>
        <w:pStyle w:val="StyleListParagraphTimesNewRomanJustifiedBefore12pt1"/>
        <w:numPr>
          <w:ilvl w:val="1"/>
          <w:numId w:val="35"/>
        </w:numPr>
      </w:pPr>
      <w:r w:rsidRPr="00077A84">
        <w:t>Ischaemic coronary artery disease</w:t>
      </w:r>
    </w:p>
    <w:p w14:paraId="547674C3" w14:textId="77777777" w:rsidR="00190762" w:rsidRDefault="00190762" w:rsidP="005E16A1">
      <w:pPr>
        <w:pStyle w:val="StyleListParagraphTimesNewRomanJustifiedBefore12pt1"/>
        <w:numPr>
          <w:ilvl w:val="1"/>
          <w:numId w:val="35"/>
        </w:numPr>
      </w:pPr>
      <w:r w:rsidRPr="00077A84">
        <w:t>Cardiomyopathy</w:t>
      </w:r>
    </w:p>
    <w:p w14:paraId="5F6A3720" w14:textId="77777777" w:rsidR="00190762" w:rsidRDefault="00190762" w:rsidP="005E16A1">
      <w:pPr>
        <w:pStyle w:val="StyleListParagraphTimesNewRomanJustifiedBefore12pt1"/>
        <w:numPr>
          <w:ilvl w:val="1"/>
          <w:numId w:val="35"/>
        </w:numPr>
      </w:pPr>
      <w:r w:rsidRPr="00077A84">
        <w:t>Certain inherited arrhythmia syndromes (LQTS, CPVT)</w:t>
      </w:r>
    </w:p>
    <w:p w14:paraId="08D1C21C" w14:textId="77777777" w:rsidR="00190762" w:rsidRPr="0099709F" w:rsidRDefault="00190762" w:rsidP="005E16A1">
      <w:pPr>
        <w:pStyle w:val="StyleListParagraphTimesNewRomanJustifiedBefore12pt1"/>
        <w:numPr>
          <w:ilvl w:val="1"/>
          <w:numId w:val="35"/>
        </w:numPr>
      </w:pPr>
      <w:r w:rsidRPr="00077A84">
        <w:t>Complex acquired ventricular arrhythmias</w:t>
      </w:r>
    </w:p>
    <w:p w14:paraId="72106CD5" w14:textId="77777777" w:rsidR="005B65C7" w:rsidRDefault="00140FF6" w:rsidP="00190762">
      <w:pPr>
        <w:pStyle w:val="AttHeading3"/>
      </w:pPr>
      <w:r w:rsidRPr="0099709F">
        <w:lastRenderedPageBreak/>
        <w:t>Indications for exercise test termination</w:t>
      </w:r>
    </w:p>
    <w:p w14:paraId="7B2C1E36" w14:textId="77777777" w:rsidR="00190762" w:rsidRDefault="00190762" w:rsidP="007E5FA4">
      <w:pPr>
        <w:pStyle w:val="StyleListParagraphTimesNewRomanJustifiedBefore12pt1"/>
        <w:numPr>
          <w:ilvl w:val="1"/>
          <w:numId w:val="35"/>
        </w:numPr>
      </w:pPr>
      <w:r w:rsidRPr="00190762">
        <w:t>Where diagnostic findings have been established or a pre-determined end point has been reached</w:t>
      </w:r>
    </w:p>
    <w:p w14:paraId="6690011D" w14:textId="77777777" w:rsidR="00190762" w:rsidRPr="00190762" w:rsidRDefault="00190762" w:rsidP="007E5FA4">
      <w:pPr>
        <w:pStyle w:val="StyleListParagraphTimesNewRomanJustifiedBefore12pt1"/>
        <w:numPr>
          <w:ilvl w:val="1"/>
          <w:numId w:val="35"/>
        </w:numPr>
      </w:pPr>
      <w:r w:rsidRPr="00077A84">
        <w:rPr>
          <w:szCs w:val="22"/>
        </w:rPr>
        <w:t>In the event of failure of monitoring equipment</w:t>
      </w:r>
    </w:p>
    <w:p w14:paraId="3D87AD59" w14:textId="77777777" w:rsidR="00190762" w:rsidRDefault="00190762" w:rsidP="007E5FA4">
      <w:pPr>
        <w:pStyle w:val="StyleListParagraphTimesNewRomanJustifiedBefore12pt1"/>
        <w:numPr>
          <w:ilvl w:val="1"/>
          <w:numId w:val="35"/>
        </w:numPr>
      </w:pPr>
      <w:r w:rsidRPr="00190762">
        <w:t xml:space="preserve">When signs or symptoms indicate a potential hazard to the patient which may result in injury </w:t>
      </w:r>
      <w:r>
        <w:t>–</w:t>
      </w:r>
    </w:p>
    <w:p w14:paraId="1911F3D2" w14:textId="77777777" w:rsidR="00190762" w:rsidRPr="00190762" w:rsidRDefault="00190762" w:rsidP="007E5FA4">
      <w:pPr>
        <w:pStyle w:val="ListParagraph"/>
        <w:numPr>
          <w:ilvl w:val="2"/>
          <w:numId w:val="35"/>
        </w:numPr>
        <w:rPr>
          <w:rFonts w:ascii="Times New Roman" w:hAnsi="Times New Roman"/>
          <w:szCs w:val="20"/>
        </w:rPr>
      </w:pPr>
      <w:r w:rsidRPr="00190762">
        <w:rPr>
          <w:rFonts w:ascii="Times New Roman" w:hAnsi="Times New Roman"/>
          <w:b/>
          <w:szCs w:val="20"/>
        </w:rPr>
        <w:t>Symptoms</w:t>
      </w:r>
      <w:r w:rsidRPr="00190762">
        <w:rPr>
          <w:rFonts w:ascii="Times New Roman" w:hAnsi="Times New Roman"/>
          <w:szCs w:val="20"/>
        </w:rPr>
        <w:t xml:space="preserve"> - pain, headache, dizziness, syncope, excessive dyspnoea or fatigue</w:t>
      </w:r>
    </w:p>
    <w:p w14:paraId="60C37383" w14:textId="77777777" w:rsidR="00190762" w:rsidRPr="00190762" w:rsidRDefault="00190762" w:rsidP="007E5FA4">
      <w:pPr>
        <w:pStyle w:val="StyleListParagraphTimesNewRomanJustifiedBefore12pt1"/>
        <w:numPr>
          <w:ilvl w:val="2"/>
          <w:numId w:val="35"/>
        </w:numPr>
      </w:pPr>
      <w:r w:rsidRPr="00077A84">
        <w:rPr>
          <w:b/>
        </w:rPr>
        <w:t>Signs</w:t>
      </w:r>
      <w:r w:rsidRPr="00077A84">
        <w:t xml:space="preserve"> – ST segment depression or elevation &gt; 3 mm, significant arrhythmia precipitated or aggravated by test, progressive decrease in blood pressure</w:t>
      </w:r>
    </w:p>
    <w:p w14:paraId="45335995" w14:textId="77777777" w:rsidR="005B65C7" w:rsidRPr="006641EA" w:rsidRDefault="005B65C7" w:rsidP="00733DE0">
      <w:pPr>
        <w:pStyle w:val="NormalF"/>
        <w:rPr>
          <w:rStyle w:val="StyleTimesNewRoman"/>
        </w:rPr>
      </w:pPr>
      <w:r w:rsidRPr="006641EA">
        <w:rPr>
          <w:rStyle w:val="StyleTimesNewRoman"/>
        </w:rPr>
        <w:t>Although VO</w:t>
      </w:r>
      <w:r w:rsidRPr="00B71D37">
        <w:rPr>
          <w:vertAlign w:val="subscript"/>
        </w:rPr>
        <w:t>2max</w:t>
      </w:r>
      <w:r w:rsidRPr="006641EA">
        <w:rPr>
          <w:rStyle w:val="StyleTimesNewRoman"/>
        </w:rPr>
        <w:t xml:space="preserve"> is widely considered to be the best single indicator of cardiorespiratory function in adults and children, up to 50% of children fail to reach a VO</w:t>
      </w:r>
      <w:r w:rsidRPr="00077A84">
        <w:rPr>
          <w:vertAlign w:val="subscript"/>
        </w:rPr>
        <w:t>2</w:t>
      </w:r>
      <w:r w:rsidRPr="006641EA">
        <w:rPr>
          <w:rStyle w:val="StyleTimesNewRoman"/>
        </w:rPr>
        <w:t xml:space="preserve"> plateau. The VO</w:t>
      </w:r>
      <w:r w:rsidRPr="00E56BD5">
        <w:rPr>
          <w:vertAlign w:val="subscript"/>
        </w:rPr>
        <w:t>2peak</w:t>
      </w:r>
      <w:r w:rsidRPr="006641EA">
        <w:rPr>
          <w:rStyle w:val="StyleTimesNewRoman"/>
        </w:rPr>
        <w:t xml:space="preserve"> is therefore considered more appropriate as a marker of maximal exertion. </w:t>
      </w:r>
      <w:r w:rsidRPr="00E56BD5">
        <w:rPr>
          <w:vertAlign w:val="superscript"/>
        </w:rPr>
        <w:fldChar w:fldCharType="begin"/>
      </w:r>
      <w:r>
        <w:rPr>
          <w:vertAlign w:val="superscript"/>
        </w:rPr>
        <w:instrText xml:space="preserve"> ADDIN EN.CITE &lt;EndNote&gt;&lt;Cite&gt;&lt;Author&gt;Takken&lt;/Author&gt;&lt;Year&gt;2009&lt;/Year&gt;&lt;RecNum&gt;26&lt;/RecNum&gt;&lt;DisplayText&gt;[34]&lt;/DisplayText&gt;&lt;record&gt;&lt;rec-number&gt;26&lt;/rec-number&gt;&lt;foreign-keys&gt;&lt;key app="EN" db-id="2s0zpwfdupzz5vea22r52zesva2xtrt0w5vv" timestamp="1457956729"&gt;26&lt;/key&gt;&lt;/foreign-keys&gt;&lt;ref-type name="Journal Article"&gt;17&lt;/ref-type&gt;&lt;contributors&gt;&lt;authors&gt;&lt;author&gt;Takken, T&lt;/author&gt;&lt;author&gt;Blank, AC&lt;/author&gt;&lt;author&gt;Hulzebos, eh&lt;/author&gt;&lt;author&gt;van Brussel, M&lt;/author&gt;&lt;author&gt;Groen, WG&lt;/author&gt;&lt;author&gt;Helders, PJ&lt;/author&gt;&lt;/authors&gt;&lt;/contributors&gt;&lt;titles&gt;&lt;title&gt;Cardiopulmonary exercise testing in congenital heart disease: (contr) indications and interpretation &lt;/title&gt;&lt;secondary-title&gt;Netherlands Heart Journal&lt;/secondary-title&gt;&lt;/titles&gt;&lt;periodical&gt;&lt;full-title&gt;Netherlands Heart Journal&lt;/full-title&gt;&lt;/periodical&gt;&lt;pages&gt;385-392&lt;/pages&gt;&lt;volume&gt;17&lt;/volume&gt;&lt;number&gt;10&lt;/number&gt;&lt;dates&gt;&lt;year&gt;2009&lt;/year&gt;&lt;/dates&gt;&lt;urls&gt;&lt;/urls&gt;&lt;/record&gt;&lt;/Cite&gt;&lt;/EndNote&gt;</w:instrText>
      </w:r>
      <w:r w:rsidRPr="00E56BD5">
        <w:rPr>
          <w:vertAlign w:val="superscript"/>
        </w:rPr>
        <w:fldChar w:fldCharType="separate"/>
      </w:r>
      <w:r>
        <w:rPr>
          <w:noProof/>
          <w:vertAlign w:val="superscript"/>
        </w:rPr>
        <w:t>[34]</w:t>
      </w:r>
      <w:r w:rsidRPr="00E56BD5">
        <w:rPr>
          <w:vertAlign w:val="superscript"/>
        </w:rPr>
        <w:fldChar w:fldCharType="end"/>
      </w:r>
      <w:r w:rsidRPr="006641EA">
        <w:rPr>
          <w:rStyle w:val="StyleTimesNewRoman"/>
        </w:rPr>
        <w:t xml:space="preserve"> The VE/VCO</w:t>
      </w:r>
      <w:r w:rsidRPr="00E56BD5">
        <w:rPr>
          <w:vertAlign w:val="subscript"/>
        </w:rPr>
        <w:t>2</w:t>
      </w:r>
      <w:r w:rsidRPr="006641EA">
        <w:rPr>
          <w:rStyle w:val="StyleTimesNewRoman"/>
        </w:rPr>
        <w:t xml:space="preserve"> slope has been studied in the paediatric population, but requires further research. Studies investigating ventilatory efficiency in children have tended to have small numbers of subjects and often suffered from methodological flaws such as lack of control group for comparison or a heterogeneic patient population.</w:t>
      </w:r>
      <w:r w:rsidRPr="00E56BD5">
        <w:rPr>
          <w:vertAlign w:val="superscript"/>
        </w:rPr>
        <w:fldChar w:fldCharType="begin"/>
      </w:r>
      <w:r>
        <w:rPr>
          <w:vertAlign w:val="superscript"/>
        </w:rPr>
        <w:instrText xml:space="preserve"> ADDIN EN.CITE &lt;EndNote&gt;&lt;Cite&gt;&lt;Author&gt;Parazzi&lt;/Author&gt;&lt;Year&gt;2015&lt;/Year&gt;&lt;RecNum&gt;35&lt;/RecNum&gt;&lt;DisplayText&gt;[35]&lt;/DisplayText&gt;&lt;record&gt;&lt;rec-number&gt;35&lt;/rec-number&gt;&lt;foreign-keys&gt;&lt;key app="EN" db-id="2s0zpwfdupzz5vea22r52zesva2xtrt0w5vv" timestamp="1458034542"&gt;35&lt;/key&gt;&lt;/foreign-keys&gt;&lt;ref-type name="Journal Article"&gt;17&lt;/ref-type&gt;&lt;contributors&gt;&lt;authors&gt;&lt;author&gt;Parazzi, PLF&lt;/author&gt;&lt;author&gt;Marson, AL&lt;/author&gt;&lt;author&gt;Ribeiro, MAGO&lt;/author&gt;&lt;author&gt;Schivinski, CIS&lt;/author&gt;&lt;author&gt;Ribeiro, JD&lt;/author&gt;&lt;/authors&gt;&lt;/contributors&gt;&lt;titles&gt;&lt;title&gt;Ventilatory Efficiency in Children and Adolescents: A Systematic Review &lt;/title&gt;&lt;secondary-title&gt;Disease Markers &lt;/secondary-title&gt;&lt;/titles&gt;&lt;periodical&gt;&lt;full-title&gt;Disease Markers&lt;/full-title&gt;&lt;/periodical&gt;&lt;volume&gt;2015&lt;/volume&gt;&lt;dates&gt;&lt;year&gt;2015&lt;/year&gt;&lt;/dates&gt;&lt;urls&gt;&lt;/urls&gt;&lt;custom7&gt;546891&lt;/custom7&gt;&lt;electronic-resource-num&gt;10.1155/2015/546891&lt;/electronic-resource-num&gt;&lt;/record&gt;&lt;/Cite&gt;&lt;/EndNote&gt;</w:instrText>
      </w:r>
      <w:r w:rsidRPr="00E56BD5">
        <w:rPr>
          <w:vertAlign w:val="superscript"/>
        </w:rPr>
        <w:fldChar w:fldCharType="separate"/>
      </w:r>
      <w:r>
        <w:rPr>
          <w:noProof/>
          <w:vertAlign w:val="superscript"/>
        </w:rPr>
        <w:t>[35]</w:t>
      </w:r>
      <w:r w:rsidRPr="00E56BD5">
        <w:rPr>
          <w:vertAlign w:val="superscript"/>
        </w:rPr>
        <w:fldChar w:fldCharType="end"/>
      </w:r>
    </w:p>
    <w:p w14:paraId="5E007FAB" w14:textId="77777777" w:rsidR="005B65C7" w:rsidRPr="006641EA" w:rsidRDefault="005B65C7" w:rsidP="00733DE0">
      <w:pPr>
        <w:pStyle w:val="NormalF"/>
        <w:rPr>
          <w:rStyle w:val="StyleTimesNewRoman"/>
        </w:rPr>
      </w:pPr>
      <w:r w:rsidRPr="006641EA">
        <w:rPr>
          <w:rStyle w:val="StyleTimesNewRoman"/>
        </w:rPr>
        <w:t>A prospective study by Karila et al</w:t>
      </w:r>
      <w:r w:rsidRPr="00E56BD5">
        <w:rPr>
          <w:vertAlign w:val="superscript"/>
        </w:rPr>
        <w:fldChar w:fldCharType="begin"/>
      </w:r>
      <w:r>
        <w:rPr>
          <w:vertAlign w:val="superscript"/>
        </w:rPr>
        <w:instrText xml:space="preserve"> ADDIN EN.CITE &lt;EndNote&gt;&lt;Cite&gt;&lt;Author&gt;Karila&lt;/Author&gt;&lt;Year&gt;2001&lt;/Year&gt;&lt;RecNum&gt;36&lt;/RecNum&gt;&lt;DisplayText&gt;[36]&lt;/DisplayText&gt;&lt;record&gt;&lt;rec-number&gt;36&lt;/rec-number&gt;&lt;foreign-keys&gt;&lt;key app="EN" db-id="2s0zpwfdupzz5vea22r52zesva2xtrt0w5vv" timestamp="1458040829"&gt;36&lt;/key&gt;&lt;/foreign-keys&gt;&lt;ref-type name="Journal Article"&gt;17&lt;/ref-type&gt;&lt;contributors&gt;&lt;authors&gt;&lt;author&gt;Karila, C&lt;/author&gt;&lt;author&gt;de Blic, J&lt;/author&gt;&lt;author&gt;Waernessyckle, S&lt;/author&gt;&lt;author&gt;Benoist, M&lt;/author&gt;&lt;author&gt;Scheinmann, P&lt;/author&gt;&lt;/authors&gt;&lt;/contributors&gt;&lt;titles&gt;&lt;title&gt;Cardiopulmonary Exercise Testing in Children &lt;/title&gt;&lt;secondary-title&gt;Chest&lt;/secondary-title&gt;&lt;/titles&gt;&lt;periodical&gt;&lt;full-title&gt;Chest&lt;/full-title&gt;&lt;/periodical&gt;&lt;pages&gt;81-87&lt;/pages&gt;&lt;volume&gt;120&lt;/volume&gt;&lt;number&gt;1&lt;/number&gt;&lt;dates&gt;&lt;year&gt;2001&lt;/year&gt;&lt;/dates&gt;&lt;urls&gt;&lt;/urls&gt;&lt;/record&gt;&lt;/Cite&gt;&lt;/EndNote&gt;</w:instrText>
      </w:r>
      <w:r w:rsidRPr="00E56BD5">
        <w:rPr>
          <w:vertAlign w:val="superscript"/>
        </w:rPr>
        <w:fldChar w:fldCharType="separate"/>
      </w:r>
      <w:r>
        <w:rPr>
          <w:noProof/>
          <w:vertAlign w:val="superscript"/>
        </w:rPr>
        <w:t>[36]</w:t>
      </w:r>
      <w:r w:rsidRPr="00E56BD5">
        <w:rPr>
          <w:vertAlign w:val="superscript"/>
        </w:rPr>
        <w:fldChar w:fldCharType="end"/>
      </w:r>
      <w:r w:rsidRPr="006641EA">
        <w:rPr>
          <w:rStyle w:val="StyleTimesNewRoman"/>
        </w:rPr>
        <w:t xml:space="preserve"> argued the feasibility of individualized protocols for increasing workload during CPET in children, finding that it was safe and well tolerated regardless of whether treadmill or cycle ergometer were used.</w:t>
      </w:r>
    </w:p>
    <w:p w14:paraId="542EBB74" w14:textId="77777777" w:rsidR="006641EA" w:rsidRPr="00E172E7" w:rsidRDefault="005B65C7" w:rsidP="00733DE0">
      <w:pPr>
        <w:pStyle w:val="NormalF"/>
      </w:pPr>
      <w:r w:rsidRPr="006641EA">
        <w:t>The available evidence pertaining to CPET use in children appears to conclude that it is safe and well tolerated when performed by appropriately trained staff under closely monitored conditions. Indications for use of CPET in the paediatric population may differ slightly to adults, though this is likely attributable to the differences in physiological parameters and prevalence of specific diseases.</w:t>
      </w:r>
    </w:p>
    <w:p w14:paraId="1FDA4668" w14:textId="77777777" w:rsidR="005B65C7" w:rsidRPr="00BF5208" w:rsidRDefault="00B51DD8" w:rsidP="00B51DD8">
      <w:pPr>
        <w:pStyle w:val="AttHeading2"/>
      </w:pPr>
      <w:r w:rsidRPr="00BE2BF4">
        <w:t>Summary</w:t>
      </w:r>
    </w:p>
    <w:p w14:paraId="13CBC186" w14:textId="77777777" w:rsidR="005B65C7" w:rsidRPr="006641EA" w:rsidRDefault="005B65C7" w:rsidP="00733DE0">
      <w:pPr>
        <w:pStyle w:val="NormalF"/>
        <w:rPr>
          <w:rStyle w:val="StyleTimesNewRoman"/>
        </w:rPr>
      </w:pPr>
      <w:r w:rsidRPr="006641EA">
        <w:rPr>
          <w:rStyle w:val="StyleTimesNewRoman"/>
        </w:rPr>
        <w:t>The evidence demonstrates that CPET is able to provide valuable information relating to functional capacity of both adults and children in full health as well as varying disease states. It has utility in diagnosis, prognosis and assessment of therapeutic interventions in numerous conditions, as well as being a useful tool to assess functional capacity in healthy subjects. The available literature suggests that CPET is significantly underutilised, a fact that may be attributable to its more complex infrastructure requirements and increased cost. Comparative submaximal tests such as the 6MWT have been shown to be useful in functional assessment, but are not replacements for CPET where specific data is required for clinical decisions.</w:t>
      </w:r>
      <w:r w:rsidRPr="00B71D37">
        <w:rPr>
          <w:vertAlign w:val="superscript"/>
        </w:rPr>
        <w:fldChar w:fldCharType="begin"/>
      </w:r>
      <w:r w:rsidRPr="00B71D37">
        <w:rPr>
          <w:vertAlign w:val="superscript"/>
        </w:rPr>
        <w:instrText xml:space="preserve"> ADDIN EN.CITE &lt;EndNote&gt;&lt;Cite&gt;&lt;Author&gt;ATS/ACCP&lt;/Author&gt;&lt;Year&gt;2003&lt;/Year&gt;&lt;RecNum&gt;1&lt;/RecNum&gt;&lt;DisplayText&gt;[1]&lt;/DisplayText&gt;&lt;record&gt;&lt;rec-number&gt;1&lt;/rec-number&gt;&lt;foreign-keys&gt;&lt;key app="EN" db-id="2s0zpwfdupzz5vea22r52zesva2xtrt0w5vv" timestamp="1456047133"&gt;1&lt;/key&gt;&lt;/foreign-keys&gt;&lt;ref-type name="Journal Article"&gt;17&lt;/ref-type&gt;&lt;contributors&gt;&lt;authors&gt;&lt;author&gt;ATS/ACCP &lt;/author&gt;&lt;/authors&gt;&lt;/contributors&gt;&lt;titles&gt;&lt;title&gt;ATS/ACCP Statement on Cardiopulmonary Exercise Testing&lt;/title&gt;&lt;secondary-title&gt;American Journal of Respiratory and and Critical Care Medicine&lt;/secondary-title&gt;&lt;/titles&gt;&lt;periodical&gt;&lt;full-title&gt;American Journal of Respiratory and and Critical Care Medicine&lt;/full-title&gt;&lt;/periodical&gt;&lt;pages&gt;211-277&lt;/pages&gt;&lt;volume&gt;167&lt;/volume&gt;&lt;dates&gt;&lt;year&gt;2003&lt;/year&gt;&lt;/dates&gt;&lt;urls&gt;&lt;/urls&gt;&lt;/record&gt;&lt;/Cite&gt;&lt;/EndNote&gt;</w:instrText>
      </w:r>
      <w:r w:rsidRPr="00B71D37">
        <w:rPr>
          <w:vertAlign w:val="superscript"/>
        </w:rPr>
        <w:fldChar w:fldCharType="separate"/>
      </w:r>
      <w:r w:rsidRPr="00B71D37">
        <w:rPr>
          <w:noProof/>
          <w:vertAlign w:val="superscript"/>
        </w:rPr>
        <w:t>[1]</w:t>
      </w:r>
      <w:r w:rsidRPr="00B71D37">
        <w:rPr>
          <w:vertAlign w:val="superscript"/>
        </w:rPr>
        <w:fldChar w:fldCharType="end"/>
      </w:r>
      <w:r w:rsidRPr="006641EA">
        <w:rPr>
          <w:rStyle w:val="StyleTimesNewRoman"/>
        </w:rPr>
        <w:t xml:space="preserve"> Conversely, the complexity and expense of CPET ensures that the 6MWT and other comparative exercise tests will continue their widespread use, as despite being submaximal, they continue to provide reliable information in a number of clinical scenarios. There is scope to increase the clinical utility of CPET and more research is required into areas such as the development of reference values and specific protocols, particularly the role of constant work tests.</w:t>
      </w:r>
      <w:r w:rsidRPr="00B71D37">
        <w:rPr>
          <w:vertAlign w:val="superscript"/>
        </w:rPr>
        <w:fldChar w:fldCharType="begin"/>
      </w:r>
      <w:r w:rsidRPr="00B71D37">
        <w:rPr>
          <w:vertAlign w:val="superscript"/>
        </w:rPr>
        <w:instrText xml:space="preserve"> ADDIN EN.CITE &lt;EndNote&gt;&lt;Cite&gt;&lt;Author&gt;ATS/ACCP&lt;/Author&gt;&lt;Year&gt;2003&lt;/Year&gt;&lt;RecNum&gt;1&lt;/RecNum&gt;&lt;DisplayText&gt;[1]&lt;/DisplayText&gt;&lt;record&gt;&lt;rec-number&gt;1&lt;/rec-number&gt;&lt;foreign-keys&gt;&lt;key app="EN" db-id="2s0zpwfdupzz5vea22r52zesva2xtrt0w5vv" timestamp="1456047133"&gt;1&lt;/key&gt;&lt;/foreign-keys&gt;&lt;ref-type name="Journal Article"&gt;17&lt;/ref-type&gt;&lt;contributors&gt;&lt;authors&gt;&lt;author&gt;ATS/ACCP &lt;/author&gt;&lt;/authors&gt;&lt;/contributors&gt;&lt;titles&gt;&lt;title&gt;ATS/ACCP Statement on Cardiopulmonary Exercise Testing&lt;/title&gt;&lt;secondary-title&gt;American Journal of Respiratory and and Critical Care Medicine&lt;/secondary-title&gt;&lt;/titles&gt;&lt;periodical&gt;&lt;full-title&gt;American Journal of Respiratory and and Critical Care Medicine&lt;/full-title&gt;&lt;/periodical&gt;&lt;pages&gt;211-277&lt;/pages&gt;&lt;volume&gt;167&lt;/volume&gt;&lt;dates&gt;&lt;year&gt;2003&lt;/year&gt;&lt;/dates&gt;&lt;urls&gt;&lt;/urls&gt;&lt;/record&gt;&lt;/Cite&gt;&lt;/EndNote&gt;</w:instrText>
      </w:r>
      <w:r w:rsidRPr="00B71D37">
        <w:rPr>
          <w:vertAlign w:val="superscript"/>
        </w:rPr>
        <w:fldChar w:fldCharType="separate"/>
      </w:r>
      <w:r w:rsidRPr="00B71D37">
        <w:rPr>
          <w:noProof/>
          <w:vertAlign w:val="superscript"/>
        </w:rPr>
        <w:t>[1]</w:t>
      </w:r>
      <w:r w:rsidRPr="00B71D37">
        <w:rPr>
          <w:vertAlign w:val="superscript"/>
        </w:rPr>
        <w:fldChar w:fldCharType="end"/>
      </w:r>
      <w:r w:rsidRPr="00B71D37">
        <w:rPr>
          <w:vertAlign w:val="superscript"/>
        </w:rPr>
        <w:t xml:space="preserve"> </w:t>
      </w:r>
    </w:p>
    <w:p w14:paraId="0ACBFEEF" w14:textId="77777777" w:rsidR="006641EA" w:rsidRPr="006641EA" w:rsidRDefault="005B65C7" w:rsidP="00733DE0">
      <w:pPr>
        <w:pStyle w:val="NormalF"/>
        <w:rPr>
          <w:rStyle w:val="StyleTimesNewRoman"/>
        </w:rPr>
      </w:pPr>
      <w:r w:rsidRPr="006641EA">
        <w:rPr>
          <w:rStyle w:val="StyleTimesNewRoman"/>
        </w:rPr>
        <w:t xml:space="preserve">The safety of CPET has been studied extensively. It is found to be a safe and well tolerated procedure when conducted according to accepted guidelines, by qualified personnel. Absolute and relative </w:t>
      </w:r>
      <w:r w:rsidRPr="006641EA">
        <w:rPr>
          <w:rStyle w:val="StyleTimesNewRoman"/>
        </w:rPr>
        <w:lastRenderedPageBreak/>
        <w:t>contraindications to testing are well established, although there is evidence as to its safety even in high risk populations.</w:t>
      </w:r>
      <w:r w:rsidR="00E172E7" w:rsidRPr="006641EA">
        <w:rPr>
          <w:rStyle w:val="StyleTimesNewRoman"/>
        </w:rPr>
        <w:t xml:space="preserve"> </w:t>
      </w:r>
    </w:p>
    <w:p w14:paraId="4EFFD4B7" w14:textId="77777777" w:rsidR="006641EA" w:rsidRPr="006641EA" w:rsidRDefault="005B65C7" w:rsidP="00733DE0">
      <w:pPr>
        <w:pStyle w:val="NormalF"/>
        <w:rPr>
          <w:rStyle w:val="StyleTimesNewRoman"/>
        </w:rPr>
      </w:pPr>
      <w:r w:rsidRPr="006641EA">
        <w:rPr>
          <w:rStyle w:val="StyleTimesNewRoman"/>
        </w:rPr>
        <w:t>CPET in the paediatric population is also considered a safe and accurate method of assessing functional capacity. Whilst the evidence in this population is not as vast, there is considerable scope for further research into utility and interpretation in paediatric patients. Indications for CPET in children do not differ significantly from adults, and relate mainly to differences in physiology and prevalence of specific conditions.</w:t>
      </w:r>
      <w:r w:rsidR="006641EA" w:rsidRPr="006641EA">
        <w:rPr>
          <w:rStyle w:val="StyleTimesNewRoman"/>
        </w:rPr>
        <w:t xml:space="preserve"> </w:t>
      </w:r>
    </w:p>
    <w:p w14:paraId="47904BAB" w14:textId="77777777" w:rsidR="005B65C7" w:rsidRPr="00C30EF8" w:rsidRDefault="00B51DD8" w:rsidP="00B51DD8">
      <w:pPr>
        <w:pStyle w:val="AttHeading2"/>
      </w:pPr>
      <w:r w:rsidRPr="00C30EF8">
        <w:t xml:space="preserve">References </w:t>
      </w:r>
    </w:p>
    <w:p w14:paraId="05B3BB23" w14:textId="77777777" w:rsidR="005B65C7" w:rsidRPr="00B71D37" w:rsidRDefault="005B65C7" w:rsidP="005B65C7">
      <w:pPr>
        <w:pStyle w:val="EndNoteBibliography"/>
        <w:ind w:left="720" w:hanging="720"/>
      </w:pPr>
      <w:r w:rsidRPr="00077A84">
        <w:rPr>
          <w:rFonts w:ascii="Times New Roman" w:hAnsi="Times New Roman" w:cs="Times New Roman"/>
          <w:b/>
        </w:rPr>
        <w:fldChar w:fldCharType="begin"/>
      </w:r>
      <w:r w:rsidRPr="00077A84">
        <w:rPr>
          <w:rFonts w:ascii="Times New Roman" w:hAnsi="Times New Roman" w:cs="Times New Roman"/>
          <w:b/>
        </w:rPr>
        <w:instrText xml:space="preserve"> ADDIN EN.REFLIST </w:instrText>
      </w:r>
      <w:r w:rsidRPr="00077A84">
        <w:rPr>
          <w:rFonts w:ascii="Times New Roman" w:hAnsi="Times New Roman" w:cs="Times New Roman"/>
          <w:b/>
        </w:rPr>
        <w:fldChar w:fldCharType="separate"/>
      </w:r>
      <w:r w:rsidRPr="00B71D37">
        <w:t>1.</w:t>
      </w:r>
      <w:r w:rsidRPr="00B71D37">
        <w:tab/>
        <w:t xml:space="preserve">ATS/ACCP, </w:t>
      </w:r>
      <w:r w:rsidRPr="00B71D37">
        <w:rPr>
          <w:i/>
        </w:rPr>
        <w:t>ATS/ACCP Statement on Cardiopulmonary Exercise Testing.</w:t>
      </w:r>
      <w:r w:rsidRPr="00B71D37">
        <w:t xml:space="preserve"> American Journal of Respiratory and and Critical Care Medicine, 2003. </w:t>
      </w:r>
      <w:r w:rsidRPr="00B71D37">
        <w:rPr>
          <w:b/>
        </w:rPr>
        <w:t>167</w:t>
      </w:r>
      <w:r w:rsidRPr="00B71D37">
        <w:t>: p. 211-277.</w:t>
      </w:r>
    </w:p>
    <w:p w14:paraId="5B1EE34A" w14:textId="77777777" w:rsidR="005B65C7" w:rsidRPr="00B71D37" w:rsidRDefault="005B65C7" w:rsidP="005B65C7">
      <w:pPr>
        <w:pStyle w:val="EndNoteBibliography"/>
        <w:ind w:left="720" w:hanging="720"/>
      </w:pPr>
      <w:r w:rsidRPr="00B71D37">
        <w:t>2.</w:t>
      </w:r>
      <w:r w:rsidRPr="00B71D37">
        <w:tab/>
        <w:t xml:space="preserve">Debapriya, D., E. Normandin, and ZuWallack, </w:t>
      </w:r>
      <w:r w:rsidRPr="00B71D37">
        <w:rPr>
          <w:i/>
        </w:rPr>
        <w:t xml:space="preserve">Cardiopulmonary exercise testing in the assessment of exertional dyspnoea </w:t>
      </w:r>
      <w:r w:rsidRPr="00B71D37">
        <w:t xml:space="preserve">Ann Thoracic Med, 2015. </w:t>
      </w:r>
      <w:r w:rsidRPr="00B71D37">
        <w:rPr>
          <w:b/>
        </w:rPr>
        <w:t>10</w:t>
      </w:r>
      <w:r w:rsidRPr="00B71D37">
        <w:t>(2): p. 77-86.</w:t>
      </w:r>
    </w:p>
    <w:p w14:paraId="4B0262DA" w14:textId="77777777" w:rsidR="005B65C7" w:rsidRPr="00B71D37" w:rsidRDefault="005B65C7" w:rsidP="005B65C7">
      <w:pPr>
        <w:pStyle w:val="EndNoteBibliography"/>
        <w:ind w:left="720" w:hanging="720"/>
      </w:pPr>
      <w:r w:rsidRPr="00B71D37">
        <w:t>3.</w:t>
      </w:r>
      <w:r w:rsidRPr="00B71D37">
        <w:tab/>
        <w:t xml:space="preserve">Balady, G., et al., </w:t>
      </w:r>
      <w:r w:rsidRPr="00B71D37">
        <w:rPr>
          <w:i/>
        </w:rPr>
        <w:t xml:space="preserve">Clinician's Guide to Cardiopulmonary Exercise Testing in Adults : A Scientific Statement from the American Heart Association </w:t>
      </w:r>
      <w:r w:rsidRPr="00B71D37">
        <w:t xml:space="preserve">Circulation, 2010. </w:t>
      </w:r>
      <w:r w:rsidRPr="00B71D37">
        <w:rPr>
          <w:b/>
        </w:rPr>
        <w:t>122</w:t>
      </w:r>
      <w:r w:rsidRPr="00B71D37">
        <w:t>: p. 191-225.</w:t>
      </w:r>
    </w:p>
    <w:p w14:paraId="35971E49" w14:textId="77777777" w:rsidR="005B65C7" w:rsidRPr="00B71D37" w:rsidRDefault="005B65C7" w:rsidP="005B65C7">
      <w:pPr>
        <w:pStyle w:val="EndNoteBibliography"/>
        <w:ind w:left="720" w:hanging="720"/>
      </w:pPr>
      <w:r w:rsidRPr="00B71D37">
        <w:t>4.</w:t>
      </w:r>
      <w:r w:rsidRPr="00B71D37">
        <w:tab/>
        <w:t xml:space="preserve">Struthers, R., et al., </w:t>
      </w:r>
      <w:r w:rsidRPr="00B71D37">
        <w:rPr>
          <w:i/>
        </w:rPr>
        <w:t xml:space="preserve">Assessing fitness for surgery: a comparison of questionnaire, incremental shuttle walk, and cardiopulmonary exercise testing in general surgical patients </w:t>
      </w:r>
      <w:r w:rsidRPr="00B71D37">
        <w:t xml:space="preserve">British Journal of Anaesthesia, 2008. </w:t>
      </w:r>
      <w:r w:rsidRPr="00B71D37">
        <w:rPr>
          <w:b/>
        </w:rPr>
        <w:t>101</w:t>
      </w:r>
      <w:r w:rsidRPr="00B71D37">
        <w:t>(6): p. 774-80.</w:t>
      </w:r>
    </w:p>
    <w:p w14:paraId="0171AF3D" w14:textId="77777777" w:rsidR="005B65C7" w:rsidRPr="00B71D37" w:rsidRDefault="005B65C7" w:rsidP="005B65C7">
      <w:pPr>
        <w:pStyle w:val="EndNoteBibliography"/>
        <w:ind w:left="720" w:hanging="720"/>
      </w:pPr>
      <w:r w:rsidRPr="00B71D37">
        <w:t>5.</w:t>
      </w:r>
      <w:r w:rsidRPr="00B71D37">
        <w:tab/>
        <w:t xml:space="preserve">Lammers, A., et al., </w:t>
      </w:r>
      <w:r w:rsidRPr="00B71D37">
        <w:rPr>
          <w:i/>
        </w:rPr>
        <w:t>Comparison of 6-min walk test distance and cardiopulmonary exercise performance in children with pulmonary hypertension.</w:t>
      </w:r>
      <w:r w:rsidRPr="00B71D37">
        <w:t xml:space="preserve"> Arch Dis Child, 2011. </w:t>
      </w:r>
      <w:r w:rsidRPr="00B71D37">
        <w:rPr>
          <w:b/>
        </w:rPr>
        <w:t>96</w:t>
      </w:r>
      <w:r w:rsidRPr="00B71D37">
        <w:t>: p. 141-147.</w:t>
      </w:r>
    </w:p>
    <w:p w14:paraId="015C6D0A" w14:textId="77777777" w:rsidR="005B65C7" w:rsidRPr="00B71D37" w:rsidRDefault="005B65C7" w:rsidP="005B65C7">
      <w:pPr>
        <w:pStyle w:val="EndNoteBibliography"/>
        <w:ind w:left="720" w:hanging="720"/>
      </w:pPr>
      <w:r w:rsidRPr="00B71D37">
        <w:t>6.</w:t>
      </w:r>
      <w:r w:rsidRPr="00B71D37">
        <w:tab/>
        <w:t xml:space="preserve">Arena, R. and K. Siestema, </w:t>
      </w:r>
      <w:r w:rsidRPr="00B71D37">
        <w:rPr>
          <w:i/>
        </w:rPr>
        <w:t>Cardiopulmonary Exercise Testing in the Clinical Evaluation of Patients with Heart and Lung Disease.</w:t>
      </w:r>
      <w:r w:rsidRPr="00B71D37">
        <w:t xml:space="preserve"> Circulation, 2011. </w:t>
      </w:r>
      <w:r w:rsidRPr="00B71D37">
        <w:rPr>
          <w:b/>
        </w:rPr>
        <w:t>123</w:t>
      </w:r>
      <w:r w:rsidRPr="00B71D37">
        <w:t>: p. 668-680.</w:t>
      </w:r>
    </w:p>
    <w:p w14:paraId="51CFBCC0" w14:textId="77777777" w:rsidR="005B65C7" w:rsidRPr="00B71D37" w:rsidRDefault="005B65C7" w:rsidP="005B65C7">
      <w:pPr>
        <w:pStyle w:val="EndNoteBibliography"/>
        <w:ind w:left="720" w:hanging="720"/>
      </w:pPr>
      <w:r w:rsidRPr="00B71D37">
        <w:t>7.</w:t>
      </w:r>
      <w:r w:rsidRPr="00B71D37">
        <w:tab/>
        <w:t xml:space="preserve">Belardinelli, R., et al., </w:t>
      </w:r>
      <w:r w:rsidRPr="00B71D37">
        <w:rPr>
          <w:i/>
        </w:rPr>
        <w:t xml:space="preserve">Exercise-induced myocardial ischaemia detected by cardiopulmonary exercise testing </w:t>
      </w:r>
      <w:r w:rsidRPr="00B71D37">
        <w:t xml:space="preserve">European Heart Journal 2003. </w:t>
      </w:r>
      <w:r w:rsidRPr="00B71D37">
        <w:rPr>
          <w:b/>
        </w:rPr>
        <w:t>24</w:t>
      </w:r>
      <w:r w:rsidRPr="00B71D37">
        <w:t>: p. 1304-1313.</w:t>
      </w:r>
    </w:p>
    <w:p w14:paraId="2988E5DB" w14:textId="77777777" w:rsidR="005B65C7" w:rsidRPr="00B71D37" w:rsidRDefault="005B65C7" w:rsidP="005B65C7">
      <w:pPr>
        <w:pStyle w:val="EndNoteBibliography"/>
        <w:ind w:left="720" w:hanging="720"/>
      </w:pPr>
      <w:r w:rsidRPr="00B71D37">
        <w:t>8.</w:t>
      </w:r>
      <w:r w:rsidRPr="00B71D37">
        <w:tab/>
        <w:t xml:space="preserve">Sun, X., et al., </w:t>
      </w:r>
      <w:r w:rsidRPr="00B71D37">
        <w:rPr>
          <w:i/>
        </w:rPr>
        <w:t>Gas Exchange Detection of Exercise-Induced Right-to-Left Shunt in Patients with Primary Pulmonary Hypertension.</w:t>
      </w:r>
      <w:r w:rsidRPr="00B71D37">
        <w:t xml:space="preserve"> Circulation, 2002. </w:t>
      </w:r>
      <w:r w:rsidRPr="00B71D37">
        <w:rPr>
          <w:b/>
        </w:rPr>
        <w:t>105</w:t>
      </w:r>
      <w:r w:rsidRPr="00B71D37">
        <w:t>: p. 54-60.</w:t>
      </w:r>
    </w:p>
    <w:p w14:paraId="03E6D476" w14:textId="77777777" w:rsidR="005B65C7" w:rsidRPr="00B71D37" w:rsidRDefault="005B65C7" w:rsidP="005B65C7">
      <w:pPr>
        <w:pStyle w:val="EndNoteBibliography"/>
        <w:ind w:left="720" w:hanging="720"/>
      </w:pPr>
      <w:r w:rsidRPr="00B71D37">
        <w:t>9.</w:t>
      </w:r>
      <w:r w:rsidRPr="00B71D37">
        <w:tab/>
        <w:t xml:space="preserve">Datta, D.N., E and R. ZuWallack, </w:t>
      </w:r>
      <w:r w:rsidRPr="00B71D37">
        <w:rPr>
          <w:i/>
        </w:rPr>
        <w:t>Cardiopulmonary exercise testing int he assessment of exertional dyspnea.</w:t>
      </w:r>
      <w:r w:rsidRPr="00B71D37">
        <w:t xml:space="preserve"> Ann Thoracic Med, 2015. </w:t>
      </w:r>
      <w:r w:rsidRPr="00B71D37">
        <w:rPr>
          <w:b/>
        </w:rPr>
        <w:t>10</w:t>
      </w:r>
      <w:r w:rsidRPr="00B71D37">
        <w:t>(2): p. 77-86.</w:t>
      </w:r>
    </w:p>
    <w:p w14:paraId="4971546F" w14:textId="77777777" w:rsidR="005B65C7" w:rsidRPr="00B71D37" w:rsidRDefault="005B65C7" w:rsidP="005B65C7">
      <w:pPr>
        <w:pStyle w:val="EndNoteBibliography"/>
        <w:ind w:left="720" w:hanging="720"/>
      </w:pPr>
      <w:r w:rsidRPr="00B71D37">
        <w:t>10.</w:t>
      </w:r>
      <w:r w:rsidRPr="00B71D37">
        <w:tab/>
        <w:t xml:space="preserve">Barron, A., et al., </w:t>
      </w:r>
      <w:r w:rsidRPr="00B71D37">
        <w:rPr>
          <w:i/>
        </w:rPr>
        <w:t>Test-retest repeatability of cardiopulmonary exercise test variables in patients with cardiac or respiratory disease.</w:t>
      </w:r>
      <w:r w:rsidRPr="00B71D37">
        <w:t xml:space="preserve"> European Journal of Preventative Cardiology, 2014. </w:t>
      </w:r>
      <w:r w:rsidRPr="00B71D37">
        <w:rPr>
          <w:b/>
        </w:rPr>
        <w:t>21</w:t>
      </w:r>
      <w:r w:rsidRPr="00B71D37">
        <w:t>(4): p. 445-53.</w:t>
      </w:r>
    </w:p>
    <w:p w14:paraId="1BC10E8D" w14:textId="77777777" w:rsidR="005B65C7" w:rsidRPr="00B71D37" w:rsidRDefault="005B65C7" w:rsidP="005B65C7">
      <w:pPr>
        <w:pStyle w:val="EndNoteBibliography"/>
        <w:ind w:left="720" w:hanging="720"/>
      </w:pPr>
      <w:r w:rsidRPr="00B71D37">
        <w:t>11.</w:t>
      </w:r>
      <w:r w:rsidRPr="00B71D37">
        <w:tab/>
        <w:t xml:space="preserve">Chua, T., et al., </w:t>
      </w:r>
      <w:r w:rsidRPr="00B71D37">
        <w:rPr>
          <w:i/>
        </w:rPr>
        <w:t>Inspiratory muscle strength is a determinant of maximum oxygen consumption in chronic heart failure.</w:t>
      </w:r>
      <w:r w:rsidRPr="00B71D37">
        <w:t xml:space="preserve"> Br Heart J, 1995. </w:t>
      </w:r>
      <w:r w:rsidRPr="00B71D37">
        <w:rPr>
          <w:b/>
        </w:rPr>
        <w:t>74</w:t>
      </w:r>
      <w:r w:rsidRPr="00B71D37">
        <w:t>(4): p. 381-5.</w:t>
      </w:r>
    </w:p>
    <w:p w14:paraId="58580419" w14:textId="77777777" w:rsidR="005B65C7" w:rsidRPr="00B71D37" w:rsidRDefault="005B65C7" w:rsidP="005B65C7">
      <w:pPr>
        <w:pStyle w:val="EndNoteBibliography"/>
        <w:ind w:left="720" w:hanging="720"/>
      </w:pPr>
      <w:r w:rsidRPr="00B71D37">
        <w:t>12.</w:t>
      </w:r>
      <w:r w:rsidRPr="00B71D37">
        <w:tab/>
        <w:t xml:space="preserve">Papazachou, O., et al., </w:t>
      </w:r>
      <w:r w:rsidRPr="00B71D37">
        <w:rPr>
          <w:i/>
        </w:rPr>
        <w:t>Pulmonary function at peak exercise in patients with chronic heart failure.</w:t>
      </w:r>
      <w:r w:rsidRPr="00B71D37">
        <w:t xml:space="preserve"> International Journal of Cardiology, 2007. </w:t>
      </w:r>
      <w:r w:rsidRPr="00B71D37">
        <w:rPr>
          <w:b/>
        </w:rPr>
        <w:t>118</w:t>
      </w:r>
      <w:r w:rsidRPr="00B71D37">
        <w:t>(1): p. 28-35.</w:t>
      </w:r>
    </w:p>
    <w:p w14:paraId="43A21ADC" w14:textId="77777777" w:rsidR="005B65C7" w:rsidRPr="00B71D37" w:rsidRDefault="005B65C7" w:rsidP="005B65C7">
      <w:pPr>
        <w:pStyle w:val="EndNoteBibliography"/>
        <w:ind w:left="720" w:hanging="720"/>
      </w:pPr>
      <w:r w:rsidRPr="00B71D37">
        <w:t>13.</w:t>
      </w:r>
      <w:r w:rsidRPr="00B71D37">
        <w:tab/>
        <w:t xml:space="preserve">Frederiksen, P., et al., </w:t>
      </w:r>
      <w:r w:rsidRPr="00B71D37">
        <w:rPr>
          <w:i/>
        </w:rPr>
        <w:t>Aerobic Capacity in Adults With Various Congenital Heart Diseases.</w:t>
      </w:r>
      <w:r w:rsidRPr="00B71D37">
        <w:t xml:space="preserve"> American Journal of Cardiology, 2001. </w:t>
      </w:r>
      <w:r w:rsidRPr="00B71D37">
        <w:rPr>
          <w:b/>
        </w:rPr>
        <w:t>87</w:t>
      </w:r>
      <w:r w:rsidRPr="00B71D37">
        <w:t>: p. 310-314.</w:t>
      </w:r>
    </w:p>
    <w:p w14:paraId="3CED335A" w14:textId="77777777" w:rsidR="005B65C7" w:rsidRPr="00B71D37" w:rsidRDefault="005B65C7" w:rsidP="005B65C7">
      <w:pPr>
        <w:pStyle w:val="EndNoteBibliography"/>
        <w:ind w:left="720" w:hanging="720"/>
      </w:pPr>
      <w:r w:rsidRPr="00B71D37">
        <w:t>14.</w:t>
      </w:r>
      <w:r w:rsidRPr="00B71D37">
        <w:tab/>
        <w:t xml:space="preserve">Pinkstaff, S., et al., </w:t>
      </w:r>
      <w:r w:rsidRPr="00B71D37">
        <w:rPr>
          <w:i/>
        </w:rPr>
        <w:t>The Clinical Utility of Cardiopulmonary Exercise Testing in Suspected or Confirmed Myocardial Ischaemia.</w:t>
      </w:r>
      <w:r w:rsidRPr="00B71D37">
        <w:t xml:space="preserve"> American Journal of Lifestyle Medicine 2010. </w:t>
      </w:r>
      <w:r w:rsidRPr="00B71D37">
        <w:rPr>
          <w:b/>
        </w:rPr>
        <w:t>4</w:t>
      </w:r>
      <w:r w:rsidRPr="00B71D37">
        <w:t>(4): p. 327-348.</w:t>
      </w:r>
    </w:p>
    <w:p w14:paraId="72D7DDD5" w14:textId="77777777" w:rsidR="005B65C7" w:rsidRPr="00B71D37" w:rsidRDefault="005B65C7" w:rsidP="005B65C7">
      <w:pPr>
        <w:pStyle w:val="EndNoteBibliography"/>
        <w:ind w:left="720" w:hanging="720"/>
      </w:pPr>
      <w:r w:rsidRPr="00B71D37">
        <w:t>15.</w:t>
      </w:r>
      <w:r w:rsidRPr="00B71D37">
        <w:tab/>
        <w:t xml:space="preserve">Corriveau, S. and N. Raghavan, </w:t>
      </w:r>
      <w:r w:rsidRPr="00B71D37">
        <w:rPr>
          <w:i/>
        </w:rPr>
        <w:t>The utility of cardiopulmonary exercise testing in evaluating the efficacy of treatment in COPD.</w:t>
      </w:r>
      <w:r w:rsidRPr="00B71D37">
        <w:t xml:space="preserve"> CIC, 2015. </w:t>
      </w:r>
      <w:r w:rsidRPr="00B71D37">
        <w:rPr>
          <w:b/>
        </w:rPr>
        <w:t>4</w:t>
      </w:r>
      <w:r w:rsidRPr="00B71D37">
        <w:t>(3): p. 88-94.</w:t>
      </w:r>
    </w:p>
    <w:p w14:paraId="5E6621EC" w14:textId="77777777" w:rsidR="005B65C7" w:rsidRPr="00B71D37" w:rsidRDefault="005B65C7" w:rsidP="005B65C7">
      <w:pPr>
        <w:pStyle w:val="EndNoteBibliography"/>
        <w:ind w:left="720" w:hanging="720"/>
      </w:pPr>
      <w:r w:rsidRPr="00B71D37">
        <w:t>16.</w:t>
      </w:r>
      <w:r w:rsidRPr="00B71D37">
        <w:tab/>
        <w:t xml:space="preserve">Holland, A., et al., </w:t>
      </w:r>
      <w:r w:rsidRPr="00B71D37">
        <w:rPr>
          <w:i/>
        </w:rPr>
        <w:t>Cardiorespiratory responses to 6-minute walk test in interstitial lung disease: not always a submaximal test.</w:t>
      </w:r>
      <w:r w:rsidRPr="00B71D37">
        <w:t xml:space="preserve"> Pulmonary Medicine, 2014. </w:t>
      </w:r>
      <w:r w:rsidRPr="00B71D37">
        <w:rPr>
          <w:b/>
        </w:rPr>
        <w:t>14</w:t>
      </w:r>
      <w:r w:rsidRPr="00B71D37">
        <w:t>: p. 136.</w:t>
      </w:r>
    </w:p>
    <w:p w14:paraId="0F304A28" w14:textId="77777777" w:rsidR="005B65C7" w:rsidRPr="00B71D37" w:rsidRDefault="005B65C7" w:rsidP="005B65C7">
      <w:pPr>
        <w:pStyle w:val="EndNoteBibliography"/>
        <w:ind w:left="720" w:hanging="720"/>
      </w:pPr>
      <w:r w:rsidRPr="00B71D37">
        <w:lastRenderedPageBreak/>
        <w:t>17.</w:t>
      </w:r>
      <w:r w:rsidRPr="00B71D37">
        <w:tab/>
        <w:t xml:space="preserve">Pollentier, B., et al., </w:t>
      </w:r>
      <w:r w:rsidRPr="00B71D37">
        <w:rPr>
          <w:i/>
        </w:rPr>
        <w:t xml:space="preserve">Examination of the Six Minute Walk Test to Determine Functional Capacity in People with Chronic Heart Failure:: A Systematic Review </w:t>
      </w:r>
      <w:r w:rsidRPr="00B71D37">
        <w:t xml:space="preserve">Cardiopulm Phys Ther, 2010. </w:t>
      </w:r>
      <w:r w:rsidRPr="00B71D37">
        <w:rPr>
          <w:b/>
        </w:rPr>
        <w:t>21</w:t>
      </w:r>
      <w:r w:rsidRPr="00B71D37">
        <w:t>(1): p. 13-21.</w:t>
      </w:r>
    </w:p>
    <w:p w14:paraId="4A9997D4" w14:textId="77777777" w:rsidR="005B65C7" w:rsidRPr="00B71D37" w:rsidRDefault="005B65C7" w:rsidP="005B65C7">
      <w:pPr>
        <w:pStyle w:val="EndNoteBibliography"/>
        <w:ind w:left="720" w:hanging="720"/>
      </w:pPr>
      <w:r w:rsidRPr="00B71D37">
        <w:t>18.</w:t>
      </w:r>
      <w:r w:rsidRPr="00B71D37">
        <w:tab/>
        <w:t xml:space="preserve">Sperandio, E.A., RL, et al., </w:t>
      </w:r>
      <w:r w:rsidRPr="00B71D37">
        <w:rPr>
          <w:i/>
        </w:rPr>
        <w:t>Intensity and phsyiological responses to the 6-minute walk test in middle-aged and older adults: a comparison with cardiopulmonary exercise testing.</w:t>
      </w:r>
      <w:r w:rsidRPr="00B71D37">
        <w:t xml:space="preserve"> Braz J Med Biol Res, 2015 </w:t>
      </w:r>
      <w:r w:rsidRPr="00B71D37">
        <w:rPr>
          <w:b/>
        </w:rPr>
        <w:t>48</w:t>
      </w:r>
      <w:r w:rsidRPr="00B71D37">
        <w:t>(4): p. 349-353.</w:t>
      </w:r>
    </w:p>
    <w:p w14:paraId="01627BCF" w14:textId="77777777" w:rsidR="005B65C7" w:rsidRPr="00B71D37" w:rsidRDefault="005B65C7" w:rsidP="005B65C7">
      <w:pPr>
        <w:pStyle w:val="EndNoteBibliography"/>
        <w:ind w:left="720" w:hanging="720"/>
      </w:pPr>
      <w:r w:rsidRPr="00B71D37">
        <w:t>19.</w:t>
      </w:r>
      <w:r w:rsidRPr="00B71D37">
        <w:tab/>
        <w:t xml:space="preserve">Slaman, J., et al., </w:t>
      </w:r>
      <w:r w:rsidRPr="00B71D37">
        <w:rPr>
          <w:i/>
        </w:rPr>
        <w:t>The six-minute walk test cannot predict peak cardiopulmonary fitness in ambulatory adolescents and young adults with cerebral palsy.</w:t>
      </w:r>
      <w:r w:rsidRPr="00B71D37">
        <w:t xml:space="preserve"> Arch Phys Med Rehabil, 2013. </w:t>
      </w:r>
      <w:r w:rsidRPr="00B71D37">
        <w:rPr>
          <w:b/>
        </w:rPr>
        <w:t>94</w:t>
      </w:r>
      <w:r w:rsidRPr="00B71D37">
        <w:t>(11): p. 2227-33.</w:t>
      </w:r>
    </w:p>
    <w:p w14:paraId="3A3454DE" w14:textId="77777777" w:rsidR="005B65C7" w:rsidRPr="00B71D37" w:rsidRDefault="005B65C7" w:rsidP="005B65C7">
      <w:pPr>
        <w:pStyle w:val="EndNoteBibliography"/>
        <w:ind w:left="720" w:hanging="720"/>
      </w:pPr>
      <w:r w:rsidRPr="00B71D37">
        <w:t>20.</w:t>
      </w:r>
      <w:r w:rsidRPr="00B71D37">
        <w:tab/>
        <w:t xml:space="preserve">Ciftci, F., et al., </w:t>
      </w:r>
      <w:r w:rsidRPr="00B71D37">
        <w:rPr>
          <w:i/>
        </w:rPr>
        <w:t>A comparison of cardiopulmonary exercise test and 6 minute walking test in determination of exercise capacity in chronic obstructive pulmonary disease.</w:t>
      </w:r>
      <w:r w:rsidRPr="00B71D37">
        <w:t xml:space="preserve"> Tuberk Toraks, 2014. </w:t>
      </w:r>
      <w:r w:rsidRPr="00B71D37">
        <w:rPr>
          <w:b/>
        </w:rPr>
        <w:t>62</w:t>
      </w:r>
      <w:r w:rsidRPr="00B71D37">
        <w:t>(4): p. 259-66.</w:t>
      </w:r>
    </w:p>
    <w:p w14:paraId="04A8A9FC" w14:textId="77777777" w:rsidR="005B65C7" w:rsidRPr="00B71D37" w:rsidRDefault="005B65C7" w:rsidP="005B65C7">
      <w:pPr>
        <w:pStyle w:val="EndNoteBibliography"/>
        <w:ind w:left="720" w:hanging="720"/>
      </w:pPr>
      <w:r w:rsidRPr="00B71D37">
        <w:t>21.</w:t>
      </w:r>
      <w:r w:rsidRPr="00B71D37">
        <w:tab/>
        <w:t xml:space="preserve">Kirkham, A., et al., </w:t>
      </w:r>
      <w:r w:rsidRPr="00B71D37">
        <w:rPr>
          <w:i/>
        </w:rPr>
        <w:t>Utility of Equations to Estimate Peak Oxygen Uptake and Work Rate From a 6-Minute Walk Test in Patients with COPD in a Clinical Setting.</w:t>
      </w:r>
      <w:r w:rsidRPr="00B71D37">
        <w:t xml:space="preserve"> Journal of CArdiopulmonary Rehabilitation and Prevention, 2015. </w:t>
      </w:r>
      <w:r w:rsidRPr="00B71D37">
        <w:rPr>
          <w:b/>
        </w:rPr>
        <w:t>35</w:t>
      </w:r>
      <w:r w:rsidRPr="00B71D37">
        <w:t>: p. 431-438.</w:t>
      </w:r>
    </w:p>
    <w:p w14:paraId="558DE59D" w14:textId="77777777" w:rsidR="005B65C7" w:rsidRPr="00B71D37" w:rsidRDefault="005B65C7" w:rsidP="005B65C7">
      <w:pPr>
        <w:pStyle w:val="EndNoteBibliography"/>
        <w:ind w:left="720" w:hanging="720"/>
      </w:pPr>
      <w:r w:rsidRPr="00B71D37">
        <w:t>22.</w:t>
      </w:r>
      <w:r w:rsidRPr="00B71D37">
        <w:tab/>
        <w:t xml:space="preserve">ATS, </w:t>
      </w:r>
      <w:r w:rsidRPr="00B71D37">
        <w:rPr>
          <w:i/>
        </w:rPr>
        <w:t>ATS Statement: Guidelines for the Six-Minute Walk Test.</w:t>
      </w:r>
      <w:r w:rsidRPr="00B71D37">
        <w:t xml:space="preserve"> Am J Respir Crit Care Med, 2002. </w:t>
      </w:r>
      <w:r w:rsidRPr="00B71D37">
        <w:rPr>
          <w:b/>
        </w:rPr>
        <w:t>166</w:t>
      </w:r>
      <w:r w:rsidRPr="00B71D37">
        <w:t>: p. 111-117.</w:t>
      </w:r>
    </w:p>
    <w:p w14:paraId="3FAE934C" w14:textId="77777777" w:rsidR="005B65C7" w:rsidRPr="00B71D37" w:rsidRDefault="005B65C7" w:rsidP="005B65C7">
      <w:pPr>
        <w:pStyle w:val="EndNoteBibliography"/>
        <w:ind w:left="720" w:hanging="720"/>
      </w:pPr>
      <w:r w:rsidRPr="00B71D37">
        <w:t>23.</w:t>
      </w:r>
      <w:r w:rsidRPr="00B71D37">
        <w:tab/>
        <w:t xml:space="preserve">de Boer, S., J. Kolbe, and M. Wilsher, </w:t>
      </w:r>
      <w:r w:rsidRPr="00B71D37">
        <w:rPr>
          <w:i/>
        </w:rPr>
        <w:t>Comparison of the modified shuttle walk test and cardiopulmonary exercise test in sarcoidosis.</w:t>
      </w:r>
      <w:r w:rsidRPr="00B71D37">
        <w:t xml:space="preserve"> Respirology, 2014. </w:t>
      </w:r>
      <w:r w:rsidRPr="00B71D37">
        <w:rPr>
          <w:b/>
        </w:rPr>
        <w:t>19</w:t>
      </w:r>
      <w:r w:rsidRPr="00B71D37">
        <w:t>: p. 604-607.</w:t>
      </w:r>
    </w:p>
    <w:p w14:paraId="2755AD97" w14:textId="77777777" w:rsidR="005B65C7" w:rsidRPr="00B71D37" w:rsidRDefault="005B65C7" w:rsidP="005B65C7">
      <w:pPr>
        <w:pStyle w:val="EndNoteBibliography"/>
        <w:ind w:left="720" w:hanging="720"/>
      </w:pPr>
      <w:r w:rsidRPr="00B71D37">
        <w:t>24.</w:t>
      </w:r>
      <w:r w:rsidRPr="00B71D37">
        <w:tab/>
        <w:t xml:space="preserve">Singh, S., et al., </w:t>
      </w:r>
      <w:r w:rsidRPr="00B71D37">
        <w:rPr>
          <w:i/>
        </w:rPr>
        <w:t xml:space="preserve">Comparison of oxygen uptake during a conventional treadmill test and the shuttle walking test in chronic airflow limitation </w:t>
      </w:r>
      <w:r w:rsidRPr="00B71D37">
        <w:t xml:space="preserve">Eur Respir J, 1994. </w:t>
      </w:r>
      <w:r w:rsidRPr="00B71D37">
        <w:rPr>
          <w:b/>
        </w:rPr>
        <w:t>7</w:t>
      </w:r>
      <w:r w:rsidRPr="00B71D37">
        <w:t>: p. 2016-2020.</w:t>
      </w:r>
    </w:p>
    <w:p w14:paraId="1CF151AD" w14:textId="77777777" w:rsidR="005B65C7" w:rsidRPr="00B71D37" w:rsidRDefault="005B65C7" w:rsidP="005B65C7">
      <w:pPr>
        <w:pStyle w:val="EndNoteBibliography"/>
        <w:ind w:left="720" w:hanging="720"/>
      </w:pPr>
      <w:r w:rsidRPr="00B71D37">
        <w:t>25.</w:t>
      </w:r>
      <w:r w:rsidRPr="00B71D37">
        <w:tab/>
        <w:t xml:space="preserve">Pulz, C., et al., </w:t>
      </w:r>
      <w:r w:rsidRPr="00B71D37">
        <w:rPr>
          <w:i/>
        </w:rPr>
        <w:t>Incremental shuttle and six-minute walking test in the assessment of functional capacity in chronic heart failure.</w:t>
      </w:r>
      <w:r w:rsidRPr="00B71D37">
        <w:t xml:space="preserve"> The Canadian Journal of Cardiology 2008. </w:t>
      </w:r>
      <w:r w:rsidRPr="00B71D37">
        <w:rPr>
          <w:b/>
        </w:rPr>
        <w:t>24</w:t>
      </w:r>
      <w:r w:rsidRPr="00B71D37">
        <w:t>(2): p. 131-35.</w:t>
      </w:r>
    </w:p>
    <w:p w14:paraId="70D708D3" w14:textId="77777777" w:rsidR="005B65C7" w:rsidRPr="00B71D37" w:rsidRDefault="005B65C7" w:rsidP="005B65C7">
      <w:pPr>
        <w:pStyle w:val="EndNoteBibliography"/>
        <w:ind w:left="720" w:hanging="720"/>
      </w:pPr>
      <w:r w:rsidRPr="00B71D37">
        <w:t>26.</w:t>
      </w:r>
      <w:r w:rsidRPr="00B71D37">
        <w:tab/>
        <w:t xml:space="preserve">Skalski, J., T. Allison, and T. Miller, </w:t>
      </w:r>
      <w:r w:rsidRPr="00B71D37">
        <w:rPr>
          <w:i/>
        </w:rPr>
        <w:t>The Safety of Cardiopulmonary Exercise Testing in a Population With High-Risk Cardiovascular Diseases.</w:t>
      </w:r>
      <w:r w:rsidRPr="00B71D37">
        <w:t xml:space="preserve"> Circulation, 2012. </w:t>
      </w:r>
      <w:r w:rsidRPr="00B71D37">
        <w:rPr>
          <w:b/>
        </w:rPr>
        <w:t>126</w:t>
      </w:r>
      <w:r w:rsidRPr="00B71D37">
        <w:t>: p. 2465-2472.</w:t>
      </w:r>
    </w:p>
    <w:p w14:paraId="047A8296" w14:textId="77777777" w:rsidR="005B65C7" w:rsidRPr="00B71D37" w:rsidRDefault="005B65C7" w:rsidP="005B65C7">
      <w:pPr>
        <w:pStyle w:val="EndNoteBibliography"/>
        <w:ind w:left="720" w:hanging="720"/>
      </w:pPr>
      <w:r w:rsidRPr="00B71D37">
        <w:t>27.</w:t>
      </w:r>
      <w:r w:rsidRPr="00B71D37">
        <w:tab/>
        <w:t xml:space="preserve">Keteyian, S., et al., </w:t>
      </w:r>
      <w:r w:rsidRPr="00B71D37">
        <w:rPr>
          <w:i/>
        </w:rPr>
        <w:t>Safety of symptom-limited cardiopulmonary exercise testing in patients with chronic heart failure due to left ventricular systolic dysfunction.</w:t>
      </w:r>
      <w:r w:rsidRPr="00B71D37">
        <w:t xml:space="preserve"> American Heart Journal, 2009. </w:t>
      </w:r>
      <w:r w:rsidRPr="00B71D37">
        <w:rPr>
          <w:b/>
        </w:rPr>
        <w:t>158</w:t>
      </w:r>
      <w:r w:rsidRPr="00B71D37">
        <w:t>: p. S72-S77.</w:t>
      </w:r>
    </w:p>
    <w:p w14:paraId="6AF078C0" w14:textId="77777777" w:rsidR="005B65C7" w:rsidRPr="00B71D37" w:rsidRDefault="005B65C7" w:rsidP="005B65C7">
      <w:pPr>
        <w:pStyle w:val="EndNoteBibliography"/>
        <w:ind w:left="720" w:hanging="720"/>
      </w:pPr>
      <w:r w:rsidRPr="00B71D37">
        <w:t>28.</w:t>
      </w:r>
      <w:r w:rsidRPr="00B71D37">
        <w:tab/>
        <w:t xml:space="preserve">Scardovi, A., et al., </w:t>
      </w:r>
      <w:r w:rsidRPr="00B71D37">
        <w:rPr>
          <w:i/>
        </w:rPr>
        <w:t>The cardiopulmonary exercise test is safe and reliable in elderly patients with chronic heart failure.</w:t>
      </w:r>
      <w:r w:rsidRPr="00B71D37">
        <w:t xml:space="preserve"> J Cardiovasc Med, 2007. </w:t>
      </w:r>
      <w:r w:rsidRPr="00B71D37">
        <w:rPr>
          <w:b/>
        </w:rPr>
        <w:t>8</w:t>
      </w:r>
      <w:r w:rsidRPr="00B71D37">
        <w:t>: p. 608-612.</w:t>
      </w:r>
    </w:p>
    <w:p w14:paraId="265549CC" w14:textId="77777777" w:rsidR="005B65C7" w:rsidRPr="00B71D37" w:rsidRDefault="005B65C7" w:rsidP="005B65C7">
      <w:pPr>
        <w:pStyle w:val="EndNoteBibliography"/>
        <w:ind w:left="720" w:hanging="720"/>
      </w:pPr>
      <w:r w:rsidRPr="00B71D37">
        <w:t>29.</w:t>
      </w:r>
      <w:r w:rsidRPr="00B71D37">
        <w:tab/>
        <w:t xml:space="preserve">Sun, X., et al., </w:t>
      </w:r>
      <w:r w:rsidRPr="00B71D37">
        <w:rPr>
          <w:i/>
        </w:rPr>
        <w:t>Exercise pathophysiology in patients with primary pulmonary hypertension.</w:t>
      </w:r>
      <w:r w:rsidRPr="00B71D37">
        <w:t xml:space="preserve"> Circulation, 2001. </w:t>
      </w:r>
      <w:r w:rsidRPr="00B71D37">
        <w:rPr>
          <w:b/>
        </w:rPr>
        <w:t>104</w:t>
      </w:r>
      <w:r w:rsidRPr="00B71D37">
        <w:t>: p. 429-435.</w:t>
      </w:r>
    </w:p>
    <w:p w14:paraId="30FCEE41" w14:textId="77777777" w:rsidR="005B65C7" w:rsidRPr="00B71D37" w:rsidRDefault="005B65C7" w:rsidP="005B65C7">
      <w:pPr>
        <w:pStyle w:val="EndNoteBibliography"/>
        <w:ind w:left="720" w:hanging="720"/>
      </w:pPr>
      <w:r w:rsidRPr="00B71D37">
        <w:t>30.</w:t>
      </w:r>
      <w:r w:rsidRPr="00B71D37">
        <w:tab/>
        <w:t xml:space="preserve">van den Akker, L., et al., </w:t>
      </w:r>
      <w:r w:rsidRPr="00B71D37">
        <w:rPr>
          <w:i/>
        </w:rPr>
        <w:t>Feasibility and Safety of Cardiopulmonary Exercise Testing in Multiple Sclerosis.</w:t>
      </w:r>
      <w:r w:rsidRPr="00B71D37">
        <w:t xml:space="preserve"> Arch Phys Med Rehabil, 2015. </w:t>
      </w:r>
      <w:r w:rsidRPr="00B71D37">
        <w:rPr>
          <w:b/>
        </w:rPr>
        <w:t>96</w:t>
      </w:r>
      <w:r w:rsidRPr="00B71D37">
        <w:t>(11): p. 2055-66.</w:t>
      </w:r>
    </w:p>
    <w:p w14:paraId="724CF09A" w14:textId="77777777" w:rsidR="005B65C7" w:rsidRPr="00B71D37" w:rsidRDefault="005B65C7" w:rsidP="005B65C7">
      <w:pPr>
        <w:pStyle w:val="EndNoteBibliography"/>
        <w:ind w:left="720" w:hanging="720"/>
      </w:pPr>
      <w:r w:rsidRPr="00B71D37">
        <w:t>31.</w:t>
      </w:r>
      <w:r w:rsidRPr="00B71D37">
        <w:tab/>
        <w:t xml:space="preserve">Abumehdi, M., et al., </w:t>
      </w:r>
      <w:r w:rsidRPr="00B71D37">
        <w:rPr>
          <w:i/>
        </w:rPr>
        <w:t xml:space="preserve">Feasibility and safety of cardiopulmonary exercise testing in children with pulmonary hypertension </w:t>
      </w:r>
      <w:r w:rsidRPr="00B71D37">
        <w:t xml:space="preserve">Cardiol Young, 2015. </w:t>
      </w:r>
      <w:r w:rsidRPr="00B71D37">
        <w:rPr>
          <w:b/>
        </w:rPr>
        <w:t>16</w:t>
      </w:r>
      <w:r w:rsidRPr="00B71D37">
        <w:t>: p. 1-7.</w:t>
      </w:r>
    </w:p>
    <w:p w14:paraId="0CB73E9B" w14:textId="77777777" w:rsidR="005B65C7" w:rsidRPr="00B71D37" w:rsidRDefault="005B65C7" w:rsidP="005B65C7">
      <w:pPr>
        <w:pStyle w:val="EndNoteBibliography"/>
        <w:ind w:left="720" w:hanging="720"/>
      </w:pPr>
      <w:r w:rsidRPr="00B71D37">
        <w:t>32.</w:t>
      </w:r>
      <w:r w:rsidRPr="00B71D37">
        <w:tab/>
        <w:t xml:space="preserve">Ilarraza-Lomeli, H., et al., </w:t>
      </w:r>
      <w:r w:rsidRPr="00B71D37">
        <w:rPr>
          <w:i/>
        </w:rPr>
        <w:t>Cardiopulmonary exercise testing in healthy children and adolescents at moderately high altitude.</w:t>
      </w:r>
      <w:r w:rsidRPr="00B71D37">
        <w:t xml:space="preserve"> Archivos de Cardiologia de Mexico, 2013. </w:t>
      </w:r>
      <w:r w:rsidRPr="00B71D37">
        <w:rPr>
          <w:b/>
        </w:rPr>
        <w:t>83</w:t>
      </w:r>
      <w:r w:rsidRPr="00B71D37">
        <w:t>(3): p. 176.</w:t>
      </w:r>
    </w:p>
    <w:p w14:paraId="6CE9811F" w14:textId="77777777" w:rsidR="005B65C7" w:rsidRPr="00B71D37" w:rsidRDefault="005B65C7" w:rsidP="005B65C7">
      <w:pPr>
        <w:pStyle w:val="EndNoteBibliography"/>
        <w:ind w:left="720" w:hanging="720"/>
      </w:pPr>
      <w:r w:rsidRPr="00B71D37">
        <w:t>33.</w:t>
      </w:r>
      <w:r w:rsidRPr="00B71D37">
        <w:tab/>
        <w:t xml:space="preserve">Washington, R., et al., </w:t>
      </w:r>
      <w:r w:rsidRPr="00B71D37">
        <w:rPr>
          <w:i/>
        </w:rPr>
        <w:t>Guidelines for Exercise Testing in the Pediatric Age Group.</w:t>
      </w:r>
      <w:r w:rsidRPr="00B71D37">
        <w:t xml:space="preserve"> Circulation, 1994. </w:t>
      </w:r>
      <w:r w:rsidRPr="00B71D37">
        <w:rPr>
          <w:b/>
        </w:rPr>
        <w:t>90</w:t>
      </w:r>
      <w:r w:rsidRPr="00B71D37">
        <w:t>(4): p. 2166-2179.</w:t>
      </w:r>
    </w:p>
    <w:p w14:paraId="550B60AC" w14:textId="77777777" w:rsidR="005B65C7" w:rsidRPr="00B71D37" w:rsidRDefault="005B65C7" w:rsidP="005B65C7">
      <w:pPr>
        <w:pStyle w:val="EndNoteBibliography"/>
        <w:ind w:left="720" w:hanging="720"/>
      </w:pPr>
      <w:r w:rsidRPr="00B71D37">
        <w:t>34.</w:t>
      </w:r>
      <w:r w:rsidRPr="00B71D37">
        <w:tab/>
        <w:t xml:space="preserve">Takken, T., et al., </w:t>
      </w:r>
      <w:r w:rsidRPr="00B71D37">
        <w:rPr>
          <w:i/>
        </w:rPr>
        <w:t xml:space="preserve">Cardiopulmonary exercise testing in congenital heart disease: (contr) indications and interpretation </w:t>
      </w:r>
      <w:r w:rsidRPr="00B71D37">
        <w:t xml:space="preserve">Netherlands Heart Journal, 2009. </w:t>
      </w:r>
      <w:r w:rsidRPr="00B71D37">
        <w:rPr>
          <w:b/>
        </w:rPr>
        <w:t>17</w:t>
      </w:r>
      <w:r w:rsidRPr="00B71D37">
        <w:t>(10): p. 385-392.</w:t>
      </w:r>
    </w:p>
    <w:p w14:paraId="30887B3B" w14:textId="77777777" w:rsidR="005B65C7" w:rsidRPr="00B71D37" w:rsidRDefault="005B65C7" w:rsidP="005B65C7">
      <w:pPr>
        <w:pStyle w:val="EndNoteBibliography"/>
        <w:ind w:left="720" w:hanging="720"/>
      </w:pPr>
      <w:r w:rsidRPr="00B71D37">
        <w:t>35.</w:t>
      </w:r>
      <w:r w:rsidRPr="00B71D37">
        <w:tab/>
        <w:t xml:space="preserve">Parazzi, P., et al., </w:t>
      </w:r>
      <w:r w:rsidRPr="00B71D37">
        <w:rPr>
          <w:i/>
        </w:rPr>
        <w:t xml:space="preserve">Ventilatory Efficiency in Children and Adolescents: A Systematic Review </w:t>
      </w:r>
      <w:r w:rsidRPr="00B71D37">
        <w:t xml:space="preserve">Disease Markers 2015. </w:t>
      </w:r>
      <w:r w:rsidRPr="00B71D37">
        <w:rPr>
          <w:b/>
        </w:rPr>
        <w:t>2015</w:t>
      </w:r>
      <w:r w:rsidRPr="00B71D37">
        <w:t>.</w:t>
      </w:r>
    </w:p>
    <w:p w14:paraId="7EEC4A9D" w14:textId="77777777" w:rsidR="00F417F4" w:rsidRDefault="005B65C7" w:rsidP="005C1F76">
      <w:pPr>
        <w:pStyle w:val="EndNoteBibliography"/>
        <w:ind w:left="720" w:hanging="720"/>
        <w:rPr>
          <w:rFonts w:ascii="Times New Roman" w:hAnsi="Times New Roman"/>
          <w:b/>
        </w:rPr>
      </w:pPr>
      <w:r w:rsidRPr="00B71D37">
        <w:lastRenderedPageBreak/>
        <w:t>36.</w:t>
      </w:r>
      <w:r w:rsidRPr="00B71D37">
        <w:tab/>
        <w:t xml:space="preserve">Karila, C., et al., </w:t>
      </w:r>
      <w:r w:rsidRPr="00B71D37">
        <w:rPr>
          <w:i/>
        </w:rPr>
        <w:t xml:space="preserve">Cardiopulmonary Exercise Testing in Children </w:t>
      </w:r>
      <w:r w:rsidRPr="00B71D37">
        <w:t xml:space="preserve">Chest, 2001. </w:t>
      </w:r>
      <w:r w:rsidRPr="00B71D37">
        <w:rPr>
          <w:b/>
        </w:rPr>
        <w:t>120</w:t>
      </w:r>
      <w:r w:rsidRPr="00B71D37">
        <w:t>(1): p. 81-87.</w:t>
      </w:r>
      <w:r w:rsidRPr="00077A84">
        <w:rPr>
          <w:rFonts w:ascii="Times New Roman" w:hAnsi="Times New Roman"/>
          <w:b/>
        </w:rPr>
        <w:fldChar w:fldCharType="end"/>
      </w:r>
    </w:p>
    <w:p w14:paraId="49F7747A" w14:textId="77777777" w:rsidR="00DF5F48" w:rsidRDefault="00DF5F48">
      <w:pPr>
        <w:spacing w:before="0" w:after="0" w:line="240" w:lineRule="auto"/>
        <w:rPr>
          <w:rFonts w:ascii="Times New Roman" w:eastAsiaTheme="minorEastAsia" w:hAnsi="Times New Roman" w:cstheme="minorBidi"/>
          <w:b/>
          <w:sz w:val="24"/>
          <w:lang w:val="en-US" w:eastAsia="en-US"/>
        </w:rPr>
      </w:pPr>
      <w:r>
        <w:rPr>
          <w:rFonts w:ascii="Times New Roman" w:hAnsi="Times New Roman"/>
          <w:b/>
        </w:rPr>
        <w:br w:type="page"/>
      </w:r>
    </w:p>
    <w:p w14:paraId="353C4782" w14:textId="77777777" w:rsidR="00DF5F48" w:rsidRDefault="00DF5F48" w:rsidP="00DF5F48">
      <w:pPr>
        <w:pStyle w:val="AppendixStyle1"/>
      </w:pPr>
      <w:r>
        <w:lastRenderedPageBreak/>
        <w:t xml:space="preserve">                 </w:t>
      </w:r>
      <w:bookmarkStart w:id="447" w:name="_Toc478721534"/>
      <w:r>
        <w:t>Addendum</w:t>
      </w:r>
      <w:bookmarkEnd w:id="447"/>
    </w:p>
    <w:p w14:paraId="6490223D" w14:textId="77777777" w:rsidR="00DF5F48" w:rsidRDefault="00DF5F48" w:rsidP="00DF5F48">
      <w:pPr>
        <w:pStyle w:val="Title"/>
        <w:rPr>
          <w:sz w:val="60"/>
          <w:szCs w:val="60"/>
        </w:rPr>
      </w:pPr>
      <w:r>
        <w:rPr>
          <w:sz w:val="60"/>
          <w:szCs w:val="60"/>
        </w:rPr>
        <w:t>Addendum to the</w:t>
      </w:r>
    </w:p>
    <w:p w14:paraId="087E5A1A" w14:textId="77777777" w:rsidR="00DF5F48" w:rsidRPr="006F282D" w:rsidRDefault="00DF5F48" w:rsidP="00DF5F48">
      <w:pPr>
        <w:pStyle w:val="Title"/>
        <w:rPr>
          <w:sz w:val="60"/>
          <w:szCs w:val="60"/>
        </w:rPr>
      </w:pPr>
      <w:r w:rsidRPr="006F282D">
        <w:rPr>
          <w:sz w:val="60"/>
          <w:szCs w:val="60"/>
        </w:rPr>
        <w:t>Report from the Thoracic Medicine Clinical Committee</w:t>
      </w:r>
    </w:p>
    <w:p w14:paraId="7253460C" w14:textId="77777777" w:rsidR="00DF5F48" w:rsidRPr="00E74CB1" w:rsidRDefault="003428FD" w:rsidP="00DF5F48">
      <w:pPr>
        <w:pStyle w:val="Subtitle"/>
      </w:pPr>
      <w:r>
        <w:t>Dec</w:t>
      </w:r>
      <w:r w:rsidR="00DF5F48">
        <w:t>ember</w:t>
      </w:r>
      <w:r w:rsidR="00DF5F48" w:rsidRPr="00E74CB1">
        <w:t xml:space="preserve"> 2016</w:t>
      </w:r>
    </w:p>
    <w:p w14:paraId="7FB339CF" w14:textId="77777777" w:rsidR="00DF5F48" w:rsidRDefault="00DF5F48" w:rsidP="005C1F76">
      <w:pPr>
        <w:pStyle w:val="EndNoteBibliography"/>
        <w:ind w:left="720" w:hanging="720"/>
        <w:rPr>
          <w:rFonts w:ascii="Times New Roman" w:hAnsi="Times New Roman"/>
          <w:b/>
        </w:rPr>
      </w:pPr>
    </w:p>
    <w:p w14:paraId="19BDB95B" w14:textId="77777777" w:rsidR="00DF5F48" w:rsidRDefault="00DF5F48" w:rsidP="005C1F76">
      <w:pPr>
        <w:pStyle w:val="EndNoteBibliography"/>
        <w:ind w:left="720" w:hanging="720"/>
        <w:rPr>
          <w:rFonts w:ascii="Times New Roman" w:hAnsi="Times New Roman"/>
          <w:b/>
        </w:rPr>
      </w:pPr>
    </w:p>
    <w:p w14:paraId="1E7C94FA" w14:textId="77777777" w:rsidR="00DF5F48" w:rsidRDefault="00DF5F48">
      <w:pPr>
        <w:spacing w:before="0" w:after="0" w:line="240" w:lineRule="auto"/>
        <w:rPr>
          <w:rFonts w:ascii="Times New Roman" w:eastAsiaTheme="minorEastAsia" w:hAnsi="Times New Roman" w:cstheme="minorBidi"/>
          <w:b/>
          <w:sz w:val="24"/>
          <w:lang w:val="en-US" w:eastAsia="en-US"/>
        </w:rPr>
      </w:pPr>
      <w:r>
        <w:rPr>
          <w:rFonts w:ascii="Times New Roman" w:hAnsi="Times New Roman"/>
          <w:b/>
        </w:rPr>
        <w:br w:type="page"/>
      </w:r>
    </w:p>
    <w:p w14:paraId="2C6C0826" w14:textId="77777777" w:rsidR="002416BC" w:rsidRDefault="00D647C2" w:rsidP="002416BC">
      <w:pPr>
        <w:pStyle w:val="Heading2a"/>
      </w:pPr>
      <w:r>
        <w:lastRenderedPageBreak/>
        <w:t>G</w:t>
      </w:r>
      <w:r w:rsidR="00455D79">
        <w:t xml:space="preserve">.1 </w:t>
      </w:r>
      <w:r w:rsidR="002416BC">
        <w:t>Public Consultation</w:t>
      </w:r>
    </w:p>
    <w:p w14:paraId="47815EAA" w14:textId="77777777" w:rsidR="002416BC" w:rsidRDefault="002F46DD" w:rsidP="002F46DD">
      <w:r>
        <w:t xml:space="preserve">The Thoracic Medicine Clinical Committee </w:t>
      </w:r>
      <w:r w:rsidR="00D80258">
        <w:t xml:space="preserve">report </w:t>
      </w:r>
      <w:r>
        <w:t xml:space="preserve">was released for public consultation on </w:t>
      </w:r>
      <w:r w:rsidR="00CC4A9B">
        <w:t>9 </w:t>
      </w:r>
      <w:r w:rsidR="0066167E">
        <w:t>September 2016 for three weeks.</w:t>
      </w:r>
    </w:p>
    <w:p w14:paraId="491976D3" w14:textId="77777777" w:rsidR="002416BC" w:rsidRPr="002416BC" w:rsidRDefault="0066167E" w:rsidP="0066167E">
      <w:r>
        <w:t>R</w:t>
      </w:r>
      <w:r w:rsidR="002416BC" w:rsidRPr="002416BC">
        <w:t xml:space="preserve">esponses </w:t>
      </w:r>
      <w:r>
        <w:t xml:space="preserve">were received </w:t>
      </w:r>
      <w:r w:rsidR="002416BC" w:rsidRPr="002416BC">
        <w:t>from:</w:t>
      </w:r>
    </w:p>
    <w:p w14:paraId="70F05909" w14:textId="77777777" w:rsidR="002416BC" w:rsidRPr="002416BC" w:rsidRDefault="002416BC" w:rsidP="002416BC">
      <w:pPr>
        <w:pStyle w:val="NormalBulleted"/>
      </w:pPr>
      <w:r w:rsidRPr="002416BC">
        <w:t>Thoracic Society of Australia and New Zealand</w:t>
      </w:r>
    </w:p>
    <w:p w14:paraId="4F94AD0C" w14:textId="77777777" w:rsidR="002416BC" w:rsidRPr="002416BC" w:rsidRDefault="002416BC" w:rsidP="002416BC">
      <w:pPr>
        <w:pStyle w:val="NormalBulleted"/>
      </w:pPr>
      <w:r>
        <w:t>A</w:t>
      </w:r>
      <w:r w:rsidRPr="002416BC">
        <w:t>ustralasian Sleep Association</w:t>
      </w:r>
    </w:p>
    <w:p w14:paraId="15BF8C17" w14:textId="77777777" w:rsidR="002416BC" w:rsidRPr="002416BC" w:rsidRDefault="002416BC" w:rsidP="002416BC">
      <w:pPr>
        <w:pStyle w:val="NormalBulleted"/>
      </w:pPr>
      <w:r w:rsidRPr="002416BC">
        <w:t>Australian &amp; New Zealand Society of Respiratory Science</w:t>
      </w:r>
    </w:p>
    <w:p w14:paraId="706E02F4" w14:textId="77777777" w:rsidR="002416BC" w:rsidRPr="002416BC" w:rsidRDefault="002416BC" w:rsidP="002416BC">
      <w:pPr>
        <w:pStyle w:val="NormalBulleted"/>
      </w:pPr>
      <w:r w:rsidRPr="002416BC">
        <w:t>Australian Centre for Airways disease Monitoring</w:t>
      </w:r>
    </w:p>
    <w:p w14:paraId="4774381C" w14:textId="77777777" w:rsidR="002416BC" w:rsidRPr="002416BC" w:rsidRDefault="002416BC" w:rsidP="002416BC">
      <w:pPr>
        <w:pStyle w:val="NormalBulleted"/>
      </w:pPr>
      <w:r w:rsidRPr="002416BC">
        <w:t>Air Liquide Healthcare</w:t>
      </w:r>
    </w:p>
    <w:p w14:paraId="5099728C" w14:textId="77777777" w:rsidR="002416BC" w:rsidRPr="002416BC" w:rsidRDefault="002416BC" w:rsidP="002416BC">
      <w:pPr>
        <w:pStyle w:val="NormalBulleted"/>
      </w:pPr>
      <w:r w:rsidRPr="002416BC">
        <w:t>Sleep Health Foundation</w:t>
      </w:r>
    </w:p>
    <w:p w14:paraId="29CC3FAD" w14:textId="77777777" w:rsidR="002416BC" w:rsidRPr="002416BC" w:rsidRDefault="002416BC" w:rsidP="002416BC">
      <w:pPr>
        <w:pStyle w:val="NormalBulleted"/>
      </w:pPr>
      <w:r w:rsidRPr="002416BC">
        <w:t>Oventus</w:t>
      </w:r>
    </w:p>
    <w:p w14:paraId="1BB38905" w14:textId="77777777" w:rsidR="002416BC" w:rsidRPr="002416BC" w:rsidRDefault="002416BC" w:rsidP="002416BC">
      <w:pPr>
        <w:pStyle w:val="NormalBulleted"/>
      </w:pPr>
      <w:r w:rsidRPr="002416BC">
        <w:t>Australian and New Zealand Rhinologic Society</w:t>
      </w:r>
    </w:p>
    <w:p w14:paraId="519C4EFF" w14:textId="77777777" w:rsidR="002416BC" w:rsidRPr="002416BC" w:rsidRDefault="002416BC" w:rsidP="002416BC">
      <w:pPr>
        <w:pStyle w:val="NormalBulleted"/>
      </w:pPr>
      <w:r w:rsidRPr="002416BC">
        <w:t>Australian College of Nurse Practitioners</w:t>
      </w:r>
    </w:p>
    <w:p w14:paraId="748F5FBB" w14:textId="77777777" w:rsidR="002416BC" w:rsidRPr="002416BC" w:rsidRDefault="002416BC" w:rsidP="002416BC">
      <w:pPr>
        <w:pStyle w:val="NormalBulleted"/>
      </w:pPr>
      <w:r w:rsidRPr="002416BC">
        <w:t>Australian Private Hospitals Association</w:t>
      </w:r>
    </w:p>
    <w:p w14:paraId="3B5873A2" w14:textId="77777777" w:rsidR="002416BC" w:rsidRDefault="002416BC" w:rsidP="002416BC">
      <w:pPr>
        <w:pStyle w:val="NormalBulleted"/>
      </w:pPr>
      <w:r w:rsidRPr="002416BC">
        <w:t>Individuals and organisations who used the online consultation survey</w:t>
      </w:r>
    </w:p>
    <w:p w14:paraId="4B58DA81" w14:textId="77777777" w:rsidR="002416BC" w:rsidRDefault="002416BC" w:rsidP="0066167E"/>
    <w:p w14:paraId="2AC359BC" w14:textId="77777777" w:rsidR="0066167E" w:rsidRDefault="00D647C2" w:rsidP="0066167E">
      <w:pPr>
        <w:pStyle w:val="Heading2a"/>
      </w:pPr>
      <w:r>
        <w:t>G</w:t>
      </w:r>
      <w:r w:rsidR="00455D79">
        <w:t xml:space="preserve">.2 </w:t>
      </w:r>
      <w:r w:rsidR="00FC0D7F">
        <w:t>Overview</w:t>
      </w:r>
      <w:r w:rsidR="0066167E">
        <w:t xml:space="preserve"> of </w:t>
      </w:r>
      <w:r w:rsidR="00FC0D7F">
        <w:t xml:space="preserve">public consultation </w:t>
      </w:r>
      <w:r w:rsidR="0066167E">
        <w:t>submissions</w:t>
      </w:r>
    </w:p>
    <w:p w14:paraId="23565718" w14:textId="77777777" w:rsidR="00FC0D7F" w:rsidRDefault="00FC0D7F" w:rsidP="0066167E">
      <w:pPr>
        <w:rPr>
          <w:rFonts w:cs="Arial"/>
          <w:color w:val="000000" w:themeColor="text1"/>
          <w:szCs w:val="22"/>
        </w:rPr>
      </w:pPr>
      <w:r>
        <w:rPr>
          <w:rFonts w:cs="Arial"/>
          <w:color w:val="000000" w:themeColor="text1"/>
          <w:szCs w:val="22"/>
        </w:rPr>
        <w:t>A total of 87 submissions were received from a range of respondents, including:</w:t>
      </w:r>
    </w:p>
    <w:p w14:paraId="4257E65F" w14:textId="77777777" w:rsidR="00FC0D7F" w:rsidRDefault="00B25C3C" w:rsidP="00FC0D7F">
      <w:pPr>
        <w:pStyle w:val="NormalBulleted"/>
      </w:pPr>
      <w:r>
        <w:t xml:space="preserve">27 private </w:t>
      </w:r>
      <w:r w:rsidR="00FC0D7F">
        <w:t xml:space="preserve">and public organisations </w:t>
      </w:r>
    </w:p>
    <w:p w14:paraId="412D9C42" w14:textId="77777777" w:rsidR="00FC0D7F" w:rsidRDefault="00B25C3C" w:rsidP="00FC0D7F">
      <w:pPr>
        <w:pStyle w:val="NormalBulleted"/>
      </w:pPr>
      <w:r>
        <w:t xml:space="preserve">55 health </w:t>
      </w:r>
      <w:r w:rsidR="00FC0D7F">
        <w:t>practitioners</w:t>
      </w:r>
    </w:p>
    <w:p w14:paraId="0DD07056" w14:textId="77777777" w:rsidR="00FC0D7F" w:rsidRPr="00FC0D7F" w:rsidRDefault="00B25C3C" w:rsidP="0066167E">
      <w:pPr>
        <w:pStyle w:val="NormalBulleted"/>
      </w:pPr>
      <w:r>
        <w:t xml:space="preserve">5 consumers </w:t>
      </w:r>
    </w:p>
    <w:p w14:paraId="10725D59" w14:textId="77777777" w:rsidR="002416BC" w:rsidRPr="002416BC" w:rsidRDefault="00FC0D7F" w:rsidP="0066167E">
      <w:pPr>
        <w:rPr>
          <w:rFonts w:cs="Arial"/>
          <w:color w:val="000000" w:themeColor="text1"/>
          <w:szCs w:val="22"/>
        </w:rPr>
      </w:pPr>
      <w:r>
        <w:rPr>
          <w:rFonts w:cs="Arial"/>
          <w:color w:val="000000" w:themeColor="text1"/>
          <w:szCs w:val="22"/>
        </w:rPr>
        <w:t>The table below summarises the per cent of respondents who agree, did not agree, or agreed but with changes, to each recommendation.</w:t>
      </w:r>
    </w:p>
    <w:p w14:paraId="0E73EB76" w14:textId="77777777" w:rsidR="002416BC" w:rsidRPr="009F4CD5" w:rsidRDefault="00B610CD" w:rsidP="00B610CD">
      <w:pPr>
        <w:pStyle w:val="Caption"/>
      </w:pPr>
      <w:bookmarkStart w:id="448" w:name="_Toc478721575"/>
      <w:r w:rsidRPr="00B610CD">
        <w:t>Table G1:</w:t>
      </w:r>
      <w:r w:rsidR="002416BC">
        <w:tab/>
      </w:r>
      <w:r w:rsidR="00514177">
        <w:t>Summary of public consultation responses</w:t>
      </w:r>
      <w:bookmarkEnd w:id="448"/>
    </w:p>
    <w:tbl>
      <w:tblPr>
        <w:tblW w:w="8744" w:type="dxa"/>
        <w:tblInd w:w="93" w:type="dxa"/>
        <w:tblBorders>
          <w:top w:val="single" w:sz="4" w:space="0" w:color="B56011"/>
          <w:bottom w:val="single" w:sz="4" w:space="0" w:color="B56011"/>
          <w:insideH w:val="single" w:sz="4" w:space="0" w:color="B56011"/>
        </w:tblBorders>
        <w:tblLayout w:type="fixed"/>
        <w:tblLook w:val="04A0" w:firstRow="1" w:lastRow="0" w:firstColumn="1" w:lastColumn="0" w:noHBand="0" w:noVBand="1"/>
        <w:tblDescription w:val="Table G1 provides a the list of recommendations with the per cent of  of respondents who agreed, did not agree, or agreed but with some changes."/>
      </w:tblPr>
      <w:tblGrid>
        <w:gridCol w:w="5827"/>
        <w:gridCol w:w="851"/>
        <w:gridCol w:w="850"/>
        <w:gridCol w:w="1216"/>
      </w:tblGrid>
      <w:tr w:rsidR="00514177" w:rsidRPr="00A403FC" w14:paraId="30841EDD" w14:textId="77777777" w:rsidTr="00514177">
        <w:trPr>
          <w:trHeight w:val="300"/>
          <w:tblHeader/>
        </w:trPr>
        <w:tc>
          <w:tcPr>
            <w:tcW w:w="5827" w:type="dxa"/>
            <w:shd w:val="clear" w:color="auto" w:fill="auto"/>
            <w:noWrap/>
            <w:vAlign w:val="center"/>
            <w:hideMark/>
          </w:tcPr>
          <w:p w14:paraId="101CD653" w14:textId="77777777" w:rsidR="00514177" w:rsidRPr="00A403FC" w:rsidRDefault="00514177" w:rsidP="00514177">
            <w:pPr>
              <w:pStyle w:val="Tableheading"/>
            </w:pPr>
            <w:r>
              <w:t>Recommendation</w:t>
            </w:r>
          </w:p>
        </w:tc>
        <w:tc>
          <w:tcPr>
            <w:tcW w:w="851" w:type="dxa"/>
            <w:shd w:val="clear" w:color="auto" w:fill="auto"/>
            <w:noWrap/>
            <w:vAlign w:val="center"/>
            <w:hideMark/>
          </w:tcPr>
          <w:p w14:paraId="3D56FA6E" w14:textId="77777777" w:rsidR="00514177" w:rsidRPr="00A403FC" w:rsidRDefault="00514177" w:rsidP="00514177">
            <w:pPr>
              <w:pStyle w:val="Tableheading"/>
              <w:jc w:val="center"/>
            </w:pPr>
            <w:r>
              <w:t>% agree</w:t>
            </w:r>
          </w:p>
        </w:tc>
        <w:tc>
          <w:tcPr>
            <w:tcW w:w="850" w:type="dxa"/>
            <w:shd w:val="clear" w:color="auto" w:fill="auto"/>
            <w:noWrap/>
            <w:vAlign w:val="center"/>
            <w:hideMark/>
          </w:tcPr>
          <w:p w14:paraId="4CD2245A" w14:textId="77777777" w:rsidR="00514177" w:rsidRPr="00A403FC" w:rsidRDefault="00514177" w:rsidP="00514177">
            <w:pPr>
              <w:pStyle w:val="Tableheading"/>
              <w:jc w:val="center"/>
            </w:pPr>
            <w:r w:rsidRPr="00A403FC">
              <w:t xml:space="preserve">% </w:t>
            </w:r>
            <w:r>
              <w:t>not agreed</w:t>
            </w:r>
          </w:p>
        </w:tc>
        <w:tc>
          <w:tcPr>
            <w:tcW w:w="1216" w:type="dxa"/>
          </w:tcPr>
          <w:p w14:paraId="34C97B18" w14:textId="77777777" w:rsidR="00514177" w:rsidRPr="00A403FC" w:rsidRDefault="00514177" w:rsidP="00514177">
            <w:pPr>
              <w:pStyle w:val="Tableheading"/>
              <w:jc w:val="center"/>
            </w:pPr>
            <w:r>
              <w:t>% agreed with some changes</w:t>
            </w:r>
          </w:p>
        </w:tc>
      </w:tr>
      <w:tr w:rsidR="00514177" w:rsidRPr="00364CDE" w14:paraId="4024A1C3" w14:textId="77777777" w:rsidTr="00514177">
        <w:trPr>
          <w:trHeight w:val="300"/>
        </w:trPr>
        <w:tc>
          <w:tcPr>
            <w:tcW w:w="5827" w:type="dxa"/>
            <w:shd w:val="clear" w:color="auto" w:fill="auto"/>
            <w:noWrap/>
            <w:vAlign w:val="center"/>
            <w:hideMark/>
          </w:tcPr>
          <w:p w14:paraId="57A0C147" w14:textId="77777777" w:rsidR="00514177" w:rsidRPr="00364CDE" w:rsidRDefault="00514177" w:rsidP="00514177">
            <w:pPr>
              <w:pStyle w:val="Tabletext"/>
            </w:pPr>
            <w:r>
              <w:t>Spirometry – recommendation 1.1</w:t>
            </w:r>
          </w:p>
        </w:tc>
        <w:tc>
          <w:tcPr>
            <w:tcW w:w="851" w:type="dxa"/>
            <w:shd w:val="clear" w:color="auto" w:fill="auto"/>
            <w:noWrap/>
            <w:vAlign w:val="center"/>
            <w:hideMark/>
          </w:tcPr>
          <w:p w14:paraId="4D239516" w14:textId="77777777" w:rsidR="00514177" w:rsidRPr="00364CDE" w:rsidRDefault="00514177" w:rsidP="00514177">
            <w:pPr>
              <w:pStyle w:val="Tabletext"/>
              <w:jc w:val="center"/>
            </w:pPr>
            <w:r>
              <w:rPr>
                <w:rFonts w:cs="Tahoma"/>
              </w:rPr>
              <w:t>78</w:t>
            </w:r>
          </w:p>
        </w:tc>
        <w:tc>
          <w:tcPr>
            <w:tcW w:w="850" w:type="dxa"/>
            <w:shd w:val="clear" w:color="auto" w:fill="auto"/>
            <w:noWrap/>
            <w:vAlign w:val="center"/>
            <w:hideMark/>
          </w:tcPr>
          <w:p w14:paraId="691B5417" w14:textId="77777777" w:rsidR="00514177" w:rsidRPr="00364CDE" w:rsidRDefault="00514177" w:rsidP="00514177">
            <w:pPr>
              <w:pStyle w:val="Tabletext"/>
              <w:jc w:val="center"/>
            </w:pPr>
            <w:r>
              <w:rPr>
                <w:rFonts w:cs="Tahoma"/>
              </w:rPr>
              <w:t>5</w:t>
            </w:r>
          </w:p>
        </w:tc>
        <w:tc>
          <w:tcPr>
            <w:tcW w:w="1216" w:type="dxa"/>
          </w:tcPr>
          <w:p w14:paraId="5875F429" w14:textId="77777777" w:rsidR="00514177" w:rsidRPr="00364CDE" w:rsidRDefault="00514177" w:rsidP="00514177">
            <w:pPr>
              <w:pStyle w:val="Tabletext"/>
              <w:jc w:val="center"/>
              <w:rPr>
                <w:rFonts w:cs="Tahoma"/>
              </w:rPr>
            </w:pPr>
            <w:r>
              <w:rPr>
                <w:rFonts w:cs="Tahoma"/>
              </w:rPr>
              <w:t>16</w:t>
            </w:r>
          </w:p>
        </w:tc>
      </w:tr>
      <w:tr w:rsidR="00514177" w:rsidRPr="00364CDE" w14:paraId="515F476B" w14:textId="77777777" w:rsidTr="00514177">
        <w:trPr>
          <w:trHeight w:val="300"/>
        </w:trPr>
        <w:tc>
          <w:tcPr>
            <w:tcW w:w="5827" w:type="dxa"/>
            <w:shd w:val="clear" w:color="auto" w:fill="auto"/>
            <w:noWrap/>
            <w:vAlign w:val="center"/>
            <w:hideMark/>
          </w:tcPr>
          <w:p w14:paraId="585E79A6" w14:textId="77777777" w:rsidR="00514177" w:rsidRPr="00364CDE" w:rsidRDefault="00514177" w:rsidP="00514177">
            <w:pPr>
              <w:pStyle w:val="Tabletext"/>
            </w:pPr>
            <w:r>
              <w:t>Spirometry – recommendation 1.2</w:t>
            </w:r>
          </w:p>
        </w:tc>
        <w:tc>
          <w:tcPr>
            <w:tcW w:w="851" w:type="dxa"/>
            <w:shd w:val="clear" w:color="auto" w:fill="auto"/>
            <w:noWrap/>
            <w:vAlign w:val="center"/>
            <w:hideMark/>
          </w:tcPr>
          <w:p w14:paraId="3B6DBDE8" w14:textId="77777777" w:rsidR="00514177" w:rsidRPr="00364CDE" w:rsidRDefault="00514177" w:rsidP="00514177">
            <w:pPr>
              <w:pStyle w:val="Tabletext"/>
              <w:jc w:val="center"/>
            </w:pPr>
            <w:r>
              <w:t>93</w:t>
            </w:r>
          </w:p>
        </w:tc>
        <w:tc>
          <w:tcPr>
            <w:tcW w:w="850" w:type="dxa"/>
            <w:shd w:val="clear" w:color="auto" w:fill="auto"/>
            <w:noWrap/>
            <w:vAlign w:val="center"/>
            <w:hideMark/>
          </w:tcPr>
          <w:p w14:paraId="7C1B36A2" w14:textId="77777777" w:rsidR="00514177" w:rsidRPr="00364CDE" w:rsidRDefault="00514177" w:rsidP="00514177">
            <w:pPr>
              <w:pStyle w:val="Tabletext"/>
              <w:jc w:val="center"/>
            </w:pPr>
            <w:r>
              <w:rPr>
                <w:rFonts w:cs="Tahoma"/>
              </w:rPr>
              <w:t>-</w:t>
            </w:r>
          </w:p>
        </w:tc>
        <w:tc>
          <w:tcPr>
            <w:tcW w:w="1216" w:type="dxa"/>
          </w:tcPr>
          <w:p w14:paraId="3B0BDE63" w14:textId="77777777" w:rsidR="00514177" w:rsidRPr="00364CDE" w:rsidRDefault="00514177" w:rsidP="00514177">
            <w:pPr>
              <w:pStyle w:val="Tabletext"/>
              <w:jc w:val="center"/>
              <w:rPr>
                <w:rFonts w:cs="Tahoma"/>
              </w:rPr>
            </w:pPr>
            <w:r>
              <w:rPr>
                <w:rFonts w:cs="Tahoma"/>
              </w:rPr>
              <w:t>7</w:t>
            </w:r>
          </w:p>
        </w:tc>
      </w:tr>
      <w:tr w:rsidR="00514177" w:rsidRPr="00364CDE" w14:paraId="08F37EAF" w14:textId="77777777" w:rsidTr="00514177">
        <w:trPr>
          <w:trHeight w:val="300"/>
        </w:trPr>
        <w:tc>
          <w:tcPr>
            <w:tcW w:w="5827" w:type="dxa"/>
            <w:shd w:val="clear" w:color="auto" w:fill="auto"/>
            <w:noWrap/>
            <w:vAlign w:val="center"/>
            <w:hideMark/>
          </w:tcPr>
          <w:p w14:paraId="4F43AA56" w14:textId="77777777" w:rsidR="00514177" w:rsidRPr="00364CDE" w:rsidRDefault="00514177" w:rsidP="00514177">
            <w:pPr>
              <w:pStyle w:val="Tabletext"/>
            </w:pPr>
            <w:r>
              <w:t>Spirometry – recommendation 1.3</w:t>
            </w:r>
          </w:p>
        </w:tc>
        <w:tc>
          <w:tcPr>
            <w:tcW w:w="851" w:type="dxa"/>
            <w:shd w:val="clear" w:color="auto" w:fill="auto"/>
            <w:noWrap/>
            <w:vAlign w:val="center"/>
            <w:hideMark/>
          </w:tcPr>
          <w:p w14:paraId="71EA969B" w14:textId="77777777" w:rsidR="00514177" w:rsidRPr="00364CDE" w:rsidRDefault="00514177" w:rsidP="00514177">
            <w:pPr>
              <w:pStyle w:val="Tabletext"/>
              <w:jc w:val="center"/>
            </w:pPr>
            <w:r>
              <w:t>91</w:t>
            </w:r>
          </w:p>
        </w:tc>
        <w:tc>
          <w:tcPr>
            <w:tcW w:w="850" w:type="dxa"/>
            <w:shd w:val="clear" w:color="auto" w:fill="auto"/>
            <w:noWrap/>
            <w:vAlign w:val="center"/>
            <w:hideMark/>
          </w:tcPr>
          <w:p w14:paraId="4FA0B1B1" w14:textId="77777777" w:rsidR="00514177" w:rsidRPr="00364CDE" w:rsidRDefault="00514177" w:rsidP="00514177">
            <w:pPr>
              <w:pStyle w:val="Tabletext"/>
              <w:jc w:val="center"/>
            </w:pPr>
            <w:r>
              <w:rPr>
                <w:rFonts w:cs="Tahoma"/>
              </w:rPr>
              <w:t>3</w:t>
            </w:r>
          </w:p>
        </w:tc>
        <w:tc>
          <w:tcPr>
            <w:tcW w:w="1216" w:type="dxa"/>
          </w:tcPr>
          <w:p w14:paraId="62CDB707" w14:textId="77777777" w:rsidR="00514177" w:rsidRPr="00364CDE" w:rsidRDefault="00514177" w:rsidP="00514177">
            <w:pPr>
              <w:pStyle w:val="Tabletext"/>
              <w:jc w:val="center"/>
              <w:rPr>
                <w:rFonts w:cs="Tahoma"/>
              </w:rPr>
            </w:pPr>
            <w:r>
              <w:rPr>
                <w:rFonts w:cs="Tahoma"/>
              </w:rPr>
              <w:t>6</w:t>
            </w:r>
          </w:p>
        </w:tc>
      </w:tr>
      <w:tr w:rsidR="00514177" w:rsidRPr="00364CDE" w14:paraId="0B24D057" w14:textId="77777777" w:rsidTr="00514177">
        <w:trPr>
          <w:trHeight w:val="300"/>
        </w:trPr>
        <w:tc>
          <w:tcPr>
            <w:tcW w:w="5827" w:type="dxa"/>
            <w:shd w:val="clear" w:color="auto" w:fill="auto"/>
            <w:noWrap/>
            <w:vAlign w:val="center"/>
          </w:tcPr>
          <w:p w14:paraId="004FABB6" w14:textId="77777777" w:rsidR="00514177" w:rsidRPr="00364CDE" w:rsidRDefault="00514177" w:rsidP="00514177">
            <w:pPr>
              <w:pStyle w:val="Tabletext"/>
            </w:pPr>
            <w:r>
              <w:t>Spirometry – recommendation 1.4</w:t>
            </w:r>
          </w:p>
        </w:tc>
        <w:tc>
          <w:tcPr>
            <w:tcW w:w="851" w:type="dxa"/>
            <w:shd w:val="clear" w:color="auto" w:fill="auto"/>
            <w:noWrap/>
            <w:vAlign w:val="center"/>
          </w:tcPr>
          <w:p w14:paraId="0B7B1812" w14:textId="77777777" w:rsidR="00514177" w:rsidRPr="00364CDE" w:rsidRDefault="00514177" w:rsidP="00514177">
            <w:pPr>
              <w:pStyle w:val="Tabletext"/>
              <w:jc w:val="center"/>
            </w:pPr>
            <w:r>
              <w:t>85</w:t>
            </w:r>
          </w:p>
        </w:tc>
        <w:tc>
          <w:tcPr>
            <w:tcW w:w="850" w:type="dxa"/>
            <w:shd w:val="clear" w:color="auto" w:fill="auto"/>
            <w:noWrap/>
            <w:vAlign w:val="center"/>
          </w:tcPr>
          <w:p w14:paraId="0C5731CD" w14:textId="77777777" w:rsidR="00514177" w:rsidRPr="00364CDE" w:rsidRDefault="00514177" w:rsidP="00514177">
            <w:pPr>
              <w:pStyle w:val="Tabletext"/>
              <w:jc w:val="center"/>
              <w:rPr>
                <w:rFonts w:cs="Tahoma"/>
              </w:rPr>
            </w:pPr>
            <w:r>
              <w:rPr>
                <w:rFonts w:cs="Tahoma"/>
              </w:rPr>
              <w:t>-</w:t>
            </w:r>
          </w:p>
        </w:tc>
        <w:tc>
          <w:tcPr>
            <w:tcW w:w="1216" w:type="dxa"/>
          </w:tcPr>
          <w:p w14:paraId="081E3D5D" w14:textId="77777777" w:rsidR="00514177" w:rsidRPr="00364CDE" w:rsidRDefault="00514177" w:rsidP="00514177">
            <w:pPr>
              <w:pStyle w:val="Tabletext"/>
              <w:jc w:val="center"/>
              <w:rPr>
                <w:rFonts w:cs="Tahoma"/>
              </w:rPr>
            </w:pPr>
            <w:r>
              <w:rPr>
                <w:rFonts w:cs="Tahoma"/>
              </w:rPr>
              <w:t>15</w:t>
            </w:r>
          </w:p>
        </w:tc>
      </w:tr>
      <w:tr w:rsidR="00514177" w:rsidRPr="00364CDE" w14:paraId="5B798661" w14:textId="77777777" w:rsidTr="00514177">
        <w:trPr>
          <w:trHeight w:val="300"/>
        </w:trPr>
        <w:tc>
          <w:tcPr>
            <w:tcW w:w="5827" w:type="dxa"/>
            <w:shd w:val="clear" w:color="auto" w:fill="auto"/>
            <w:noWrap/>
            <w:vAlign w:val="center"/>
          </w:tcPr>
          <w:p w14:paraId="1E5944FB" w14:textId="77777777" w:rsidR="00514177" w:rsidRPr="00364CDE" w:rsidRDefault="00514177" w:rsidP="00514177">
            <w:pPr>
              <w:pStyle w:val="Tabletext"/>
            </w:pPr>
            <w:r>
              <w:t>Other respiratory function tests – recommendation 2.1</w:t>
            </w:r>
          </w:p>
        </w:tc>
        <w:tc>
          <w:tcPr>
            <w:tcW w:w="851" w:type="dxa"/>
            <w:shd w:val="clear" w:color="auto" w:fill="auto"/>
            <w:noWrap/>
            <w:vAlign w:val="center"/>
          </w:tcPr>
          <w:p w14:paraId="61B82248" w14:textId="77777777" w:rsidR="00514177" w:rsidRPr="00364CDE" w:rsidRDefault="00514177" w:rsidP="00514177">
            <w:pPr>
              <w:pStyle w:val="Tabletext"/>
              <w:jc w:val="center"/>
            </w:pPr>
            <w:r>
              <w:t>52</w:t>
            </w:r>
          </w:p>
        </w:tc>
        <w:tc>
          <w:tcPr>
            <w:tcW w:w="850" w:type="dxa"/>
            <w:shd w:val="clear" w:color="auto" w:fill="auto"/>
            <w:noWrap/>
            <w:vAlign w:val="center"/>
          </w:tcPr>
          <w:p w14:paraId="700819F1" w14:textId="77777777" w:rsidR="00514177" w:rsidRPr="00364CDE" w:rsidRDefault="00514177" w:rsidP="00514177">
            <w:pPr>
              <w:pStyle w:val="Tabletext"/>
              <w:jc w:val="center"/>
              <w:rPr>
                <w:rFonts w:cs="Tahoma"/>
              </w:rPr>
            </w:pPr>
            <w:r>
              <w:rPr>
                <w:rFonts w:cs="Tahoma"/>
              </w:rPr>
              <w:t>9</w:t>
            </w:r>
          </w:p>
        </w:tc>
        <w:tc>
          <w:tcPr>
            <w:tcW w:w="1216" w:type="dxa"/>
          </w:tcPr>
          <w:p w14:paraId="01D82113" w14:textId="77777777" w:rsidR="00514177" w:rsidRPr="00364CDE" w:rsidRDefault="00514177" w:rsidP="00514177">
            <w:pPr>
              <w:pStyle w:val="Tabletext"/>
              <w:jc w:val="center"/>
              <w:rPr>
                <w:rFonts w:cs="Tahoma"/>
              </w:rPr>
            </w:pPr>
            <w:r>
              <w:rPr>
                <w:rFonts w:cs="Tahoma"/>
              </w:rPr>
              <w:t>39</w:t>
            </w:r>
          </w:p>
        </w:tc>
      </w:tr>
      <w:tr w:rsidR="00514177" w:rsidRPr="00364CDE" w14:paraId="733B19CB" w14:textId="77777777" w:rsidTr="00514177">
        <w:trPr>
          <w:trHeight w:val="300"/>
        </w:trPr>
        <w:tc>
          <w:tcPr>
            <w:tcW w:w="5827" w:type="dxa"/>
            <w:shd w:val="clear" w:color="auto" w:fill="auto"/>
            <w:noWrap/>
            <w:vAlign w:val="center"/>
          </w:tcPr>
          <w:p w14:paraId="60252515" w14:textId="77777777" w:rsidR="00514177" w:rsidRPr="00364CDE" w:rsidRDefault="00514177" w:rsidP="00514177">
            <w:pPr>
              <w:pStyle w:val="Tabletext"/>
            </w:pPr>
            <w:r>
              <w:t>Other respiratory function tests – recommendation 2.2</w:t>
            </w:r>
          </w:p>
        </w:tc>
        <w:tc>
          <w:tcPr>
            <w:tcW w:w="851" w:type="dxa"/>
            <w:shd w:val="clear" w:color="auto" w:fill="auto"/>
            <w:noWrap/>
            <w:vAlign w:val="center"/>
          </w:tcPr>
          <w:p w14:paraId="0C0C926A" w14:textId="77777777" w:rsidR="00514177" w:rsidRPr="00364CDE" w:rsidRDefault="00514177" w:rsidP="00514177">
            <w:pPr>
              <w:pStyle w:val="Tabletext"/>
              <w:jc w:val="center"/>
            </w:pPr>
            <w:r>
              <w:t>50</w:t>
            </w:r>
          </w:p>
        </w:tc>
        <w:tc>
          <w:tcPr>
            <w:tcW w:w="850" w:type="dxa"/>
            <w:shd w:val="clear" w:color="auto" w:fill="auto"/>
            <w:noWrap/>
            <w:vAlign w:val="center"/>
          </w:tcPr>
          <w:p w14:paraId="5959A2AE" w14:textId="77777777" w:rsidR="00514177" w:rsidRPr="00364CDE" w:rsidRDefault="00514177" w:rsidP="00514177">
            <w:pPr>
              <w:pStyle w:val="Tabletext"/>
              <w:jc w:val="center"/>
              <w:rPr>
                <w:rFonts w:cs="Tahoma"/>
              </w:rPr>
            </w:pPr>
            <w:r>
              <w:rPr>
                <w:rFonts w:cs="Tahoma"/>
              </w:rPr>
              <w:t>13</w:t>
            </w:r>
          </w:p>
        </w:tc>
        <w:tc>
          <w:tcPr>
            <w:tcW w:w="1216" w:type="dxa"/>
          </w:tcPr>
          <w:p w14:paraId="5EC2D390" w14:textId="77777777" w:rsidR="00514177" w:rsidRPr="00364CDE" w:rsidRDefault="00514177" w:rsidP="00514177">
            <w:pPr>
              <w:pStyle w:val="Tabletext"/>
              <w:jc w:val="center"/>
              <w:rPr>
                <w:rFonts w:cs="Tahoma"/>
              </w:rPr>
            </w:pPr>
            <w:r>
              <w:rPr>
                <w:rFonts w:cs="Tahoma"/>
              </w:rPr>
              <w:t>38</w:t>
            </w:r>
          </w:p>
        </w:tc>
      </w:tr>
      <w:tr w:rsidR="00514177" w:rsidRPr="00364CDE" w14:paraId="3EDD624F" w14:textId="77777777" w:rsidTr="00514177">
        <w:trPr>
          <w:trHeight w:val="300"/>
        </w:trPr>
        <w:tc>
          <w:tcPr>
            <w:tcW w:w="5827" w:type="dxa"/>
            <w:shd w:val="clear" w:color="auto" w:fill="auto"/>
            <w:noWrap/>
            <w:vAlign w:val="center"/>
          </w:tcPr>
          <w:p w14:paraId="3D5982D2" w14:textId="77777777" w:rsidR="00514177" w:rsidRPr="00364CDE" w:rsidRDefault="00514177" w:rsidP="00514177">
            <w:pPr>
              <w:pStyle w:val="Tabletext"/>
            </w:pPr>
            <w:r>
              <w:t>Other respiratory function tests – recommendation 2.3</w:t>
            </w:r>
          </w:p>
        </w:tc>
        <w:tc>
          <w:tcPr>
            <w:tcW w:w="851" w:type="dxa"/>
            <w:shd w:val="clear" w:color="auto" w:fill="auto"/>
            <w:noWrap/>
            <w:vAlign w:val="center"/>
          </w:tcPr>
          <w:p w14:paraId="2DFC98B8" w14:textId="77777777" w:rsidR="00514177" w:rsidRPr="00364CDE" w:rsidRDefault="00514177" w:rsidP="00514177">
            <w:pPr>
              <w:pStyle w:val="Tabletext"/>
              <w:jc w:val="center"/>
            </w:pPr>
            <w:r>
              <w:t>74</w:t>
            </w:r>
          </w:p>
        </w:tc>
        <w:tc>
          <w:tcPr>
            <w:tcW w:w="850" w:type="dxa"/>
            <w:shd w:val="clear" w:color="auto" w:fill="auto"/>
            <w:noWrap/>
            <w:vAlign w:val="center"/>
          </w:tcPr>
          <w:p w14:paraId="4E7B89EF" w14:textId="77777777" w:rsidR="00514177" w:rsidRPr="00364CDE" w:rsidRDefault="00514177" w:rsidP="00514177">
            <w:pPr>
              <w:pStyle w:val="Tabletext"/>
              <w:jc w:val="center"/>
              <w:rPr>
                <w:rFonts w:cs="Tahoma"/>
              </w:rPr>
            </w:pPr>
            <w:r>
              <w:rPr>
                <w:rFonts w:cs="Tahoma"/>
              </w:rPr>
              <w:t>5</w:t>
            </w:r>
          </w:p>
        </w:tc>
        <w:tc>
          <w:tcPr>
            <w:tcW w:w="1216" w:type="dxa"/>
          </w:tcPr>
          <w:p w14:paraId="74676D6A" w14:textId="77777777" w:rsidR="00514177" w:rsidRPr="00364CDE" w:rsidRDefault="00514177" w:rsidP="00514177">
            <w:pPr>
              <w:pStyle w:val="Tabletext"/>
              <w:jc w:val="center"/>
              <w:rPr>
                <w:rFonts w:cs="Tahoma"/>
              </w:rPr>
            </w:pPr>
            <w:r>
              <w:rPr>
                <w:rFonts w:cs="Tahoma"/>
              </w:rPr>
              <w:t>21</w:t>
            </w:r>
          </w:p>
        </w:tc>
      </w:tr>
      <w:tr w:rsidR="00514177" w:rsidRPr="00364CDE" w14:paraId="238A8B37" w14:textId="77777777" w:rsidTr="00514177">
        <w:trPr>
          <w:trHeight w:val="300"/>
        </w:trPr>
        <w:tc>
          <w:tcPr>
            <w:tcW w:w="5827" w:type="dxa"/>
            <w:shd w:val="clear" w:color="auto" w:fill="auto"/>
            <w:noWrap/>
            <w:vAlign w:val="center"/>
          </w:tcPr>
          <w:p w14:paraId="4E1152A1" w14:textId="77777777" w:rsidR="00514177" w:rsidRPr="00364CDE" w:rsidRDefault="00514177" w:rsidP="00514177">
            <w:pPr>
              <w:pStyle w:val="Tabletext"/>
            </w:pPr>
            <w:r>
              <w:t>Other respiratory function tests – recommendation 2.4</w:t>
            </w:r>
          </w:p>
        </w:tc>
        <w:tc>
          <w:tcPr>
            <w:tcW w:w="851" w:type="dxa"/>
            <w:shd w:val="clear" w:color="auto" w:fill="auto"/>
            <w:noWrap/>
            <w:vAlign w:val="center"/>
          </w:tcPr>
          <w:p w14:paraId="099BD3D7" w14:textId="77777777" w:rsidR="00514177" w:rsidRPr="00364CDE" w:rsidRDefault="00514177" w:rsidP="00514177">
            <w:pPr>
              <w:pStyle w:val="Tabletext"/>
              <w:jc w:val="center"/>
            </w:pPr>
            <w:r>
              <w:t>79</w:t>
            </w:r>
          </w:p>
        </w:tc>
        <w:tc>
          <w:tcPr>
            <w:tcW w:w="850" w:type="dxa"/>
            <w:shd w:val="clear" w:color="auto" w:fill="auto"/>
            <w:noWrap/>
            <w:vAlign w:val="center"/>
          </w:tcPr>
          <w:p w14:paraId="3A1AA16B" w14:textId="77777777" w:rsidR="00514177" w:rsidRPr="00364CDE" w:rsidRDefault="00514177" w:rsidP="00514177">
            <w:pPr>
              <w:pStyle w:val="Tabletext"/>
              <w:jc w:val="center"/>
              <w:rPr>
                <w:rFonts w:cs="Tahoma"/>
              </w:rPr>
            </w:pPr>
            <w:r>
              <w:rPr>
                <w:rFonts w:cs="Tahoma"/>
              </w:rPr>
              <w:t>3</w:t>
            </w:r>
          </w:p>
        </w:tc>
        <w:tc>
          <w:tcPr>
            <w:tcW w:w="1216" w:type="dxa"/>
          </w:tcPr>
          <w:p w14:paraId="2AAF5632" w14:textId="77777777" w:rsidR="00514177" w:rsidRPr="00364CDE" w:rsidRDefault="00514177" w:rsidP="00514177">
            <w:pPr>
              <w:pStyle w:val="Tabletext"/>
              <w:jc w:val="center"/>
              <w:rPr>
                <w:rFonts w:cs="Tahoma"/>
              </w:rPr>
            </w:pPr>
            <w:r>
              <w:rPr>
                <w:rFonts w:cs="Tahoma"/>
              </w:rPr>
              <w:t>18</w:t>
            </w:r>
          </w:p>
        </w:tc>
      </w:tr>
      <w:tr w:rsidR="00514177" w:rsidRPr="00364CDE" w14:paraId="06F9ED68" w14:textId="77777777" w:rsidTr="00514177">
        <w:trPr>
          <w:trHeight w:val="300"/>
        </w:trPr>
        <w:tc>
          <w:tcPr>
            <w:tcW w:w="5827" w:type="dxa"/>
            <w:shd w:val="clear" w:color="auto" w:fill="auto"/>
            <w:noWrap/>
            <w:vAlign w:val="center"/>
          </w:tcPr>
          <w:p w14:paraId="150B88A9" w14:textId="77777777" w:rsidR="00514177" w:rsidRPr="00364CDE" w:rsidRDefault="00D3493C" w:rsidP="00514177">
            <w:pPr>
              <w:pStyle w:val="Tabletext"/>
            </w:pPr>
            <w:r>
              <w:t>Sleep studies – recommendations 3.1 and 3.2</w:t>
            </w:r>
          </w:p>
        </w:tc>
        <w:tc>
          <w:tcPr>
            <w:tcW w:w="851" w:type="dxa"/>
            <w:shd w:val="clear" w:color="auto" w:fill="auto"/>
            <w:noWrap/>
            <w:vAlign w:val="center"/>
          </w:tcPr>
          <w:p w14:paraId="76868067" w14:textId="77777777" w:rsidR="00514177" w:rsidRPr="00364CDE" w:rsidRDefault="00D3493C" w:rsidP="00514177">
            <w:pPr>
              <w:pStyle w:val="Tabletext"/>
              <w:jc w:val="center"/>
            </w:pPr>
            <w:r>
              <w:t>41</w:t>
            </w:r>
          </w:p>
        </w:tc>
        <w:tc>
          <w:tcPr>
            <w:tcW w:w="850" w:type="dxa"/>
            <w:shd w:val="clear" w:color="auto" w:fill="auto"/>
            <w:noWrap/>
            <w:vAlign w:val="center"/>
          </w:tcPr>
          <w:p w14:paraId="20F8D46C" w14:textId="77777777" w:rsidR="00514177" w:rsidRPr="00364CDE" w:rsidRDefault="00D3493C" w:rsidP="00514177">
            <w:pPr>
              <w:pStyle w:val="Tabletext"/>
              <w:jc w:val="center"/>
              <w:rPr>
                <w:rFonts w:cs="Tahoma"/>
              </w:rPr>
            </w:pPr>
            <w:r>
              <w:rPr>
                <w:rFonts w:cs="Tahoma"/>
              </w:rPr>
              <w:t>11</w:t>
            </w:r>
          </w:p>
        </w:tc>
        <w:tc>
          <w:tcPr>
            <w:tcW w:w="1216" w:type="dxa"/>
          </w:tcPr>
          <w:p w14:paraId="04FA0762" w14:textId="77777777" w:rsidR="00514177" w:rsidRPr="00364CDE" w:rsidRDefault="00D3493C" w:rsidP="00514177">
            <w:pPr>
              <w:pStyle w:val="Tabletext"/>
              <w:jc w:val="center"/>
              <w:rPr>
                <w:rFonts w:cs="Tahoma"/>
              </w:rPr>
            </w:pPr>
            <w:r>
              <w:rPr>
                <w:rFonts w:cs="Tahoma"/>
              </w:rPr>
              <w:t>48</w:t>
            </w:r>
          </w:p>
        </w:tc>
      </w:tr>
      <w:tr w:rsidR="00514177" w:rsidRPr="00364CDE" w14:paraId="3796933C" w14:textId="77777777" w:rsidTr="00514177">
        <w:trPr>
          <w:trHeight w:val="300"/>
        </w:trPr>
        <w:tc>
          <w:tcPr>
            <w:tcW w:w="5827" w:type="dxa"/>
            <w:shd w:val="clear" w:color="auto" w:fill="auto"/>
            <w:noWrap/>
            <w:vAlign w:val="center"/>
          </w:tcPr>
          <w:p w14:paraId="3D15681A" w14:textId="77777777" w:rsidR="00514177" w:rsidRPr="00364CDE" w:rsidRDefault="00D3493C" w:rsidP="00514177">
            <w:pPr>
              <w:pStyle w:val="Tabletext"/>
            </w:pPr>
            <w:r>
              <w:t>Sleep studies – recommendation 3.3</w:t>
            </w:r>
          </w:p>
        </w:tc>
        <w:tc>
          <w:tcPr>
            <w:tcW w:w="851" w:type="dxa"/>
            <w:shd w:val="clear" w:color="auto" w:fill="auto"/>
            <w:noWrap/>
            <w:vAlign w:val="center"/>
          </w:tcPr>
          <w:p w14:paraId="7947858F" w14:textId="77777777" w:rsidR="00514177" w:rsidRPr="00364CDE" w:rsidRDefault="00D3493C" w:rsidP="00514177">
            <w:pPr>
              <w:pStyle w:val="Tabletext"/>
              <w:jc w:val="center"/>
            </w:pPr>
            <w:r>
              <w:t>51</w:t>
            </w:r>
          </w:p>
        </w:tc>
        <w:tc>
          <w:tcPr>
            <w:tcW w:w="850" w:type="dxa"/>
            <w:shd w:val="clear" w:color="auto" w:fill="auto"/>
            <w:noWrap/>
            <w:vAlign w:val="center"/>
          </w:tcPr>
          <w:p w14:paraId="47DBB02A" w14:textId="77777777" w:rsidR="00514177" w:rsidRPr="00364CDE" w:rsidRDefault="00D3493C" w:rsidP="00514177">
            <w:pPr>
              <w:pStyle w:val="Tabletext"/>
              <w:jc w:val="center"/>
              <w:rPr>
                <w:rFonts w:cs="Tahoma"/>
              </w:rPr>
            </w:pPr>
            <w:r>
              <w:rPr>
                <w:rFonts w:cs="Tahoma"/>
              </w:rPr>
              <w:t>10</w:t>
            </w:r>
          </w:p>
        </w:tc>
        <w:tc>
          <w:tcPr>
            <w:tcW w:w="1216" w:type="dxa"/>
          </w:tcPr>
          <w:p w14:paraId="520226C7" w14:textId="77777777" w:rsidR="00514177" w:rsidRPr="00364CDE" w:rsidRDefault="00D3493C" w:rsidP="00514177">
            <w:pPr>
              <w:pStyle w:val="Tabletext"/>
              <w:jc w:val="center"/>
              <w:rPr>
                <w:rFonts w:cs="Tahoma"/>
              </w:rPr>
            </w:pPr>
            <w:r>
              <w:rPr>
                <w:rFonts w:cs="Tahoma"/>
              </w:rPr>
              <w:t>40</w:t>
            </w:r>
          </w:p>
        </w:tc>
      </w:tr>
      <w:tr w:rsidR="00514177" w:rsidRPr="00364CDE" w14:paraId="38498C24" w14:textId="77777777" w:rsidTr="00514177">
        <w:trPr>
          <w:trHeight w:val="300"/>
        </w:trPr>
        <w:tc>
          <w:tcPr>
            <w:tcW w:w="5827" w:type="dxa"/>
            <w:shd w:val="clear" w:color="auto" w:fill="auto"/>
            <w:noWrap/>
            <w:vAlign w:val="center"/>
          </w:tcPr>
          <w:p w14:paraId="269B30B3" w14:textId="77777777" w:rsidR="00514177" w:rsidRPr="00D3493C" w:rsidRDefault="00D3493C" w:rsidP="00514177">
            <w:pPr>
              <w:pStyle w:val="Tabletext"/>
              <w:rPr>
                <w:b/>
              </w:rPr>
            </w:pPr>
            <w:r>
              <w:t>Sleep studies – recommendation 3.4</w:t>
            </w:r>
          </w:p>
        </w:tc>
        <w:tc>
          <w:tcPr>
            <w:tcW w:w="851" w:type="dxa"/>
            <w:shd w:val="clear" w:color="auto" w:fill="auto"/>
            <w:noWrap/>
            <w:vAlign w:val="center"/>
          </w:tcPr>
          <w:p w14:paraId="2AA81CF1" w14:textId="77777777" w:rsidR="00514177" w:rsidRPr="00364CDE" w:rsidRDefault="00D3493C" w:rsidP="00514177">
            <w:pPr>
              <w:pStyle w:val="Tabletext"/>
              <w:jc w:val="center"/>
            </w:pPr>
            <w:r>
              <w:t>42</w:t>
            </w:r>
          </w:p>
        </w:tc>
        <w:tc>
          <w:tcPr>
            <w:tcW w:w="850" w:type="dxa"/>
            <w:shd w:val="clear" w:color="auto" w:fill="auto"/>
            <w:noWrap/>
            <w:vAlign w:val="center"/>
          </w:tcPr>
          <w:p w14:paraId="0E6B2232" w14:textId="77777777" w:rsidR="00514177" w:rsidRPr="00364CDE" w:rsidRDefault="00D3493C" w:rsidP="00514177">
            <w:pPr>
              <w:pStyle w:val="Tabletext"/>
              <w:jc w:val="center"/>
              <w:rPr>
                <w:rFonts w:cs="Tahoma"/>
              </w:rPr>
            </w:pPr>
            <w:r>
              <w:rPr>
                <w:rFonts w:cs="Tahoma"/>
              </w:rPr>
              <w:t>42</w:t>
            </w:r>
          </w:p>
        </w:tc>
        <w:tc>
          <w:tcPr>
            <w:tcW w:w="1216" w:type="dxa"/>
          </w:tcPr>
          <w:p w14:paraId="3F0B8712" w14:textId="77777777" w:rsidR="00514177" w:rsidRPr="00364CDE" w:rsidRDefault="00D3493C" w:rsidP="00514177">
            <w:pPr>
              <w:pStyle w:val="Tabletext"/>
              <w:jc w:val="center"/>
              <w:rPr>
                <w:rFonts w:cs="Tahoma"/>
              </w:rPr>
            </w:pPr>
            <w:r>
              <w:rPr>
                <w:rFonts w:cs="Tahoma"/>
              </w:rPr>
              <w:t>16</w:t>
            </w:r>
          </w:p>
        </w:tc>
      </w:tr>
      <w:tr w:rsidR="00514177" w:rsidRPr="00364CDE" w14:paraId="0BF18BBC" w14:textId="77777777" w:rsidTr="00514177">
        <w:trPr>
          <w:trHeight w:val="300"/>
        </w:trPr>
        <w:tc>
          <w:tcPr>
            <w:tcW w:w="5827" w:type="dxa"/>
            <w:shd w:val="clear" w:color="auto" w:fill="auto"/>
            <w:noWrap/>
            <w:vAlign w:val="center"/>
          </w:tcPr>
          <w:p w14:paraId="7892094E" w14:textId="77777777" w:rsidR="00514177" w:rsidRPr="00D3493C" w:rsidRDefault="00D3493C" w:rsidP="00514177">
            <w:pPr>
              <w:pStyle w:val="Tabletext"/>
              <w:rPr>
                <w:b/>
              </w:rPr>
            </w:pPr>
            <w:r>
              <w:t>Sleep studies – recommendation 3.5</w:t>
            </w:r>
          </w:p>
        </w:tc>
        <w:tc>
          <w:tcPr>
            <w:tcW w:w="851" w:type="dxa"/>
            <w:shd w:val="clear" w:color="auto" w:fill="auto"/>
            <w:noWrap/>
            <w:vAlign w:val="center"/>
          </w:tcPr>
          <w:p w14:paraId="157BF970" w14:textId="77777777" w:rsidR="00514177" w:rsidRPr="00364CDE" w:rsidRDefault="00D3493C" w:rsidP="00514177">
            <w:pPr>
              <w:pStyle w:val="Tabletext"/>
              <w:jc w:val="center"/>
            </w:pPr>
            <w:r>
              <w:t>33</w:t>
            </w:r>
          </w:p>
        </w:tc>
        <w:tc>
          <w:tcPr>
            <w:tcW w:w="850" w:type="dxa"/>
            <w:shd w:val="clear" w:color="auto" w:fill="auto"/>
            <w:noWrap/>
            <w:vAlign w:val="center"/>
          </w:tcPr>
          <w:p w14:paraId="501CFA27" w14:textId="77777777" w:rsidR="00514177" w:rsidRPr="00364CDE" w:rsidRDefault="00D3493C" w:rsidP="00514177">
            <w:pPr>
              <w:pStyle w:val="Tabletext"/>
              <w:jc w:val="center"/>
              <w:rPr>
                <w:rFonts w:cs="Tahoma"/>
              </w:rPr>
            </w:pPr>
            <w:r>
              <w:rPr>
                <w:rFonts w:cs="Tahoma"/>
              </w:rPr>
              <w:t>17</w:t>
            </w:r>
          </w:p>
        </w:tc>
        <w:tc>
          <w:tcPr>
            <w:tcW w:w="1216" w:type="dxa"/>
          </w:tcPr>
          <w:p w14:paraId="02B59A6A" w14:textId="77777777" w:rsidR="00514177" w:rsidRPr="00364CDE" w:rsidRDefault="00D3493C" w:rsidP="00514177">
            <w:pPr>
              <w:pStyle w:val="Tabletext"/>
              <w:jc w:val="center"/>
              <w:rPr>
                <w:rFonts w:cs="Tahoma"/>
              </w:rPr>
            </w:pPr>
            <w:r>
              <w:rPr>
                <w:rFonts w:cs="Tahoma"/>
              </w:rPr>
              <w:t>50</w:t>
            </w:r>
          </w:p>
        </w:tc>
      </w:tr>
      <w:tr w:rsidR="00514177" w:rsidRPr="00364CDE" w14:paraId="53D81702" w14:textId="77777777" w:rsidTr="00514177">
        <w:trPr>
          <w:trHeight w:val="300"/>
        </w:trPr>
        <w:tc>
          <w:tcPr>
            <w:tcW w:w="5827" w:type="dxa"/>
            <w:shd w:val="clear" w:color="auto" w:fill="auto"/>
            <w:noWrap/>
            <w:vAlign w:val="center"/>
          </w:tcPr>
          <w:p w14:paraId="4C8A59C1" w14:textId="77777777" w:rsidR="00514177" w:rsidRPr="00364CDE" w:rsidRDefault="00D3493C" w:rsidP="00514177">
            <w:pPr>
              <w:pStyle w:val="Tabletext"/>
            </w:pPr>
            <w:r>
              <w:lastRenderedPageBreak/>
              <w:t>Sleep studies – recommendation 3.6</w:t>
            </w:r>
          </w:p>
        </w:tc>
        <w:tc>
          <w:tcPr>
            <w:tcW w:w="851" w:type="dxa"/>
            <w:shd w:val="clear" w:color="auto" w:fill="auto"/>
            <w:noWrap/>
            <w:vAlign w:val="center"/>
          </w:tcPr>
          <w:p w14:paraId="72A22342" w14:textId="77777777" w:rsidR="00514177" w:rsidRPr="00364CDE" w:rsidRDefault="00D3493C" w:rsidP="00514177">
            <w:pPr>
              <w:pStyle w:val="Tabletext"/>
              <w:jc w:val="center"/>
            </w:pPr>
            <w:r>
              <w:t>56</w:t>
            </w:r>
          </w:p>
        </w:tc>
        <w:tc>
          <w:tcPr>
            <w:tcW w:w="850" w:type="dxa"/>
            <w:shd w:val="clear" w:color="auto" w:fill="auto"/>
            <w:noWrap/>
            <w:vAlign w:val="center"/>
          </w:tcPr>
          <w:p w14:paraId="512F89F2" w14:textId="77777777" w:rsidR="00514177" w:rsidRPr="00364CDE" w:rsidRDefault="00D3493C" w:rsidP="00514177">
            <w:pPr>
              <w:pStyle w:val="Tabletext"/>
              <w:jc w:val="center"/>
              <w:rPr>
                <w:rFonts w:cs="Tahoma"/>
              </w:rPr>
            </w:pPr>
            <w:r>
              <w:rPr>
                <w:rFonts w:cs="Tahoma"/>
              </w:rPr>
              <w:t>5</w:t>
            </w:r>
          </w:p>
        </w:tc>
        <w:tc>
          <w:tcPr>
            <w:tcW w:w="1216" w:type="dxa"/>
          </w:tcPr>
          <w:p w14:paraId="27CBE334" w14:textId="77777777" w:rsidR="00514177" w:rsidRPr="00364CDE" w:rsidRDefault="00D3493C" w:rsidP="00514177">
            <w:pPr>
              <w:pStyle w:val="Tabletext"/>
              <w:jc w:val="center"/>
              <w:rPr>
                <w:rFonts w:cs="Tahoma"/>
              </w:rPr>
            </w:pPr>
            <w:r>
              <w:rPr>
                <w:rFonts w:cs="Tahoma"/>
              </w:rPr>
              <w:t>39</w:t>
            </w:r>
          </w:p>
        </w:tc>
      </w:tr>
      <w:tr w:rsidR="00514177" w:rsidRPr="00364CDE" w14:paraId="33BD5DE4" w14:textId="77777777" w:rsidTr="00514177">
        <w:trPr>
          <w:trHeight w:val="300"/>
        </w:trPr>
        <w:tc>
          <w:tcPr>
            <w:tcW w:w="5827" w:type="dxa"/>
            <w:shd w:val="clear" w:color="auto" w:fill="auto"/>
            <w:noWrap/>
            <w:vAlign w:val="center"/>
          </w:tcPr>
          <w:p w14:paraId="23F78EC1" w14:textId="77777777" w:rsidR="00514177" w:rsidRPr="00364CDE" w:rsidRDefault="00D3493C" w:rsidP="00514177">
            <w:pPr>
              <w:pStyle w:val="Tabletext"/>
            </w:pPr>
            <w:r>
              <w:t>Sleep studies – recommendation 3.7</w:t>
            </w:r>
          </w:p>
        </w:tc>
        <w:tc>
          <w:tcPr>
            <w:tcW w:w="851" w:type="dxa"/>
            <w:shd w:val="clear" w:color="auto" w:fill="auto"/>
            <w:noWrap/>
            <w:vAlign w:val="center"/>
          </w:tcPr>
          <w:p w14:paraId="6B2C5295" w14:textId="77777777" w:rsidR="00514177" w:rsidRPr="00364CDE" w:rsidRDefault="00D3493C" w:rsidP="00514177">
            <w:pPr>
              <w:pStyle w:val="Tabletext"/>
              <w:jc w:val="center"/>
            </w:pPr>
            <w:r>
              <w:t>64</w:t>
            </w:r>
          </w:p>
        </w:tc>
        <w:tc>
          <w:tcPr>
            <w:tcW w:w="850" w:type="dxa"/>
            <w:shd w:val="clear" w:color="auto" w:fill="auto"/>
            <w:noWrap/>
            <w:vAlign w:val="center"/>
          </w:tcPr>
          <w:p w14:paraId="1E69217B" w14:textId="77777777" w:rsidR="00514177" w:rsidRPr="00364CDE" w:rsidRDefault="00D3493C" w:rsidP="00514177">
            <w:pPr>
              <w:pStyle w:val="Tabletext"/>
              <w:jc w:val="center"/>
              <w:rPr>
                <w:rFonts w:cs="Tahoma"/>
              </w:rPr>
            </w:pPr>
            <w:r>
              <w:rPr>
                <w:rFonts w:cs="Tahoma"/>
              </w:rPr>
              <w:t>3</w:t>
            </w:r>
          </w:p>
        </w:tc>
        <w:tc>
          <w:tcPr>
            <w:tcW w:w="1216" w:type="dxa"/>
          </w:tcPr>
          <w:p w14:paraId="42362F32" w14:textId="77777777" w:rsidR="00514177" w:rsidRPr="00364CDE" w:rsidRDefault="00D3493C" w:rsidP="00514177">
            <w:pPr>
              <w:pStyle w:val="Tabletext"/>
              <w:jc w:val="center"/>
              <w:rPr>
                <w:rFonts w:cs="Tahoma"/>
              </w:rPr>
            </w:pPr>
            <w:r>
              <w:rPr>
                <w:rFonts w:cs="Tahoma"/>
              </w:rPr>
              <w:t>33</w:t>
            </w:r>
          </w:p>
        </w:tc>
      </w:tr>
      <w:tr w:rsidR="00D3493C" w:rsidRPr="00364CDE" w14:paraId="5F857C99" w14:textId="77777777" w:rsidTr="00D3493C">
        <w:trPr>
          <w:trHeight w:val="300"/>
        </w:trPr>
        <w:tc>
          <w:tcPr>
            <w:tcW w:w="5827" w:type="dxa"/>
            <w:shd w:val="clear" w:color="auto" w:fill="auto"/>
            <w:noWrap/>
            <w:vAlign w:val="center"/>
          </w:tcPr>
          <w:p w14:paraId="02C7CDAC" w14:textId="77777777" w:rsidR="00D3493C" w:rsidRPr="00364CDE" w:rsidRDefault="00D3493C" w:rsidP="00514177">
            <w:pPr>
              <w:pStyle w:val="Tabletext"/>
            </w:pPr>
            <w:r>
              <w:t>Diagnostic and therapeutic procedures – lung, trachea and bronchus – recommendation 4.1</w:t>
            </w:r>
          </w:p>
        </w:tc>
        <w:tc>
          <w:tcPr>
            <w:tcW w:w="851" w:type="dxa"/>
            <w:shd w:val="clear" w:color="auto" w:fill="auto"/>
            <w:noWrap/>
            <w:vAlign w:val="center"/>
          </w:tcPr>
          <w:p w14:paraId="4629EACB" w14:textId="77777777" w:rsidR="00D3493C" w:rsidRPr="00364CDE" w:rsidRDefault="00D3493C" w:rsidP="00514177">
            <w:pPr>
              <w:pStyle w:val="Tabletext"/>
              <w:jc w:val="center"/>
            </w:pPr>
            <w:r>
              <w:t>77</w:t>
            </w:r>
          </w:p>
        </w:tc>
        <w:tc>
          <w:tcPr>
            <w:tcW w:w="850" w:type="dxa"/>
            <w:shd w:val="clear" w:color="auto" w:fill="auto"/>
            <w:noWrap/>
            <w:vAlign w:val="center"/>
          </w:tcPr>
          <w:p w14:paraId="51214723" w14:textId="77777777" w:rsidR="00D3493C" w:rsidRPr="00364CDE" w:rsidRDefault="00D3493C" w:rsidP="00514177">
            <w:pPr>
              <w:pStyle w:val="Tabletext"/>
              <w:jc w:val="center"/>
              <w:rPr>
                <w:rFonts w:cs="Tahoma"/>
              </w:rPr>
            </w:pPr>
            <w:r>
              <w:rPr>
                <w:rFonts w:cs="Tahoma"/>
              </w:rPr>
              <w:t>12</w:t>
            </w:r>
          </w:p>
        </w:tc>
        <w:tc>
          <w:tcPr>
            <w:tcW w:w="1216" w:type="dxa"/>
            <w:vAlign w:val="center"/>
          </w:tcPr>
          <w:p w14:paraId="04B2EEF2" w14:textId="77777777" w:rsidR="00D3493C" w:rsidRPr="00364CDE" w:rsidRDefault="00D3493C" w:rsidP="00514177">
            <w:pPr>
              <w:pStyle w:val="Tabletext"/>
              <w:jc w:val="center"/>
              <w:rPr>
                <w:rFonts w:cs="Tahoma"/>
              </w:rPr>
            </w:pPr>
            <w:r>
              <w:rPr>
                <w:rFonts w:cs="Tahoma"/>
              </w:rPr>
              <w:t>12</w:t>
            </w:r>
          </w:p>
        </w:tc>
      </w:tr>
      <w:tr w:rsidR="00D3493C" w:rsidRPr="00364CDE" w14:paraId="6F46B896" w14:textId="77777777" w:rsidTr="00D3493C">
        <w:trPr>
          <w:trHeight w:val="300"/>
        </w:trPr>
        <w:tc>
          <w:tcPr>
            <w:tcW w:w="5827" w:type="dxa"/>
            <w:shd w:val="clear" w:color="auto" w:fill="auto"/>
            <w:noWrap/>
            <w:vAlign w:val="center"/>
          </w:tcPr>
          <w:p w14:paraId="1F09ECC0" w14:textId="77777777" w:rsidR="00D3493C" w:rsidRPr="00364CDE" w:rsidRDefault="00D3493C" w:rsidP="00514177">
            <w:pPr>
              <w:pStyle w:val="Tabletext"/>
            </w:pPr>
            <w:r>
              <w:t>Diagnostic and therapeutic procedures – lung, trachea and bronchus – recommendation 4.2</w:t>
            </w:r>
          </w:p>
        </w:tc>
        <w:tc>
          <w:tcPr>
            <w:tcW w:w="851" w:type="dxa"/>
            <w:shd w:val="clear" w:color="auto" w:fill="auto"/>
            <w:noWrap/>
            <w:vAlign w:val="center"/>
          </w:tcPr>
          <w:p w14:paraId="5ACC3C31" w14:textId="77777777" w:rsidR="00D3493C" w:rsidRPr="00364CDE" w:rsidRDefault="00D3493C" w:rsidP="00514177">
            <w:pPr>
              <w:pStyle w:val="Tabletext"/>
              <w:jc w:val="center"/>
            </w:pPr>
            <w:r>
              <w:t>93</w:t>
            </w:r>
          </w:p>
        </w:tc>
        <w:tc>
          <w:tcPr>
            <w:tcW w:w="850" w:type="dxa"/>
            <w:shd w:val="clear" w:color="auto" w:fill="auto"/>
            <w:noWrap/>
            <w:vAlign w:val="center"/>
          </w:tcPr>
          <w:p w14:paraId="682E17B6" w14:textId="77777777" w:rsidR="00D3493C" w:rsidRPr="00364CDE" w:rsidRDefault="00D3493C" w:rsidP="00514177">
            <w:pPr>
              <w:pStyle w:val="Tabletext"/>
              <w:jc w:val="center"/>
              <w:rPr>
                <w:rFonts w:cs="Tahoma"/>
              </w:rPr>
            </w:pPr>
            <w:r>
              <w:rPr>
                <w:rFonts w:cs="Tahoma"/>
              </w:rPr>
              <w:t>7</w:t>
            </w:r>
          </w:p>
        </w:tc>
        <w:tc>
          <w:tcPr>
            <w:tcW w:w="1216" w:type="dxa"/>
            <w:vAlign w:val="center"/>
          </w:tcPr>
          <w:p w14:paraId="4B50A13F" w14:textId="77777777" w:rsidR="00D3493C" w:rsidRPr="00364CDE" w:rsidRDefault="00D3493C" w:rsidP="00514177">
            <w:pPr>
              <w:pStyle w:val="Tabletext"/>
              <w:jc w:val="center"/>
              <w:rPr>
                <w:rFonts w:cs="Tahoma"/>
              </w:rPr>
            </w:pPr>
            <w:r>
              <w:rPr>
                <w:rFonts w:cs="Tahoma"/>
              </w:rPr>
              <w:t>-</w:t>
            </w:r>
          </w:p>
        </w:tc>
      </w:tr>
      <w:tr w:rsidR="00D3493C" w:rsidRPr="000975B4" w14:paraId="364AA91A" w14:textId="77777777" w:rsidTr="00514177">
        <w:trPr>
          <w:trHeight w:val="300"/>
        </w:trPr>
        <w:tc>
          <w:tcPr>
            <w:tcW w:w="5827" w:type="dxa"/>
            <w:shd w:val="clear" w:color="auto" w:fill="auto"/>
            <w:noWrap/>
            <w:vAlign w:val="center"/>
          </w:tcPr>
          <w:p w14:paraId="0724565F" w14:textId="77777777" w:rsidR="00D3493C" w:rsidRPr="000975B4" w:rsidRDefault="00D3493C" w:rsidP="00514177">
            <w:pPr>
              <w:pStyle w:val="Tabletext"/>
              <w:rPr>
                <w:b/>
              </w:rPr>
            </w:pPr>
            <w:r w:rsidRPr="000975B4">
              <w:rPr>
                <w:b/>
              </w:rPr>
              <w:t>Thoracic me</w:t>
            </w:r>
            <w:r w:rsidR="000975B4" w:rsidRPr="000975B4">
              <w:rPr>
                <w:b/>
              </w:rPr>
              <w:t>dicine recommendations overall</w:t>
            </w:r>
          </w:p>
        </w:tc>
        <w:tc>
          <w:tcPr>
            <w:tcW w:w="851" w:type="dxa"/>
            <w:shd w:val="clear" w:color="auto" w:fill="auto"/>
            <w:noWrap/>
            <w:vAlign w:val="center"/>
          </w:tcPr>
          <w:p w14:paraId="18122200" w14:textId="77777777" w:rsidR="00D3493C" w:rsidRPr="000975B4" w:rsidRDefault="000975B4" w:rsidP="00514177">
            <w:pPr>
              <w:pStyle w:val="Tabletext"/>
              <w:jc w:val="center"/>
              <w:rPr>
                <w:b/>
              </w:rPr>
            </w:pPr>
            <w:r w:rsidRPr="000975B4">
              <w:rPr>
                <w:b/>
              </w:rPr>
              <w:t>61</w:t>
            </w:r>
          </w:p>
        </w:tc>
        <w:tc>
          <w:tcPr>
            <w:tcW w:w="850" w:type="dxa"/>
            <w:shd w:val="clear" w:color="auto" w:fill="auto"/>
            <w:noWrap/>
            <w:vAlign w:val="center"/>
          </w:tcPr>
          <w:p w14:paraId="0AAF2947" w14:textId="77777777" w:rsidR="00D3493C" w:rsidRPr="000975B4" w:rsidRDefault="000975B4" w:rsidP="00514177">
            <w:pPr>
              <w:pStyle w:val="Tabletext"/>
              <w:jc w:val="center"/>
              <w:rPr>
                <w:rFonts w:cs="Tahoma"/>
                <w:b/>
              </w:rPr>
            </w:pPr>
            <w:r w:rsidRPr="000975B4">
              <w:rPr>
                <w:rFonts w:cs="Tahoma"/>
                <w:b/>
              </w:rPr>
              <w:t>10</w:t>
            </w:r>
          </w:p>
        </w:tc>
        <w:tc>
          <w:tcPr>
            <w:tcW w:w="1216" w:type="dxa"/>
          </w:tcPr>
          <w:p w14:paraId="7CCF4302" w14:textId="77777777" w:rsidR="00D3493C" w:rsidRPr="000975B4" w:rsidRDefault="000975B4" w:rsidP="00514177">
            <w:pPr>
              <w:pStyle w:val="Tabletext"/>
              <w:jc w:val="center"/>
              <w:rPr>
                <w:rFonts w:cs="Tahoma"/>
                <w:b/>
              </w:rPr>
            </w:pPr>
            <w:r w:rsidRPr="000975B4">
              <w:rPr>
                <w:rFonts w:cs="Tahoma"/>
                <w:b/>
              </w:rPr>
              <w:t>29</w:t>
            </w:r>
          </w:p>
        </w:tc>
      </w:tr>
    </w:tbl>
    <w:p w14:paraId="69460A35" w14:textId="77777777" w:rsidR="00DF5F48" w:rsidRDefault="00DF5F48" w:rsidP="005C1F76">
      <w:pPr>
        <w:pStyle w:val="EndNoteBibliography"/>
        <w:ind w:left="720" w:hanging="720"/>
        <w:rPr>
          <w:rFonts w:ascii="Times New Roman" w:hAnsi="Times New Roman"/>
          <w:b/>
        </w:rPr>
      </w:pPr>
    </w:p>
    <w:p w14:paraId="3F028332" w14:textId="77777777" w:rsidR="00FC0D7F" w:rsidRDefault="00D647C2" w:rsidP="00FC0D7F">
      <w:pPr>
        <w:pStyle w:val="Heading2a"/>
      </w:pPr>
      <w:r>
        <w:t>G</w:t>
      </w:r>
      <w:r w:rsidR="00455D79">
        <w:t xml:space="preserve">.3 </w:t>
      </w:r>
      <w:r w:rsidR="00FC0D7F">
        <w:t>Thoracic Medicine Clinical Committee review of public consultation submissions</w:t>
      </w:r>
    </w:p>
    <w:p w14:paraId="5E6FFD3D" w14:textId="77777777" w:rsidR="00FC0D7F" w:rsidRDefault="00FC0D7F" w:rsidP="00FC0D7F">
      <w:r>
        <w:t xml:space="preserve">The Thoracic Medicine Clinical Committee met on 27 October 2016 and assessed the </w:t>
      </w:r>
      <w:r w:rsidR="00D80258">
        <w:t>submissions</w:t>
      </w:r>
      <w:r>
        <w:t xml:space="preserve"> from public consultation. </w:t>
      </w:r>
    </w:p>
    <w:p w14:paraId="0952F278" w14:textId="77777777" w:rsidR="00FC0D7F" w:rsidRDefault="00D80258" w:rsidP="00FC0D7F">
      <w:r>
        <w:t>The Committee noted the main themes included:</w:t>
      </w:r>
    </w:p>
    <w:p w14:paraId="4E2C88E2" w14:textId="77777777" w:rsidR="00D80258" w:rsidRDefault="00D80258" w:rsidP="00D80258">
      <w:pPr>
        <w:pStyle w:val="NormalBulleted"/>
      </w:pPr>
      <w:r>
        <w:t>Suggestions that the international standards should apply to item 11506</w:t>
      </w:r>
    </w:p>
    <w:p w14:paraId="1D8C3526" w14:textId="77777777" w:rsidR="00D80258" w:rsidRDefault="00D80258" w:rsidP="00D80258">
      <w:pPr>
        <w:pStyle w:val="NormalBulleted"/>
      </w:pPr>
      <w:r>
        <w:t>Overnight oximetry and the need for it to be funded</w:t>
      </w:r>
    </w:p>
    <w:p w14:paraId="26DFADA0" w14:textId="77777777" w:rsidR="00D80258" w:rsidRDefault="00D80258" w:rsidP="00D80258">
      <w:pPr>
        <w:pStyle w:val="NormalBulleted"/>
      </w:pPr>
      <w:r>
        <w:t>The sleep study Stop Bang score level should be lowered</w:t>
      </w:r>
    </w:p>
    <w:p w14:paraId="6E149D27" w14:textId="77777777" w:rsidR="00D61B7E" w:rsidRDefault="00D61B7E" w:rsidP="00D61B7E">
      <w:pPr>
        <w:pStyle w:val="NormalBulleted"/>
        <w:numPr>
          <w:ilvl w:val="0"/>
          <w:numId w:val="0"/>
        </w:numPr>
      </w:pPr>
    </w:p>
    <w:p w14:paraId="27DDCCB1" w14:textId="77777777" w:rsidR="00853AAA" w:rsidRDefault="00D647C2" w:rsidP="00853AAA">
      <w:pPr>
        <w:pStyle w:val="Heading2a"/>
      </w:pPr>
      <w:r>
        <w:t>G</w:t>
      </w:r>
      <w:r w:rsidR="00853AAA">
        <w:t>.4 Summary of changes to items and explanatory notes</w:t>
      </w:r>
    </w:p>
    <w:p w14:paraId="03026EF5" w14:textId="77777777" w:rsidR="00853AAA" w:rsidRDefault="00853AAA" w:rsidP="00853AAA">
      <w:r>
        <w:t>The following table is a final list of changes to item descriptors and explanatory notes recommended by the Thoracic Medicine Clinical Committee</w:t>
      </w:r>
    </w:p>
    <w:p w14:paraId="0F675984" w14:textId="77777777" w:rsidR="00853AAA" w:rsidRPr="009F4CD5" w:rsidRDefault="00853AAA" w:rsidP="00853AAA">
      <w:pPr>
        <w:pStyle w:val="Caption"/>
      </w:pPr>
      <w:bookmarkStart w:id="449" w:name="_Toc478721576"/>
      <w:r w:rsidRPr="00B610CD">
        <w:t>Table G</w:t>
      </w:r>
      <w:r>
        <w:t>2</w:t>
      </w:r>
      <w:r w:rsidRPr="00B610CD">
        <w:t>:</w:t>
      </w:r>
      <w:r>
        <w:tab/>
        <w:t>Final list of changes to item descriptors and explanatory notes</w:t>
      </w:r>
      <w:bookmarkEnd w:id="449"/>
    </w:p>
    <w:tbl>
      <w:tblPr>
        <w:tblW w:w="8804" w:type="dxa"/>
        <w:tblInd w:w="93" w:type="dxa"/>
        <w:tblBorders>
          <w:top w:val="single" w:sz="4" w:space="0" w:color="B56011"/>
          <w:bottom w:val="single" w:sz="4" w:space="0" w:color="B56011"/>
          <w:insideH w:val="single" w:sz="4" w:space="0" w:color="B56011"/>
        </w:tblBorders>
        <w:tblLayout w:type="fixed"/>
        <w:tblLook w:val="04A0" w:firstRow="1" w:lastRow="0" w:firstColumn="1" w:lastColumn="0" w:noHBand="0" w:noVBand="1"/>
        <w:tblDescription w:val="Table G2 provides the final list of changes to item descriptions and explanatory notes recommended by the Thoracic Medicine Clinical Committee."/>
      </w:tblPr>
      <w:tblGrid>
        <w:gridCol w:w="1716"/>
        <w:gridCol w:w="4962"/>
        <w:gridCol w:w="992"/>
        <w:gridCol w:w="1134"/>
      </w:tblGrid>
      <w:tr w:rsidR="00853AAA" w:rsidRPr="00A403FC" w14:paraId="00E27AD5" w14:textId="77777777" w:rsidTr="0056070F">
        <w:trPr>
          <w:trHeight w:val="300"/>
          <w:tblHeader/>
        </w:trPr>
        <w:tc>
          <w:tcPr>
            <w:tcW w:w="1716" w:type="dxa"/>
            <w:shd w:val="clear" w:color="auto" w:fill="auto"/>
            <w:noWrap/>
            <w:vAlign w:val="center"/>
            <w:hideMark/>
          </w:tcPr>
          <w:p w14:paraId="0AE1CC63" w14:textId="77777777" w:rsidR="00853AAA" w:rsidRPr="00A403FC" w:rsidRDefault="00E70A3C" w:rsidP="00B728E1">
            <w:pPr>
              <w:pStyle w:val="Tableheading"/>
            </w:pPr>
            <w:r>
              <w:t>Recommendation</w:t>
            </w:r>
            <w:r w:rsidR="00B728E1">
              <w:t xml:space="preserve"> number</w:t>
            </w:r>
          </w:p>
        </w:tc>
        <w:tc>
          <w:tcPr>
            <w:tcW w:w="4962" w:type="dxa"/>
            <w:shd w:val="clear" w:color="auto" w:fill="auto"/>
            <w:noWrap/>
            <w:vAlign w:val="center"/>
            <w:hideMark/>
          </w:tcPr>
          <w:p w14:paraId="136ABB9F" w14:textId="77777777" w:rsidR="00853AAA" w:rsidRPr="00A403FC" w:rsidRDefault="00E70A3C" w:rsidP="00B728E1">
            <w:pPr>
              <w:pStyle w:val="Tableheading"/>
            </w:pPr>
            <w:r>
              <w:t>Change overview</w:t>
            </w:r>
          </w:p>
        </w:tc>
        <w:tc>
          <w:tcPr>
            <w:tcW w:w="992" w:type="dxa"/>
            <w:shd w:val="clear" w:color="auto" w:fill="auto"/>
            <w:noWrap/>
            <w:vAlign w:val="center"/>
            <w:hideMark/>
          </w:tcPr>
          <w:p w14:paraId="00AC8B72" w14:textId="77777777" w:rsidR="00853AAA" w:rsidRPr="00A403FC" w:rsidRDefault="00E70A3C" w:rsidP="00B728E1">
            <w:pPr>
              <w:pStyle w:val="Tableheading"/>
            </w:pPr>
            <w:r>
              <w:t xml:space="preserve">See </w:t>
            </w:r>
            <w:r w:rsidR="00B728E1">
              <w:t>section</w:t>
            </w:r>
          </w:p>
        </w:tc>
        <w:tc>
          <w:tcPr>
            <w:tcW w:w="1134" w:type="dxa"/>
          </w:tcPr>
          <w:p w14:paraId="766E4F3B" w14:textId="77777777" w:rsidR="00853AAA" w:rsidRPr="00A403FC" w:rsidRDefault="00B728E1" w:rsidP="00B728E1">
            <w:pPr>
              <w:pStyle w:val="Tableheading"/>
            </w:pPr>
            <w:r>
              <w:t>Page number</w:t>
            </w:r>
            <w:r w:rsidR="00377D45">
              <w:t>/s</w:t>
            </w:r>
          </w:p>
        </w:tc>
      </w:tr>
      <w:tr w:rsidR="00853AAA" w:rsidRPr="00364CDE" w14:paraId="283CE593" w14:textId="77777777" w:rsidTr="0056070F">
        <w:trPr>
          <w:trHeight w:val="300"/>
        </w:trPr>
        <w:tc>
          <w:tcPr>
            <w:tcW w:w="1716" w:type="dxa"/>
            <w:shd w:val="clear" w:color="auto" w:fill="auto"/>
            <w:noWrap/>
          </w:tcPr>
          <w:p w14:paraId="0B8EE7B8" w14:textId="77777777" w:rsidR="00853AAA" w:rsidRPr="00364CDE" w:rsidRDefault="00E70A3C">
            <w:pPr>
              <w:pStyle w:val="Tabletext"/>
            </w:pPr>
            <w:r>
              <w:t>1.1</w:t>
            </w:r>
          </w:p>
        </w:tc>
        <w:tc>
          <w:tcPr>
            <w:tcW w:w="4962" w:type="dxa"/>
            <w:shd w:val="clear" w:color="auto" w:fill="auto"/>
            <w:noWrap/>
            <w:hideMark/>
          </w:tcPr>
          <w:p w14:paraId="045C2303" w14:textId="77777777" w:rsidR="00853AAA" w:rsidRPr="00364CDE" w:rsidRDefault="00C916EF">
            <w:pPr>
              <w:pStyle w:val="Tabletext"/>
            </w:pPr>
            <w:r w:rsidRPr="00176857">
              <w:t>Changes to the item descriptor for item 11506 (office-based reversibility testing) to better target its use to diagnose asthma and chronic obstructive pulmonary disease (COPD). It is recommended that the item be available once a year and that the fee and rebate be doubled to $40 to encourage use in primary care</w:t>
            </w:r>
          </w:p>
        </w:tc>
        <w:tc>
          <w:tcPr>
            <w:tcW w:w="992" w:type="dxa"/>
            <w:shd w:val="clear" w:color="auto" w:fill="auto"/>
            <w:noWrap/>
          </w:tcPr>
          <w:p w14:paraId="5DB7ECAA" w14:textId="77777777" w:rsidR="00853AAA" w:rsidRPr="00A771C1" w:rsidRDefault="00C916EF">
            <w:pPr>
              <w:pStyle w:val="Tabletext"/>
              <w:rPr>
                <w:szCs w:val="20"/>
              </w:rPr>
            </w:pPr>
            <w:r w:rsidRPr="00A771C1">
              <w:rPr>
                <w:szCs w:val="20"/>
              </w:rPr>
              <w:t>G.6.1(a)</w:t>
            </w:r>
          </w:p>
          <w:p w14:paraId="73FF0B49" w14:textId="77777777" w:rsidR="00377D45" w:rsidRPr="00A771C1" w:rsidRDefault="00377D45" w:rsidP="0056070F">
            <w:pPr>
              <w:rPr>
                <w:szCs w:val="20"/>
              </w:rPr>
            </w:pPr>
            <w:r w:rsidRPr="0056070F">
              <w:rPr>
                <w:sz w:val="20"/>
                <w:szCs w:val="20"/>
              </w:rPr>
              <w:t>4.1</w:t>
            </w:r>
          </w:p>
        </w:tc>
        <w:tc>
          <w:tcPr>
            <w:tcW w:w="1134" w:type="dxa"/>
          </w:tcPr>
          <w:p w14:paraId="1A60E9A8" w14:textId="77777777" w:rsidR="00853AAA" w:rsidRPr="0056070F" w:rsidRDefault="00C916EF">
            <w:pPr>
              <w:pStyle w:val="Tabletext"/>
              <w:rPr>
                <w:rFonts w:cs="Tahoma"/>
                <w:szCs w:val="20"/>
              </w:rPr>
            </w:pPr>
            <w:r w:rsidRPr="0056070F">
              <w:rPr>
                <w:rFonts w:cs="Tahoma"/>
                <w:szCs w:val="20"/>
              </w:rPr>
              <w:t>21</w:t>
            </w:r>
            <w:r w:rsidR="00377D45" w:rsidRPr="0056070F">
              <w:rPr>
                <w:rFonts w:cs="Tahoma"/>
                <w:szCs w:val="20"/>
              </w:rPr>
              <w:t>9</w:t>
            </w:r>
          </w:p>
          <w:p w14:paraId="12F08882" w14:textId="77777777" w:rsidR="00377D45" w:rsidRDefault="00377D45" w:rsidP="0056070F">
            <w:pPr>
              <w:rPr>
                <w:sz w:val="20"/>
                <w:szCs w:val="20"/>
              </w:rPr>
            </w:pPr>
            <w:r w:rsidRPr="0056070F">
              <w:rPr>
                <w:sz w:val="20"/>
                <w:szCs w:val="20"/>
              </w:rPr>
              <w:t>17</w:t>
            </w:r>
            <w:r w:rsidR="00482572">
              <w:rPr>
                <w:sz w:val="20"/>
                <w:szCs w:val="20"/>
              </w:rPr>
              <w:t xml:space="preserve"> to</w:t>
            </w:r>
            <w:r w:rsidRPr="0056070F">
              <w:rPr>
                <w:sz w:val="20"/>
                <w:szCs w:val="20"/>
              </w:rPr>
              <w:t xml:space="preserve"> 18</w:t>
            </w:r>
          </w:p>
          <w:p w14:paraId="30B198BA" w14:textId="77777777" w:rsidR="00B25F9F" w:rsidRPr="00A771C1" w:rsidRDefault="00B25F9F" w:rsidP="0056070F">
            <w:pPr>
              <w:rPr>
                <w:szCs w:val="20"/>
              </w:rPr>
            </w:pPr>
            <w:r>
              <w:rPr>
                <w:sz w:val="20"/>
                <w:szCs w:val="20"/>
              </w:rPr>
              <w:t>and 21</w:t>
            </w:r>
          </w:p>
        </w:tc>
      </w:tr>
      <w:tr w:rsidR="00853AAA" w:rsidRPr="00364CDE" w14:paraId="433D3B46" w14:textId="77777777" w:rsidTr="0056070F">
        <w:trPr>
          <w:trHeight w:val="300"/>
        </w:trPr>
        <w:tc>
          <w:tcPr>
            <w:tcW w:w="1716" w:type="dxa"/>
            <w:shd w:val="clear" w:color="auto" w:fill="auto"/>
            <w:noWrap/>
          </w:tcPr>
          <w:p w14:paraId="433FEF40" w14:textId="77777777" w:rsidR="00853AAA" w:rsidRPr="00364CDE" w:rsidRDefault="00C916EF">
            <w:pPr>
              <w:pStyle w:val="Tabletext"/>
            </w:pPr>
            <w:r>
              <w:t>1.2</w:t>
            </w:r>
          </w:p>
        </w:tc>
        <w:tc>
          <w:tcPr>
            <w:tcW w:w="4962" w:type="dxa"/>
            <w:shd w:val="clear" w:color="auto" w:fill="auto"/>
            <w:noWrap/>
          </w:tcPr>
          <w:p w14:paraId="06CA4298" w14:textId="77777777" w:rsidR="00853AAA" w:rsidRPr="00364CDE" w:rsidRDefault="00C916EF">
            <w:pPr>
              <w:pStyle w:val="Tabletext"/>
            </w:pPr>
            <w:r w:rsidRPr="00C916EF">
              <w:t>Introduction of a new item for pre or post bronchodilator spirometry to be used to confirm diagnosis of COPD, assess acute asthma episodes and monitor patients with asthma, COPD and other cause of airflow limitation. The recommended fee of $20 is the same as current item 11506.</w:t>
            </w:r>
          </w:p>
        </w:tc>
        <w:tc>
          <w:tcPr>
            <w:tcW w:w="992" w:type="dxa"/>
            <w:shd w:val="clear" w:color="auto" w:fill="auto"/>
            <w:noWrap/>
          </w:tcPr>
          <w:p w14:paraId="18697A9E" w14:textId="77777777" w:rsidR="00377D45" w:rsidRPr="0056070F" w:rsidRDefault="00377D45" w:rsidP="00377D45">
            <w:pPr>
              <w:pStyle w:val="Tabletext"/>
              <w:rPr>
                <w:szCs w:val="20"/>
              </w:rPr>
            </w:pPr>
            <w:r w:rsidRPr="0056070F">
              <w:rPr>
                <w:szCs w:val="20"/>
              </w:rPr>
              <w:t>G.6.1(a)</w:t>
            </w:r>
          </w:p>
          <w:p w14:paraId="2191B81F" w14:textId="77777777" w:rsidR="00853AAA" w:rsidRPr="0056070F" w:rsidRDefault="00377D45">
            <w:pPr>
              <w:pStyle w:val="Tabletext"/>
              <w:rPr>
                <w:szCs w:val="20"/>
              </w:rPr>
            </w:pPr>
            <w:r w:rsidRPr="0056070F">
              <w:rPr>
                <w:szCs w:val="20"/>
              </w:rPr>
              <w:t>4.1</w:t>
            </w:r>
          </w:p>
        </w:tc>
        <w:tc>
          <w:tcPr>
            <w:tcW w:w="1134" w:type="dxa"/>
          </w:tcPr>
          <w:p w14:paraId="6E5143FE" w14:textId="77777777" w:rsidR="00482572" w:rsidRDefault="00377D45">
            <w:pPr>
              <w:pStyle w:val="Tabletext"/>
              <w:rPr>
                <w:rFonts w:cs="Tahoma"/>
                <w:szCs w:val="20"/>
              </w:rPr>
            </w:pPr>
            <w:r w:rsidRPr="0056070F">
              <w:rPr>
                <w:rFonts w:cs="Tahoma"/>
                <w:szCs w:val="20"/>
              </w:rPr>
              <w:t>219</w:t>
            </w:r>
          </w:p>
          <w:p w14:paraId="3EAA5318" w14:textId="77777777" w:rsidR="00377D45" w:rsidRDefault="00377D45">
            <w:pPr>
              <w:pStyle w:val="Tabletext"/>
              <w:rPr>
                <w:szCs w:val="20"/>
              </w:rPr>
            </w:pPr>
            <w:r w:rsidRPr="00A771C1">
              <w:rPr>
                <w:szCs w:val="20"/>
              </w:rPr>
              <w:t>17</w:t>
            </w:r>
            <w:r w:rsidR="00482572">
              <w:rPr>
                <w:szCs w:val="20"/>
              </w:rPr>
              <w:t xml:space="preserve"> to</w:t>
            </w:r>
            <w:r w:rsidRPr="00A771C1">
              <w:rPr>
                <w:szCs w:val="20"/>
              </w:rPr>
              <w:t xml:space="preserve"> 18</w:t>
            </w:r>
          </w:p>
          <w:p w14:paraId="2742A83F" w14:textId="77777777" w:rsidR="0054368B" w:rsidRPr="0054368B" w:rsidRDefault="0054368B" w:rsidP="00880024">
            <w:r>
              <w:t>and 2</w:t>
            </w:r>
            <w:r w:rsidR="00880024">
              <w:t>2</w:t>
            </w:r>
          </w:p>
        </w:tc>
      </w:tr>
      <w:tr w:rsidR="00853AAA" w:rsidRPr="00364CDE" w14:paraId="1549356F" w14:textId="77777777" w:rsidTr="0056070F">
        <w:trPr>
          <w:trHeight w:val="300"/>
        </w:trPr>
        <w:tc>
          <w:tcPr>
            <w:tcW w:w="1716" w:type="dxa"/>
            <w:shd w:val="clear" w:color="auto" w:fill="auto"/>
            <w:noWrap/>
          </w:tcPr>
          <w:p w14:paraId="1F17C3B9" w14:textId="77777777" w:rsidR="00853AAA" w:rsidRPr="00364CDE" w:rsidRDefault="00C916EF">
            <w:pPr>
              <w:pStyle w:val="Tabletext"/>
            </w:pPr>
            <w:r>
              <w:t>1.3</w:t>
            </w:r>
          </w:p>
        </w:tc>
        <w:tc>
          <w:tcPr>
            <w:tcW w:w="4962" w:type="dxa"/>
            <w:shd w:val="clear" w:color="auto" w:fill="auto"/>
            <w:noWrap/>
          </w:tcPr>
          <w:p w14:paraId="6DBC5B22" w14:textId="77777777" w:rsidR="00853AAA" w:rsidRPr="00364CDE" w:rsidRDefault="00C916EF">
            <w:pPr>
              <w:pStyle w:val="Tabletext"/>
            </w:pPr>
            <w:r w:rsidRPr="00C916EF">
              <w:t>Subsume item 11509 (laboratory based spirometry) into current item 11512 (more complex laboratory based spirometry).</w:t>
            </w:r>
          </w:p>
        </w:tc>
        <w:tc>
          <w:tcPr>
            <w:tcW w:w="992" w:type="dxa"/>
            <w:shd w:val="clear" w:color="auto" w:fill="auto"/>
            <w:noWrap/>
          </w:tcPr>
          <w:p w14:paraId="6E0119C4" w14:textId="77777777" w:rsidR="00853AAA" w:rsidRPr="00364CDE" w:rsidRDefault="00377D45">
            <w:pPr>
              <w:pStyle w:val="Tabletext"/>
            </w:pPr>
            <w:r>
              <w:t>8.2</w:t>
            </w:r>
          </w:p>
        </w:tc>
        <w:tc>
          <w:tcPr>
            <w:tcW w:w="1134" w:type="dxa"/>
          </w:tcPr>
          <w:p w14:paraId="3B465C21" w14:textId="77777777" w:rsidR="00853AAA" w:rsidRPr="00364CDE" w:rsidRDefault="00377D45" w:rsidP="00667168">
            <w:pPr>
              <w:pStyle w:val="Tabletext"/>
              <w:rPr>
                <w:rFonts w:cs="Tahoma"/>
              </w:rPr>
            </w:pPr>
            <w:r>
              <w:rPr>
                <w:rFonts w:cs="Tahoma"/>
              </w:rPr>
              <w:t>5</w:t>
            </w:r>
            <w:r w:rsidR="00667168">
              <w:rPr>
                <w:rFonts w:cs="Tahoma"/>
              </w:rPr>
              <w:t>9</w:t>
            </w:r>
          </w:p>
        </w:tc>
      </w:tr>
      <w:tr w:rsidR="00853AAA" w:rsidRPr="00364CDE" w14:paraId="1B7CFA26" w14:textId="77777777" w:rsidTr="0056070F">
        <w:trPr>
          <w:trHeight w:val="300"/>
        </w:trPr>
        <w:tc>
          <w:tcPr>
            <w:tcW w:w="1716" w:type="dxa"/>
            <w:shd w:val="clear" w:color="auto" w:fill="auto"/>
            <w:noWrap/>
          </w:tcPr>
          <w:p w14:paraId="349395D4" w14:textId="77777777" w:rsidR="00853AAA" w:rsidRDefault="00C916EF">
            <w:pPr>
              <w:pStyle w:val="Tabletext"/>
            </w:pPr>
            <w:r>
              <w:t>1.4</w:t>
            </w:r>
          </w:p>
        </w:tc>
        <w:tc>
          <w:tcPr>
            <w:tcW w:w="4962" w:type="dxa"/>
            <w:shd w:val="clear" w:color="auto" w:fill="auto"/>
            <w:noWrap/>
          </w:tcPr>
          <w:p w14:paraId="1CE7A9D4" w14:textId="77777777" w:rsidR="00853AAA" w:rsidRDefault="00C916EF">
            <w:pPr>
              <w:pStyle w:val="Tabletext"/>
            </w:pPr>
            <w:r w:rsidRPr="00C916EF">
              <w:t>Introduce enhanced quality requirements for all spirometry items.</w:t>
            </w:r>
          </w:p>
        </w:tc>
        <w:tc>
          <w:tcPr>
            <w:tcW w:w="992" w:type="dxa"/>
            <w:shd w:val="clear" w:color="auto" w:fill="auto"/>
            <w:noWrap/>
          </w:tcPr>
          <w:p w14:paraId="7E6AEC40" w14:textId="77777777" w:rsidR="00377D45" w:rsidRDefault="00377D45">
            <w:pPr>
              <w:pStyle w:val="Tabletext"/>
              <w:rPr>
                <w:rFonts w:cs="Tahoma"/>
              </w:rPr>
            </w:pPr>
            <w:r>
              <w:t>G.6.1(a)</w:t>
            </w:r>
          </w:p>
          <w:p w14:paraId="66F642F7" w14:textId="77777777" w:rsidR="00853AAA" w:rsidRDefault="00377D45">
            <w:pPr>
              <w:pStyle w:val="Tabletext"/>
              <w:rPr>
                <w:rFonts w:cs="Tahoma"/>
              </w:rPr>
            </w:pPr>
            <w:r>
              <w:rPr>
                <w:rFonts w:cs="Tahoma"/>
              </w:rPr>
              <w:t>4.1</w:t>
            </w:r>
          </w:p>
        </w:tc>
        <w:tc>
          <w:tcPr>
            <w:tcW w:w="1134" w:type="dxa"/>
          </w:tcPr>
          <w:p w14:paraId="1073F758" w14:textId="77777777" w:rsidR="00377D45" w:rsidRDefault="00377D45">
            <w:pPr>
              <w:pStyle w:val="Tabletext"/>
              <w:rPr>
                <w:rFonts w:cs="Tahoma"/>
              </w:rPr>
            </w:pPr>
            <w:r>
              <w:rPr>
                <w:rFonts w:cs="Tahoma"/>
              </w:rPr>
              <w:t>219</w:t>
            </w:r>
          </w:p>
          <w:p w14:paraId="4BE496E0" w14:textId="77777777" w:rsidR="00853AAA" w:rsidRDefault="00377D45">
            <w:pPr>
              <w:pStyle w:val="Tabletext"/>
              <w:rPr>
                <w:rFonts w:cs="Tahoma"/>
              </w:rPr>
            </w:pPr>
            <w:r>
              <w:rPr>
                <w:rFonts w:cs="Tahoma"/>
              </w:rPr>
              <w:t>22</w:t>
            </w:r>
          </w:p>
        </w:tc>
      </w:tr>
      <w:tr w:rsidR="00853AAA" w:rsidRPr="00364CDE" w14:paraId="07099E94" w14:textId="77777777" w:rsidTr="0056070F">
        <w:trPr>
          <w:trHeight w:val="300"/>
        </w:trPr>
        <w:tc>
          <w:tcPr>
            <w:tcW w:w="1716" w:type="dxa"/>
            <w:shd w:val="clear" w:color="auto" w:fill="auto"/>
            <w:noWrap/>
          </w:tcPr>
          <w:p w14:paraId="2495576D" w14:textId="77777777" w:rsidR="00853AAA" w:rsidRDefault="00C916EF">
            <w:pPr>
              <w:pStyle w:val="Tabletext"/>
            </w:pPr>
            <w:r>
              <w:lastRenderedPageBreak/>
              <w:t>2.1</w:t>
            </w:r>
          </w:p>
        </w:tc>
        <w:tc>
          <w:tcPr>
            <w:tcW w:w="4962" w:type="dxa"/>
            <w:shd w:val="clear" w:color="auto" w:fill="auto"/>
            <w:noWrap/>
          </w:tcPr>
          <w:p w14:paraId="1047BF5A" w14:textId="77777777" w:rsidR="00853AAA" w:rsidRDefault="00C916EF" w:rsidP="00CD263A">
            <w:pPr>
              <w:pStyle w:val="Tabletext"/>
            </w:pPr>
            <w:r w:rsidRPr="00C916EF">
              <w:t xml:space="preserve">The Committee has revised the list of respiratory function tests that are able to be claimed under item 11503. It suggests that the list represents those tests that are necessary in contemporary practice. It does not include some niche tests used in research settings. The Committee recommends that the list be included in the item descriptor to remove any </w:t>
            </w:r>
            <w:r w:rsidR="00CD263A">
              <w:t>uncertainty</w:t>
            </w:r>
            <w:r w:rsidR="00CD263A" w:rsidRPr="00C916EF">
              <w:t xml:space="preserve"> </w:t>
            </w:r>
            <w:r w:rsidRPr="00C916EF">
              <w:t>about what tests are claimable.</w:t>
            </w:r>
          </w:p>
        </w:tc>
        <w:tc>
          <w:tcPr>
            <w:tcW w:w="992" w:type="dxa"/>
            <w:shd w:val="clear" w:color="auto" w:fill="auto"/>
            <w:noWrap/>
          </w:tcPr>
          <w:p w14:paraId="2B848F80" w14:textId="77777777" w:rsidR="0082628D" w:rsidRDefault="0082628D">
            <w:pPr>
              <w:pStyle w:val="Tabletext"/>
              <w:rPr>
                <w:rFonts w:cs="Tahoma"/>
                <w:szCs w:val="20"/>
              </w:rPr>
            </w:pPr>
            <w:r>
              <w:rPr>
                <w:rFonts w:cs="Tahoma"/>
                <w:szCs w:val="20"/>
              </w:rPr>
              <w:t>G6.1</w:t>
            </w:r>
            <w:r w:rsidR="00087655">
              <w:rPr>
                <w:rFonts w:cs="Tahoma"/>
                <w:szCs w:val="20"/>
              </w:rPr>
              <w:t>&amp;(a)</w:t>
            </w:r>
          </w:p>
          <w:p w14:paraId="1781F6FF" w14:textId="77777777" w:rsidR="0082628D" w:rsidRDefault="0082628D">
            <w:pPr>
              <w:pStyle w:val="Tabletext"/>
              <w:rPr>
                <w:rFonts w:cs="Tahoma"/>
                <w:szCs w:val="20"/>
              </w:rPr>
            </w:pPr>
          </w:p>
          <w:p w14:paraId="6FED51C7" w14:textId="77777777" w:rsidR="00853AAA" w:rsidRPr="00A771C1" w:rsidRDefault="00FB32E5">
            <w:pPr>
              <w:pStyle w:val="Tabletext"/>
              <w:rPr>
                <w:rFonts w:cs="Tahoma"/>
                <w:szCs w:val="20"/>
              </w:rPr>
            </w:pPr>
            <w:r w:rsidRPr="00A771C1">
              <w:rPr>
                <w:rFonts w:cs="Tahoma"/>
                <w:szCs w:val="20"/>
              </w:rPr>
              <w:t>5.1</w:t>
            </w:r>
          </w:p>
          <w:p w14:paraId="7E672185" w14:textId="77777777" w:rsidR="00FB32E5" w:rsidRPr="00A771C1" w:rsidRDefault="00FB32E5" w:rsidP="0056070F">
            <w:pPr>
              <w:rPr>
                <w:szCs w:val="20"/>
              </w:rPr>
            </w:pPr>
            <w:r w:rsidRPr="0056070F">
              <w:rPr>
                <w:sz w:val="20"/>
                <w:szCs w:val="20"/>
              </w:rPr>
              <w:t>5.2</w:t>
            </w:r>
          </w:p>
        </w:tc>
        <w:tc>
          <w:tcPr>
            <w:tcW w:w="1134" w:type="dxa"/>
          </w:tcPr>
          <w:p w14:paraId="557DF09D" w14:textId="77777777" w:rsidR="0082628D" w:rsidRDefault="0082628D">
            <w:pPr>
              <w:pStyle w:val="Tabletext"/>
              <w:rPr>
                <w:rFonts w:cs="Tahoma"/>
                <w:szCs w:val="20"/>
              </w:rPr>
            </w:pPr>
            <w:r>
              <w:rPr>
                <w:rFonts w:cs="Tahoma"/>
                <w:szCs w:val="20"/>
              </w:rPr>
              <w:t>218 to 2</w:t>
            </w:r>
            <w:r w:rsidR="00087655">
              <w:rPr>
                <w:rFonts w:cs="Tahoma"/>
                <w:szCs w:val="20"/>
              </w:rPr>
              <w:t>21</w:t>
            </w:r>
          </w:p>
          <w:p w14:paraId="5B849645" w14:textId="77777777" w:rsidR="0082628D" w:rsidRDefault="0082628D">
            <w:pPr>
              <w:pStyle w:val="Tabletext"/>
              <w:rPr>
                <w:rFonts w:cs="Tahoma"/>
                <w:szCs w:val="20"/>
              </w:rPr>
            </w:pPr>
          </w:p>
          <w:p w14:paraId="0885A9BD" w14:textId="77777777" w:rsidR="00853AAA" w:rsidRPr="0056070F" w:rsidRDefault="00FB32E5">
            <w:pPr>
              <w:pStyle w:val="Tabletext"/>
              <w:rPr>
                <w:rFonts w:cs="Tahoma"/>
                <w:szCs w:val="20"/>
              </w:rPr>
            </w:pPr>
            <w:r w:rsidRPr="0056070F">
              <w:rPr>
                <w:rFonts w:cs="Tahoma"/>
                <w:szCs w:val="20"/>
              </w:rPr>
              <w:t>26 to 27</w:t>
            </w:r>
          </w:p>
          <w:p w14:paraId="0ACD74E1" w14:textId="77777777" w:rsidR="002D5DAE" w:rsidRPr="00A771C1" w:rsidRDefault="002D5DAE" w:rsidP="0056070F">
            <w:pPr>
              <w:rPr>
                <w:szCs w:val="20"/>
              </w:rPr>
            </w:pPr>
            <w:r w:rsidRPr="0056070F">
              <w:rPr>
                <w:sz w:val="20"/>
                <w:szCs w:val="20"/>
              </w:rPr>
              <w:t>32 to 33</w:t>
            </w:r>
          </w:p>
        </w:tc>
      </w:tr>
      <w:tr w:rsidR="00853AAA" w:rsidRPr="00364CDE" w14:paraId="616742A4" w14:textId="77777777" w:rsidTr="0056070F">
        <w:trPr>
          <w:trHeight w:val="300"/>
        </w:trPr>
        <w:tc>
          <w:tcPr>
            <w:tcW w:w="1716" w:type="dxa"/>
            <w:shd w:val="clear" w:color="auto" w:fill="auto"/>
            <w:noWrap/>
          </w:tcPr>
          <w:p w14:paraId="17154825" w14:textId="77777777" w:rsidR="00853AAA" w:rsidRDefault="00C916EF">
            <w:pPr>
              <w:pStyle w:val="Tabletext"/>
            </w:pPr>
            <w:r>
              <w:t>2.2</w:t>
            </w:r>
          </w:p>
        </w:tc>
        <w:tc>
          <w:tcPr>
            <w:tcW w:w="4962" w:type="dxa"/>
            <w:shd w:val="clear" w:color="auto" w:fill="auto"/>
            <w:noWrap/>
          </w:tcPr>
          <w:p w14:paraId="267D65A5" w14:textId="77777777" w:rsidR="00C916EF" w:rsidRPr="00C916EF" w:rsidRDefault="00C916EF">
            <w:pPr>
              <w:pStyle w:val="Tabletext"/>
            </w:pPr>
            <w:r w:rsidRPr="00C916EF">
              <w:t xml:space="preserve">Fractional exhaled nitric oxide (FeNO) testing cannot be claimed under MBS item 11503. </w:t>
            </w:r>
          </w:p>
          <w:p w14:paraId="33B1393E" w14:textId="77777777" w:rsidR="00853AAA" w:rsidRDefault="00C916EF">
            <w:pPr>
              <w:pStyle w:val="Tabletext"/>
            </w:pPr>
            <w:r w:rsidRPr="00C916EF">
              <w:t>When laboratory based spirometry (item 11512) is performed on the same day as a test approved under item 11503, then 11503 should be claimed. When spirometry is the only laboratory test performed then 11512 should be claimed.</w:t>
            </w:r>
          </w:p>
        </w:tc>
        <w:tc>
          <w:tcPr>
            <w:tcW w:w="992" w:type="dxa"/>
            <w:shd w:val="clear" w:color="auto" w:fill="auto"/>
            <w:noWrap/>
          </w:tcPr>
          <w:p w14:paraId="30EDD23F" w14:textId="77777777" w:rsidR="00853AAA" w:rsidRPr="0056070F" w:rsidRDefault="002D5DAE">
            <w:pPr>
              <w:pStyle w:val="Tabletext"/>
              <w:rPr>
                <w:rFonts w:cs="Tahoma"/>
                <w:szCs w:val="20"/>
              </w:rPr>
            </w:pPr>
            <w:r w:rsidRPr="0056070F">
              <w:rPr>
                <w:rFonts w:cs="Tahoma"/>
                <w:szCs w:val="20"/>
              </w:rPr>
              <w:t>G.6.1(a)</w:t>
            </w:r>
          </w:p>
          <w:p w14:paraId="2EA782BF" w14:textId="77777777" w:rsidR="002D5DAE" w:rsidRPr="00A771C1" w:rsidRDefault="002D5DAE" w:rsidP="0056070F">
            <w:pPr>
              <w:rPr>
                <w:szCs w:val="20"/>
              </w:rPr>
            </w:pPr>
            <w:r w:rsidRPr="0056070F">
              <w:rPr>
                <w:sz w:val="20"/>
                <w:szCs w:val="20"/>
              </w:rPr>
              <w:t>5.1</w:t>
            </w:r>
          </w:p>
        </w:tc>
        <w:tc>
          <w:tcPr>
            <w:tcW w:w="1134" w:type="dxa"/>
          </w:tcPr>
          <w:p w14:paraId="6B4F9447" w14:textId="77777777" w:rsidR="00853AAA" w:rsidRPr="0056070F" w:rsidRDefault="002D5DAE">
            <w:pPr>
              <w:pStyle w:val="Tabletext"/>
              <w:rPr>
                <w:rFonts w:cs="Tahoma"/>
                <w:szCs w:val="20"/>
              </w:rPr>
            </w:pPr>
            <w:r w:rsidRPr="0056070F">
              <w:rPr>
                <w:rFonts w:cs="Tahoma"/>
                <w:szCs w:val="20"/>
              </w:rPr>
              <w:t>219 to 220</w:t>
            </w:r>
          </w:p>
          <w:p w14:paraId="66F85F27" w14:textId="77777777" w:rsidR="002D5DAE" w:rsidRPr="00A771C1" w:rsidRDefault="002D5DAE" w:rsidP="00CF6073">
            <w:pPr>
              <w:rPr>
                <w:szCs w:val="20"/>
              </w:rPr>
            </w:pPr>
            <w:r w:rsidRPr="0056070F">
              <w:rPr>
                <w:sz w:val="20"/>
                <w:szCs w:val="20"/>
              </w:rPr>
              <w:t>2</w:t>
            </w:r>
            <w:r w:rsidR="00CF6073">
              <w:rPr>
                <w:sz w:val="20"/>
                <w:szCs w:val="20"/>
              </w:rPr>
              <w:t>7</w:t>
            </w:r>
            <w:r w:rsidRPr="0056070F">
              <w:rPr>
                <w:sz w:val="20"/>
                <w:szCs w:val="20"/>
              </w:rPr>
              <w:t>, 30</w:t>
            </w:r>
          </w:p>
        </w:tc>
      </w:tr>
      <w:tr w:rsidR="002D5DAE" w:rsidRPr="00364CDE" w14:paraId="55C71EDF" w14:textId="77777777" w:rsidTr="0056070F">
        <w:trPr>
          <w:trHeight w:val="300"/>
        </w:trPr>
        <w:tc>
          <w:tcPr>
            <w:tcW w:w="1716" w:type="dxa"/>
            <w:shd w:val="clear" w:color="auto" w:fill="auto"/>
            <w:noWrap/>
          </w:tcPr>
          <w:p w14:paraId="517487DC" w14:textId="77777777" w:rsidR="002D5DAE" w:rsidRDefault="002D5DAE">
            <w:pPr>
              <w:pStyle w:val="Tabletext"/>
            </w:pPr>
            <w:r>
              <w:t>2.3</w:t>
            </w:r>
          </w:p>
        </w:tc>
        <w:tc>
          <w:tcPr>
            <w:tcW w:w="4962" w:type="dxa"/>
            <w:shd w:val="clear" w:color="auto" w:fill="auto"/>
            <w:noWrap/>
          </w:tcPr>
          <w:p w14:paraId="7E8CED8B" w14:textId="77777777" w:rsidR="002D5DAE" w:rsidRPr="00667978" w:rsidRDefault="002D5DAE">
            <w:pPr>
              <w:pStyle w:val="Tabletext"/>
            </w:pPr>
            <w:r w:rsidRPr="00667978">
              <w:t xml:space="preserve">A new item for </w:t>
            </w:r>
            <w:r>
              <w:t>l</w:t>
            </w:r>
            <w:r w:rsidRPr="00667978">
              <w:t>aboratory based spirometry with FeNO with a MBS fee set between the current fee for 11512 and 11503.</w:t>
            </w:r>
            <w:r w:rsidR="00806C34">
              <w:t xml:space="preserve"> FeNO, as a single stand-alone test, in the absence of spirometry, does not attract an MBS benefit.</w:t>
            </w:r>
          </w:p>
        </w:tc>
        <w:tc>
          <w:tcPr>
            <w:tcW w:w="992" w:type="dxa"/>
            <w:shd w:val="clear" w:color="auto" w:fill="auto"/>
            <w:noWrap/>
          </w:tcPr>
          <w:p w14:paraId="7F81D98A" w14:textId="77777777" w:rsidR="002D5DAE" w:rsidRDefault="002D5DAE" w:rsidP="0082628D">
            <w:pPr>
              <w:pStyle w:val="Tabletext"/>
              <w:rPr>
                <w:rFonts w:cs="Tahoma"/>
              </w:rPr>
            </w:pPr>
            <w:r>
              <w:rPr>
                <w:rFonts w:cs="Tahoma"/>
              </w:rPr>
              <w:t>G.6.1(a)</w:t>
            </w:r>
          </w:p>
          <w:p w14:paraId="338380A4" w14:textId="77777777" w:rsidR="002D5DAE" w:rsidRDefault="002D5DAE">
            <w:pPr>
              <w:pStyle w:val="Tabletext"/>
              <w:rPr>
                <w:rFonts w:cs="Tahoma"/>
              </w:rPr>
            </w:pPr>
            <w:r>
              <w:t>5.1</w:t>
            </w:r>
          </w:p>
        </w:tc>
        <w:tc>
          <w:tcPr>
            <w:tcW w:w="1134" w:type="dxa"/>
          </w:tcPr>
          <w:p w14:paraId="56EAD0A5" w14:textId="77777777" w:rsidR="002D5DAE" w:rsidRDefault="002D5DAE" w:rsidP="0082628D">
            <w:pPr>
              <w:pStyle w:val="Tabletext"/>
              <w:rPr>
                <w:rFonts w:cs="Tahoma"/>
              </w:rPr>
            </w:pPr>
            <w:r>
              <w:rPr>
                <w:rFonts w:cs="Tahoma"/>
              </w:rPr>
              <w:t>219 to 220</w:t>
            </w:r>
          </w:p>
          <w:p w14:paraId="09532535" w14:textId="77777777" w:rsidR="002D5DAE" w:rsidRDefault="002D5DAE">
            <w:pPr>
              <w:pStyle w:val="Tabletext"/>
              <w:rPr>
                <w:rFonts w:cs="Tahoma"/>
              </w:rPr>
            </w:pPr>
            <w:r>
              <w:t>28 to 29</w:t>
            </w:r>
          </w:p>
        </w:tc>
      </w:tr>
      <w:tr w:rsidR="002D5DAE" w:rsidRPr="00364CDE" w14:paraId="3B7649B6" w14:textId="77777777" w:rsidTr="0056070F">
        <w:trPr>
          <w:trHeight w:val="300"/>
        </w:trPr>
        <w:tc>
          <w:tcPr>
            <w:tcW w:w="1716" w:type="dxa"/>
            <w:shd w:val="clear" w:color="auto" w:fill="auto"/>
            <w:noWrap/>
          </w:tcPr>
          <w:p w14:paraId="52F828D4" w14:textId="77777777" w:rsidR="002D5DAE" w:rsidRDefault="002D5DAE">
            <w:pPr>
              <w:pStyle w:val="Tabletext"/>
            </w:pPr>
            <w:r>
              <w:t>2.4</w:t>
            </w:r>
          </w:p>
        </w:tc>
        <w:tc>
          <w:tcPr>
            <w:tcW w:w="4962" w:type="dxa"/>
            <w:shd w:val="clear" w:color="auto" w:fill="auto"/>
            <w:noWrap/>
          </w:tcPr>
          <w:p w14:paraId="1543225D" w14:textId="77777777" w:rsidR="002D5DAE" w:rsidRDefault="002D5DAE">
            <w:pPr>
              <w:pStyle w:val="Tabletext"/>
            </w:pPr>
            <w:r w:rsidRPr="00667978">
              <w:t>A new item for cardio pulmonary exercise testing (CPET) in defined clinical circumstances with a fee of approximately $300.</w:t>
            </w:r>
          </w:p>
        </w:tc>
        <w:tc>
          <w:tcPr>
            <w:tcW w:w="992" w:type="dxa"/>
            <w:shd w:val="clear" w:color="auto" w:fill="auto"/>
            <w:noWrap/>
          </w:tcPr>
          <w:p w14:paraId="4B89F8FD" w14:textId="77777777" w:rsidR="002D5DAE" w:rsidRDefault="00482572">
            <w:pPr>
              <w:pStyle w:val="Tabletext"/>
              <w:rPr>
                <w:rFonts w:cs="Tahoma"/>
              </w:rPr>
            </w:pPr>
            <w:r>
              <w:rPr>
                <w:rFonts w:cs="Tahoma"/>
              </w:rPr>
              <w:t>5.3</w:t>
            </w:r>
          </w:p>
        </w:tc>
        <w:tc>
          <w:tcPr>
            <w:tcW w:w="1134" w:type="dxa"/>
          </w:tcPr>
          <w:p w14:paraId="0721EC63" w14:textId="77777777" w:rsidR="002D5DAE" w:rsidRDefault="00482572">
            <w:pPr>
              <w:pStyle w:val="Tabletext"/>
              <w:rPr>
                <w:rFonts w:cs="Tahoma"/>
              </w:rPr>
            </w:pPr>
            <w:r>
              <w:rPr>
                <w:rFonts w:cs="Tahoma"/>
              </w:rPr>
              <w:t>33</w:t>
            </w:r>
            <w:r w:rsidR="00751F37">
              <w:rPr>
                <w:rFonts w:cs="Tahoma"/>
              </w:rPr>
              <w:t xml:space="preserve"> to 34</w:t>
            </w:r>
          </w:p>
        </w:tc>
      </w:tr>
      <w:tr w:rsidR="00482572" w:rsidRPr="00364CDE" w14:paraId="24BA689B" w14:textId="77777777" w:rsidTr="0056070F">
        <w:trPr>
          <w:trHeight w:val="300"/>
        </w:trPr>
        <w:tc>
          <w:tcPr>
            <w:tcW w:w="1716" w:type="dxa"/>
            <w:shd w:val="clear" w:color="auto" w:fill="auto"/>
            <w:noWrap/>
          </w:tcPr>
          <w:p w14:paraId="43F6AA5A" w14:textId="77777777" w:rsidR="00482572" w:rsidRDefault="00482572">
            <w:pPr>
              <w:pStyle w:val="Tabletext"/>
            </w:pPr>
            <w:r>
              <w:t>3.1 &amp; 3.2</w:t>
            </w:r>
          </w:p>
        </w:tc>
        <w:tc>
          <w:tcPr>
            <w:tcW w:w="4962" w:type="dxa"/>
            <w:shd w:val="clear" w:color="auto" w:fill="auto"/>
            <w:noWrap/>
          </w:tcPr>
          <w:p w14:paraId="68F2135D" w14:textId="77777777" w:rsidR="00482572" w:rsidRPr="00667978" w:rsidRDefault="00482572">
            <w:pPr>
              <w:pStyle w:val="Tabletext"/>
            </w:pPr>
            <w:r w:rsidRPr="00667978">
              <w:t>GP referral without need for pre-test specialist attendance for patients who have a high pre-test probability for moderate to severe obstructive sleep apnoea (OSA) using validated assessment tools.</w:t>
            </w:r>
          </w:p>
          <w:p w14:paraId="29DDBA5E" w14:textId="77777777" w:rsidR="00482572" w:rsidRDefault="00482572">
            <w:pPr>
              <w:pStyle w:val="Tabletext"/>
            </w:pPr>
            <w:r w:rsidRPr="00667978">
              <w:t>Referral to testing for a wider range of sleep disorders than currently permitted when the patient has been assessed by a respiratory or sleep specialist.</w:t>
            </w:r>
          </w:p>
        </w:tc>
        <w:tc>
          <w:tcPr>
            <w:tcW w:w="992" w:type="dxa"/>
            <w:shd w:val="clear" w:color="auto" w:fill="auto"/>
            <w:noWrap/>
          </w:tcPr>
          <w:p w14:paraId="3A436AFC" w14:textId="77777777" w:rsidR="00482572" w:rsidRPr="00A771C1" w:rsidRDefault="00482572" w:rsidP="0082628D">
            <w:pPr>
              <w:pStyle w:val="Tabletext"/>
              <w:rPr>
                <w:rFonts w:cs="Tahoma"/>
                <w:szCs w:val="20"/>
              </w:rPr>
            </w:pPr>
            <w:r w:rsidRPr="0056070F">
              <w:rPr>
                <w:rFonts w:cs="Tahoma"/>
                <w:szCs w:val="20"/>
              </w:rPr>
              <w:t>G.6.1(</w:t>
            </w:r>
            <w:r w:rsidR="00501A7B">
              <w:rPr>
                <w:rFonts w:cs="Tahoma"/>
                <w:szCs w:val="20"/>
              </w:rPr>
              <w:t>b</w:t>
            </w:r>
            <w:r w:rsidRPr="00A771C1">
              <w:rPr>
                <w:rFonts w:cs="Tahoma"/>
                <w:szCs w:val="20"/>
              </w:rPr>
              <w:t>)</w:t>
            </w:r>
          </w:p>
          <w:p w14:paraId="476C2049" w14:textId="77777777" w:rsidR="00482572" w:rsidRPr="0056070F" w:rsidRDefault="00482572">
            <w:pPr>
              <w:pStyle w:val="Tabletext"/>
              <w:rPr>
                <w:rFonts w:cs="Tahoma"/>
                <w:szCs w:val="20"/>
              </w:rPr>
            </w:pPr>
          </w:p>
          <w:p w14:paraId="1A1F6916" w14:textId="77777777" w:rsidR="00482572" w:rsidRPr="0056070F" w:rsidRDefault="00482572">
            <w:pPr>
              <w:pStyle w:val="Tabletext"/>
              <w:rPr>
                <w:rFonts w:cs="Tahoma"/>
                <w:szCs w:val="20"/>
              </w:rPr>
            </w:pPr>
          </w:p>
          <w:p w14:paraId="420F3F4B" w14:textId="77777777" w:rsidR="00482572" w:rsidRPr="00A771C1" w:rsidRDefault="00482572">
            <w:pPr>
              <w:pStyle w:val="Tabletext"/>
              <w:rPr>
                <w:rFonts w:cs="Tahoma"/>
                <w:szCs w:val="20"/>
              </w:rPr>
            </w:pPr>
            <w:r>
              <w:rPr>
                <w:rFonts w:cs="Tahoma"/>
                <w:szCs w:val="20"/>
              </w:rPr>
              <w:t>6</w:t>
            </w:r>
            <w:r w:rsidRPr="00A771C1">
              <w:rPr>
                <w:rFonts w:cs="Tahoma"/>
                <w:szCs w:val="20"/>
              </w:rPr>
              <w:t>.1</w:t>
            </w:r>
          </w:p>
        </w:tc>
        <w:tc>
          <w:tcPr>
            <w:tcW w:w="1134" w:type="dxa"/>
          </w:tcPr>
          <w:p w14:paraId="5DFBF2F7" w14:textId="77777777" w:rsidR="00482572" w:rsidRPr="0056070F" w:rsidRDefault="00482572" w:rsidP="0082628D">
            <w:pPr>
              <w:pStyle w:val="Tabletext"/>
              <w:rPr>
                <w:rFonts w:cs="Tahoma"/>
                <w:szCs w:val="20"/>
              </w:rPr>
            </w:pPr>
            <w:r w:rsidRPr="0056070F">
              <w:rPr>
                <w:rFonts w:cs="Tahoma"/>
                <w:szCs w:val="20"/>
              </w:rPr>
              <w:t>22</w:t>
            </w:r>
            <w:r w:rsidR="00087655">
              <w:rPr>
                <w:rFonts w:cs="Tahoma"/>
                <w:szCs w:val="20"/>
              </w:rPr>
              <w:t>1</w:t>
            </w:r>
            <w:r w:rsidRPr="0056070F">
              <w:rPr>
                <w:rFonts w:cs="Tahoma"/>
                <w:szCs w:val="20"/>
              </w:rPr>
              <w:t xml:space="preserve"> to 22</w:t>
            </w:r>
            <w:r w:rsidR="00087655">
              <w:rPr>
                <w:rFonts w:cs="Tahoma"/>
                <w:szCs w:val="20"/>
              </w:rPr>
              <w:t>3</w:t>
            </w:r>
          </w:p>
          <w:p w14:paraId="25A4DBF4" w14:textId="77777777" w:rsidR="00482572" w:rsidRPr="0056070F" w:rsidRDefault="00482572">
            <w:pPr>
              <w:pStyle w:val="Tabletext"/>
              <w:rPr>
                <w:rFonts w:cs="Tahoma"/>
                <w:szCs w:val="20"/>
              </w:rPr>
            </w:pPr>
            <w:r w:rsidRPr="0056070F">
              <w:rPr>
                <w:rFonts w:cs="Tahoma"/>
                <w:szCs w:val="20"/>
              </w:rPr>
              <w:t>22</w:t>
            </w:r>
            <w:r w:rsidR="00087655">
              <w:rPr>
                <w:rFonts w:cs="Tahoma"/>
                <w:szCs w:val="20"/>
              </w:rPr>
              <w:t>6</w:t>
            </w:r>
            <w:r w:rsidRPr="0056070F">
              <w:rPr>
                <w:rFonts w:cs="Tahoma"/>
                <w:szCs w:val="20"/>
              </w:rPr>
              <w:t xml:space="preserve"> to 22</w:t>
            </w:r>
            <w:r w:rsidR="00087655">
              <w:rPr>
                <w:rFonts w:cs="Tahoma"/>
                <w:szCs w:val="20"/>
              </w:rPr>
              <w:t>7</w:t>
            </w:r>
          </w:p>
          <w:p w14:paraId="4096DA89" w14:textId="77777777" w:rsidR="00482572" w:rsidRDefault="00482572">
            <w:pPr>
              <w:pStyle w:val="Tabletext"/>
              <w:rPr>
                <w:rFonts w:cs="Tahoma"/>
                <w:szCs w:val="20"/>
              </w:rPr>
            </w:pPr>
          </w:p>
          <w:p w14:paraId="764A8AC4" w14:textId="77777777" w:rsidR="00482572" w:rsidRPr="00A771C1" w:rsidRDefault="00482572">
            <w:pPr>
              <w:pStyle w:val="Tabletext"/>
              <w:rPr>
                <w:rFonts w:cs="Tahoma"/>
                <w:szCs w:val="20"/>
              </w:rPr>
            </w:pPr>
            <w:r>
              <w:rPr>
                <w:rFonts w:cs="Tahoma"/>
                <w:szCs w:val="20"/>
              </w:rPr>
              <w:t>41 to 44</w:t>
            </w:r>
          </w:p>
        </w:tc>
      </w:tr>
      <w:tr w:rsidR="00482572" w:rsidRPr="00364CDE" w14:paraId="7990C7BF" w14:textId="77777777" w:rsidTr="0056070F">
        <w:trPr>
          <w:trHeight w:val="300"/>
        </w:trPr>
        <w:tc>
          <w:tcPr>
            <w:tcW w:w="1716" w:type="dxa"/>
            <w:shd w:val="clear" w:color="auto" w:fill="auto"/>
            <w:noWrap/>
          </w:tcPr>
          <w:p w14:paraId="1E4BCF43" w14:textId="77777777" w:rsidR="00482572" w:rsidRDefault="00482572">
            <w:pPr>
              <w:pStyle w:val="Tabletext"/>
            </w:pPr>
            <w:r>
              <w:t>3.3</w:t>
            </w:r>
          </w:p>
        </w:tc>
        <w:tc>
          <w:tcPr>
            <w:tcW w:w="4962" w:type="dxa"/>
            <w:shd w:val="clear" w:color="auto" w:fill="auto"/>
            <w:noWrap/>
          </w:tcPr>
          <w:p w14:paraId="5D5B05B8" w14:textId="77777777" w:rsidR="00482572" w:rsidRPr="006D63F4" w:rsidRDefault="00482572">
            <w:pPr>
              <w:pStyle w:val="Tabletext"/>
            </w:pPr>
            <w:r w:rsidRPr="006D63F4">
              <w:t>Better triage of patients to the most suitable test, noting that patients who have high pre-test probability for uncomplicated OSA are generally suitable for unattended sleep studies.</w:t>
            </w:r>
          </w:p>
          <w:p w14:paraId="07F74F85" w14:textId="77777777" w:rsidR="00482572" w:rsidRDefault="00482572">
            <w:pPr>
              <w:pStyle w:val="Tabletext"/>
            </w:pPr>
            <w:r w:rsidRPr="006D63F4">
              <w:t>Referral to testing for a wider range of sleep disorders than currently permitted when the patient has been assessed by a respiratory or sleep specialist.</w:t>
            </w:r>
          </w:p>
        </w:tc>
        <w:tc>
          <w:tcPr>
            <w:tcW w:w="992" w:type="dxa"/>
            <w:shd w:val="clear" w:color="auto" w:fill="auto"/>
            <w:noWrap/>
          </w:tcPr>
          <w:p w14:paraId="35B25578" w14:textId="77777777" w:rsidR="00482572" w:rsidRDefault="00482572" w:rsidP="0082628D">
            <w:pPr>
              <w:pStyle w:val="Tabletext"/>
              <w:rPr>
                <w:rFonts w:cs="Tahoma"/>
              </w:rPr>
            </w:pPr>
            <w:r>
              <w:rPr>
                <w:rFonts w:cs="Tahoma"/>
              </w:rPr>
              <w:t>G.6.1(</w:t>
            </w:r>
            <w:r w:rsidR="00501A7B">
              <w:rPr>
                <w:rFonts w:cs="Tahoma"/>
              </w:rPr>
              <w:t>b</w:t>
            </w:r>
            <w:r>
              <w:rPr>
                <w:rFonts w:cs="Tahoma"/>
              </w:rPr>
              <w:t>)</w:t>
            </w:r>
          </w:p>
          <w:p w14:paraId="1585A042" w14:textId="77777777" w:rsidR="00482572" w:rsidRDefault="00482572">
            <w:pPr>
              <w:pStyle w:val="Tabletext"/>
              <w:rPr>
                <w:rFonts w:cs="Tahoma"/>
              </w:rPr>
            </w:pPr>
            <w:r>
              <w:t>6.1</w:t>
            </w:r>
          </w:p>
        </w:tc>
        <w:tc>
          <w:tcPr>
            <w:tcW w:w="1134" w:type="dxa"/>
          </w:tcPr>
          <w:p w14:paraId="4261B847" w14:textId="77777777" w:rsidR="00482572" w:rsidRDefault="00482572" w:rsidP="0082628D">
            <w:pPr>
              <w:pStyle w:val="Tabletext"/>
              <w:rPr>
                <w:rFonts w:cs="Tahoma"/>
              </w:rPr>
            </w:pPr>
            <w:r>
              <w:rPr>
                <w:rFonts w:cs="Tahoma"/>
              </w:rPr>
              <w:t>22</w:t>
            </w:r>
            <w:r w:rsidR="00087655">
              <w:rPr>
                <w:rFonts w:cs="Tahoma"/>
              </w:rPr>
              <w:t>6</w:t>
            </w:r>
            <w:r>
              <w:rPr>
                <w:rFonts w:cs="Tahoma"/>
              </w:rPr>
              <w:t xml:space="preserve"> to 22</w:t>
            </w:r>
            <w:r w:rsidR="00087655">
              <w:rPr>
                <w:rFonts w:cs="Tahoma"/>
              </w:rPr>
              <w:t>7</w:t>
            </w:r>
          </w:p>
          <w:p w14:paraId="39E74D64" w14:textId="77777777" w:rsidR="00482572" w:rsidRDefault="00482572">
            <w:pPr>
              <w:pStyle w:val="Tabletext"/>
              <w:rPr>
                <w:rFonts w:cs="Tahoma"/>
              </w:rPr>
            </w:pPr>
            <w:r>
              <w:t>43 to 44</w:t>
            </w:r>
          </w:p>
        </w:tc>
      </w:tr>
      <w:tr w:rsidR="00482572" w:rsidRPr="00364CDE" w14:paraId="7E8F8404" w14:textId="77777777" w:rsidTr="0056070F">
        <w:trPr>
          <w:trHeight w:val="300"/>
        </w:trPr>
        <w:tc>
          <w:tcPr>
            <w:tcW w:w="1716" w:type="dxa"/>
            <w:shd w:val="clear" w:color="auto" w:fill="auto"/>
            <w:noWrap/>
          </w:tcPr>
          <w:p w14:paraId="424BE319" w14:textId="77777777" w:rsidR="00482572" w:rsidRDefault="00482572">
            <w:pPr>
              <w:pStyle w:val="Tabletext"/>
            </w:pPr>
            <w:r>
              <w:t>3.4</w:t>
            </w:r>
          </w:p>
        </w:tc>
        <w:tc>
          <w:tcPr>
            <w:tcW w:w="4962" w:type="dxa"/>
            <w:shd w:val="clear" w:color="auto" w:fill="auto"/>
            <w:noWrap/>
          </w:tcPr>
          <w:p w14:paraId="74540188" w14:textId="77777777" w:rsidR="00482572" w:rsidRDefault="00482572">
            <w:pPr>
              <w:pStyle w:val="Tabletext"/>
            </w:pPr>
            <w:r w:rsidRPr="006D63F4">
              <w:t>Addition of new items to the MBS for APAP titration and vigilance testing following MSAC appraisal. The Committee recommends that these new services should be considered once the impact of the other proposed changes to sleep study items can be assessed.</w:t>
            </w:r>
          </w:p>
        </w:tc>
        <w:tc>
          <w:tcPr>
            <w:tcW w:w="992" w:type="dxa"/>
            <w:shd w:val="clear" w:color="auto" w:fill="auto"/>
            <w:noWrap/>
          </w:tcPr>
          <w:p w14:paraId="55CBBB3C" w14:textId="77777777" w:rsidR="00482572" w:rsidRDefault="00501A7B">
            <w:pPr>
              <w:pStyle w:val="Tabletext"/>
              <w:rPr>
                <w:rFonts w:cs="Tahoma"/>
              </w:rPr>
            </w:pPr>
            <w:r>
              <w:rPr>
                <w:rFonts w:cs="Tahoma"/>
              </w:rPr>
              <w:t>6.1</w:t>
            </w:r>
          </w:p>
        </w:tc>
        <w:tc>
          <w:tcPr>
            <w:tcW w:w="1134" w:type="dxa"/>
          </w:tcPr>
          <w:p w14:paraId="03DADE51" w14:textId="77777777" w:rsidR="00482572" w:rsidRDefault="00501A7B">
            <w:pPr>
              <w:pStyle w:val="Tabletext"/>
              <w:rPr>
                <w:rFonts w:cs="Tahoma"/>
              </w:rPr>
            </w:pPr>
            <w:r>
              <w:rPr>
                <w:rFonts w:cs="Tahoma"/>
              </w:rPr>
              <w:t>44 to 45</w:t>
            </w:r>
          </w:p>
        </w:tc>
      </w:tr>
      <w:tr w:rsidR="00501A7B" w:rsidRPr="00364CDE" w14:paraId="4025078E" w14:textId="77777777" w:rsidTr="0056070F">
        <w:trPr>
          <w:trHeight w:val="300"/>
        </w:trPr>
        <w:tc>
          <w:tcPr>
            <w:tcW w:w="1716" w:type="dxa"/>
            <w:shd w:val="clear" w:color="auto" w:fill="auto"/>
            <w:noWrap/>
          </w:tcPr>
          <w:p w14:paraId="62C88F4D" w14:textId="77777777" w:rsidR="00501A7B" w:rsidRDefault="00501A7B">
            <w:pPr>
              <w:pStyle w:val="Tabletext"/>
            </w:pPr>
            <w:r>
              <w:t>3.5</w:t>
            </w:r>
          </w:p>
        </w:tc>
        <w:tc>
          <w:tcPr>
            <w:tcW w:w="4962" w:type="dxa"/>
            <w:shd w:val="clear" w:color="auto" w:fill="auto"/>
            <w:noWrap/>
          </w:tcPr>
          <w:p w14:paraId="432E74EF" w14:textId="77777777" w:rsidR="00501A7B" w:rsidRDefault="00501A7B">
            <w:pPr>
              <w:pStyle w:val="Tabletext"/>
            </w:pPr>
            <w:r w:rsidRPr="006D63F4">
              <w:t>Amendment to item 12203 to restrict payment to once in a 12 month period; with a second attended sleep study permitted when required immediately prior to vigilance testing.</w:t>
            </w:r>
          </w:p>
        </w:tc>
        <w:tc>
          <w:tcPr>
            <w:tcW w:w="992" w:type="dxa"/>
            <w:shd w:val="clear" w:color="auto" w:fill="auto"/>
            <w:noWrap/>
          </w:tcPr>
          <w:p w14:paraId="6848C73E" w14:textId="77777777" w:rsidR="00501A7B" w:rsidRPr="00AA6351" w:rsidRDefault="00501A7B" w:rsidP="0082628D">
            <w:pPr>
              <w:pStyle w:val="Tabletext"/>
              <w:rPr>
                <w:rFonts w:cs="Tahoma"/>
                <w:szCs w:val="20"/>
              </w:rPr>
            </w:pPr>
            <w:r w:rsidRPr="00AA6351">
              <w:rPr>
                <w:rFonts w:cs="Tahoma"/>
                <w:szCs w:val="20"/>
              </w:rPr>
              <w:t>G.6.1(</w:t>
            </w:r>
            <w:r>
              <w:rPr>
                <w:rFonts w:cs="Tahoma"/>
                <w:szCs w:val="20"/>
              </w:rPr>
              <w:t>b</w:t>
            </w:r>
            <w:r w:rsidRPr="00AA6351">
              <w:rPr>
                <w:rFonts w:cs="Tahoma"/>
                <w:szCs w:val="20"/>
              </w:rPr>
              <w:t>)</w:t>
            </w:r>
          </w:p>
          <w:p w14:paraId="4B108E3C" w14:textId="77777777" w:rsidR="00501A7B" w:rsidRPr="00AA6351" w:rsidRDefault="00501A7B" w:rsidP="0082628D">
            <w:pPr>
              <w:pStyle w:val="Tabletext"/>
              <w:rPr>
                <w:rFonts w:cs="Tahoma"/>
                <w:szCs w:val="20"/>
              </w:rPr>
            </w:pPr>
          </w:p>
          <w:p w14:paraId="552D5F2C" w14:textId="77777777" w:rsidR="00501A7B" w:rsidRDefault="00501A7B">
            <w:pPr>
              <w:pStyle w:val="Tabletext"/>
              <w:rPr>
                <w:rFonts w:cs="Tahoma"/>
              </w:rPr>
            </w:pPr>
            <w:r>
              <w:rPr>
                <w:rFonts w:cs="Tahoma"/>
                <w:szCs w:val="20"/>
              </w:rPr>
              <w:t>6</w:t>
            </w:r>
            <w:r w:rsidRPr="00AA6351">
              <w:rPr>
                <w:rFonts w:cs="Tahoma"/>
                <w:szCs w:val="20"/>
              </w:rPr>
              <w:t>.1</w:t>
            </w:r>
          </w:p>
        </w:tc>
        <w:tc>
          <w:tcPr>
            <w:tcW w:w="1134" w:type="dxa"/>
          </w:tcPr>
          <w:p w14:paraId="48A910D9" w14:textId="77777777" w:rsidR="00501A7B" w:rsidRPr="00AA6351" w:rsidRDefault="00501A7B" w:rsidP="0082628D">
            <w:pPr>
              <w:pStyle w:val="Tabletext"/>
              <w:rPr>
                <w:rFonts w:cs="Tahoma"/>
                <w:szCs w:val="20"/>
              </w:rPr>
            </w:pPr>
            <w:r w:rsidRPr="00AA6351">
              <w:rPr>
                <w:rFonts w:cs="Tahoma"/>
                <w:szCs w:val="20"/>
              </w:rPr>
              <w:t>22</w:t>
            </w:r>
            <w:r w:rsidR="00087655">
              <w:rPr>
                <w:rFonts w:cs="Tahoma"/>
                <w:szCs w:val="20"/>
              </w:rPr>
              <w:t>1</w:t>
            </w:r>
            <w:r w:rsidRPr="00AA6351">
              <w:rPr>
                <w:rFonts w:cs="Tahoma"/>
                <w:szCs w:val="20"/>
              </w:rPr>
              <w:t xml:space="preserve"> to 22</w:t>
            </w:r>
            <w:r w:rsidR="00087655">
              <w:rPr>
                <w:rFonts w:cs="Tahoma"/>
                <w:szCs w:val="20"/>
              </w:rPr>
              <w:t>3</w:t>
            </w:r>
          </w:p>
          <w:p w14:paraId="18F823F6" w14:textId="77777777" w:rsidR="00501A7B" w:rsidRPr="00AA6351" w:rsidRDefault="00501A7B" w:rsidP="0082628D">
            <w:pPr>
              <w:pStyle w:val="Tabletext"/>
              <w:rPr>
                <w:rFonts w:cs="Tahoma"/>
                <w:szCs w:val="20"/>
              </w:rPr>
            </w:pPr>
            <w:r w:rsidRPr="00AA6351">
              <w:rPr>
                <w:rFonts w:cs="Tahoma"/>
                <w:szCs w:val="20"/>
              </w:rPr>
              <w:t>22</w:t>
            </w:r>
            <w:r w:rsidR="00087655">
              <w:rPr>
                <w:rFonts w:cs="Tahoma"/>
                <w:szCs w:val="20"/>
              </w:rPr>
              <w:t>5</w:t>
            </w:r>
            <w:r w:rsidRPr="00AA6351">
              <w:rPr>
                <w:rFonts w:cs="Tahoma"/>
                <w:szCs w:val="20"/>
              </w:rPr>
              <w:t xml:space="preserve"> to 22</w:t>
            </w:r>
            <w:r w:rsidR="00087655">
              <w:rPr>
                <w:rFonts w:cs="Tahoma"/>
                <w:szCs w:val="20"/>
              </w:rPr>
              <w:t>8</w:t>
            </w:r>
          </w:p>
          <w:p w14:paraId="028840A7" w14:textId="77777777" w:rsidR="00501A7B" w:rsidRDefault="00501A7B">
            <w:pPr>
              <w:pStyle w:val="Tabletext"/>
              <w:rPr>
                <w:rFonts w:cs="Tahoma"/>
              </w:rPr>
            </w:pPr>
            <w:r>
              <w:rPr>
                <w:rFonts w:cs="Tahoma"/>
                <w:szCs w:val="20"/>
              </w:rPr>
              <w:t>44</w:t>
            </w:r>
          </w:p>
        </w:tc>
      </w:tr>
      <w:tr w:rsidR="00501A7B" w:rsidRPr="00364CDE" w14:paraId="5ADAE35C" w14:textId="77777777" w:rsidTr="0056070F">
        <w:trPr>
          <w:trHeight w:val="300"/>
        </w:trPr>
        <w:tc>
          <w:tcPr>
            <w:tcW w:w="1716" w:type="dxa"/>
            <w:shd w:val="clear" w:color="auto" w:fill="auto"/>
            <w:noWrap/>
          </w:tcPr>
          <w:p w14:paraId="679FB7F7" w14:textId="77777777" w:rsidR="00501A7B" w:rsidRDefault="00501A7B">
            <w:pPr>
              <w:pStyle w:val="Tabletext"/>
            </w:pPr>
            <w:r>
              <w:t>3.6</w:t>
            </w:r>
          </w:p>
        </w:tc>
        <w:tc>
          <w:tcPr>
            <w:tcW w:w="4962" w:type="dxa"/>
            <w:shd w:val="clear" w:color="auto" w:fill="auto"/>
            <w:noWrap/>
          </w:tcPr>
          <w:p w14:paraId="7561665A" w14:textId="77777777" w:rsidR="00501A7B" w:rsidRDefault="00501A7B">
            <w:pPr>
              <w:pStyle w:val="Tabletext"/>
            </w:pPr>
            <w:r w:rsidRPr="006D63F4">
              <w:t xml:space="preserve">Better use of follow up studies with closer involvement of sleep </w:t>
            </w:r>
            <w:r w:rsidR="00806C34">
              <w:t xml:space="preserve">or consultant respiratory </w:t>
            </w:r>
            <w:r w:rsidRPr="006D63F4">
              <w:t>physicians in determining the need for follow up testing.</w:t>
            </w:r>
          </w:p>
        </w:tc>
        <w:tc>
          <w:tcPr>
            <w:tcW w:w="992" w:type="dxa"/>
            <w:shd w:val="clear" w:color="auto" w:fill="auto"/>
            <w:noWrap/>
          </w:tcPr>
          <w:p w14:paraId="34A092EA" w14:textId="77777777" w:rsidR="00501A7B" w:rsidRDefault="00501A7B" w:rsidP="0082628D">
            <w:pPr>
              <w:pStyle w:val="Tabletext"/>
              <w:rPr>
                <w:rFonts w:cs="Tahoma"/>
              </w:rPr>
            </w:pPr>
            <w:r>
              <w:rPr>
                <w:rFonts w:cs="Tahoma"/>
              </w:rPr>
              <w:t>G.6.1(b)</w:t>
            </w:r>
          </w:p>
          <w:p w14:paraId="0F30FD8B" w14:textId="77777777" w:rsidR="00501A7B" w:rsidRDefault="00501A7B">
            <w:pPr>
              <w:pStyle w:val="Tabletext"/>
              <w:rPr>
                <w:rFonts w:cs="Tahoma"/>
              </w:rPr>
            </w:pPr>
            <w:r>
              <w:t>6.1</w:t>
            </w:r>
          </w:p>
        </w:tc>
        <w:tc>
          <w:tcPr>
            <w:tcW w:w="1134" w:type="dxa"/>
          </w:tcPr>
          <w:p w14:paraId="657B6B80" w14:textId="77777777" w:rsidR="00501A7B" w:rsidRDefault="00501A7B" w:rsidP="0082628D">
            <w:pPr>
              <w:pStyle w:val="Tabletext"/>
              <w:rPr>
                <w:rFonts w:cs="Tahoma"/>
              </w:rPr>
            </w:pPr>
            <w:r>
              <w:rPr>
                <w:rFonts w:cs="Tahoma"/>
              </w:rPr>
              <w:t>22</w:t>
            </w:r>
            <w:r w:rsidR="00087655">
              <w:rPr>
                <w:rFonts w:cs="Tahoma"/>
              </w:rPr>
              <w:t>7</w:t>
            </w:r>
          </w:p>
          <w:p w14:paraId="4AD7FB92" w14:textId="77777777" w:rsidR="00501A7B" w:rsidRDefault="00501A7B">
            <w:pPr>
              <w:pStyle w:val="Tabletext"/>
              <w:rPr>
                <w:rFonts w:cs="Tahoma"/>
              </w:rPr>
            </w:pPr>
            <w:r>
              <w:t>44</w:t>
            </w:r>
          </w:p>
        </w:tc>
      </w:tr>
      <w:tr w:rsidR="00501A7B" w:rsidRPr="00364CDE" w14:paraId="533E078D" w14:textId="77777777" w:rsidTr="0056070F">
        <w:trPr>
          <w:trHeight w:val="300"/>
        </w:trPr>
        <w:tc>
          <w:tcPr>
            <w:tcW w:w="1716" w:type="dxa"/>
            <w:shd w:val="clear" w:color="auto" w:fill="auto"/>
            <w:noWrap/>
          </w:tcPr>
          <w:p w14:paraId="1A5119AA" w14:textId="77777777" w:rsidR="00501A7B" w:rsidRDefault="00501A7B">
            <w:pPr>
              <w:pStyle w:val="Tabletext"/>
            </w:pPr>
            <w:r>
              <w:lastRenderedPageBreak/>
              <w:t>3.7</w:t>
            </w:r>
          </w:p>
        </w:tc>
        <w:tc>
          <w:tcPr>
            <w:tcW w:w="4962" w:type="dxa"/>
            <w:shd w:val="clear" w:color="auto" w:fill="auto"/>
            <w:noWrap/>
          </w:tcPr>
          <w:p w14:paraId="34524F0C" w14:textId="77777777" w:rsidR="00501A7B" w:rsidRDefault="00501A7B">
            <w:pPr>
              <w:pStyle w:val="Tabletext"/>
            </w:pPr>
            <w:r w:rsidRPr="006D63F4">
              <w:t>Determination of the need for testing should conform with Australasian Sleep Association guidelines.</w:t>
            </w:r>
          </w:p>
        </w:tc>
        <w:tc>
          <w:tcPr>
            <w:tcW w:w="992" w:type="dxa"/>
            <w:shd w:val="clear" w:color="auto" w:fill="auto"/>
            <w:noWrap/>
          </w:tcPr>
          <w:p w14:paraId="54AF535A" w14:textId="77777777" w:rsidR="00501A7B" w:rsidRDefault="00501A7B" w:rsidP="0082628D">
            <w:pPr>
              <w:pStyle w:val="Tabletext"/>
              <w:rPr>
                <w:rFonts w:cs="Tahoma"/>
              </w:rPr>
            </w:pPr>
            <w:r>
              <w:rPr>
                <w:rFonts w:cs="Tahoma"/>
              </w:rPr>
              <w:t>G.6.1(b)</w:t>
            </w:r>
          </w:p>
          <w:p w14:paraId="651D9549" w14:textId="77777777" w:rsidR="00501A7B" w:rsidRDefault="00501A7B">
            <w:pPr>
              <w:pStyle w:val="Tabletext"/>
              <w:rPr>
                <w:rFonts w:cs="Tahoma"/>
              </w:rPr>
            </w:pPr>
            <w:r>
              <w:t>6.1</w:t>
            </w:r>
          </w:p>
        </w:tc>
        <w:tc>
          <w:tcPr>
            <w:tcW w:w="1134" w:type="dxa"/>
          </w:tcPr>
          <w:p w14:paraId="3AF4F972" w14:textId="77777777" w:rsidR="00501A7B" w:rsidRDefault="00501A7B" w:rsidP="0082628D">
            <w:pPr>
              <w:pStyle w:val="Tabletext"/>
              <w:rPr>
                <w:rFonts w:cs="Tahoma"/>
              </w:rPr>
            </w:pPr>
            <w:r>
              <w:rPr>
                <w:rFonts w:cs="Tahoma"/>
              </w:rPr>
              <w:t>22</w:t>
            </w:r>
            <w:r w:rsidR="00087655">
              <w:rPr>
                <w:rFonts w:cs="Tahoma"/>
              </w:rPr>
              <w:t>6</w:t>
            </w:r>
            <w:r>
              <w:rPr>
                <w:rFonts w:cs="Tahoma"/>
              </w:rPr>
              <w:t xml:space="preserve"> </w:t>
            </w:r>
          </w:p>
          <w:p w14:paraId="631261C7" w14:textId="77777777" w:rsidR="00501A7B" w:rsidRDefault="00501A7B">
            <w:pPr>
              <w:pStyle w:val="Tabletext"/>
              <w:rPr>
                <w:rFonts w:cs="Tahoma"/>
              </w:rPr>
            </w:pPr>
            <w:r>
              <w:t xml:space="preserve">43 </w:t>
            </w:r>
          </w:p>
        </w:tc>
      </w:tr>
      <w:tr w:rsidR="00501A7B" w:rsidRPr="00364CDE" w14:paraId="4E2BDD7F" w14:textId="77777777" w:rsidTr="0056070F">
        <w:trPr>
          <w:trHeight w:val="300"/>
        </w:trPr>
        <w:tc>
          <w:tcPr>
            <w:tcW w:w="1716" w:type="dxa"/>
            <w:shd w:val="clear" w:color="auto" w:fill="auto"/>
            <w:noWrap/>
          </w:tcPr>
          <w:p w14:paraId="0DB49A85" w14:textId="77777777" w:rsidR="00501A7B" w:rsidRDefault="00501A7B">
            <w:pPr>
              <w:pStyle w:val="Tabletext"/>
            </w:pPr>
            <w:r>
              <w:t>4.1</w:t>
            </w:r>
          </w:p>
        </w:tc>
        <w:tc>
          <w:tcPr>
            <w:tcW w:w="4962" w:type="dxa"/>
            <w:shd w:val="clear" w:color="auto" w:fill="auto"/>
            <w:noWrap/>
          </w:tcPr>
          <w:p w14:paraId="6498A22D" w14:textId="77777777" w:rsidR="00501A7B" w:rsidRDefault="00501A7B">
            <w:pPr>
              <w:pStyle w:val="Tabletext"/>
            </w:pPr>
            <w:r w:rsidRPr="006D63F4">
              <w:t xml:space="preserve">The Committee recommends that no changes be made to the items relating to diagnostic and therapeutic procedures for lung, trachea and bronchus 30696, 30710, 41889, 41892, 41893, 41898 and 41905. </w:t>
            </w:r>
          </w:p>
        </w:tc>
        <w:tc>
          <w:tcPr>
            <w:tcW w:w="992" w:type="dxa"/>
            <w:shd w:val="clear" w:color="auto" w:fill="auto"/>
            <w:noWrap/>
          </w:tcPr>
          <w:p w14:paraId="4E928B96" w14:textId="77777777" w:rsidR="00501A7B" w:rsidRDefault="00501A7B">
            <w:pPr>
              <w:pStyle w:val="Tabletext"/>
              <w:rPr>
                <w:rFonts w:cs="Tahoma"/>
              </w:rPr>
            </w:pPr>
            <w:r>
              <w:rPr>
                <w:rFonts w:cs="Tahoma"/>
              </w:rPr>
              <w:t>7.1 and 7.2</w:t>
            </w:r>
          </w:p>
        </w:tc>
        <w:tc>
          <w:tcPr>
            <w:tcW w:w="1134" w:type="dxa"/>
          </w:tcPr>
          <w:p w14:paraId="6701E144" w14:textId="77777777" w:rsidR="00501A7B" w:rsidRDefault="00501A7B">
            <w:pPr>
              <w:pStyle w:val="Tabletext"/>
              <w:rPr>
                <w:rFonts w:cs="Tahoma"/>
              </w:rPr>
            </w:pPr>
            <w:r>
              <w:rPr>
                <w:rFonts w:cs="Tahoma"/>
              </w:rPr>
              <w:t>55 to 57</w:t>
            </w:r>
          </w:p>
        </w:tc>
      </w:tr>
      <w:tr w:rsidR="00501A7B" w:rsidRPr="00364CDE" w14:paraId="2AF25847" w14:textId="77777777" w:rsidTr="0056070F">
        <w:trPr>
          <w:trHeight w:val="300"/>
        </w:trPr>
        <w:tc>
          <w:tcPr>
            <w:tcW w:w="1716" w:type="dxa"/>
            <w:shd w:val="clear" w:color="auto" w:fill="auto"/>
            <w:noWrap/>
          </w:tcPr>
          <w:p w14:paraId="03DD2B48" w14:textId="77777777" w:rsidR="00501A7B" w:rsidRDefault="00501A7B">
            <w:pPr>
              <w:pStyle w:val="Tabletext"/>
            </w:pPr>
            <w:r>
              <w:t>5.1</w:t>
            </w:r>
          </w:p>
        </w:tc>
        <w:tc>
          <w:tcPr>
            <w:tcW w:w="4962" w:type="dxa"/>
            <w:shd w:val="clear" w:color="auto" w:fill="auto"/>
            <w:noWrap/>
          </w:tcPr>
          <w:p w14:paraId="56D209F9" w14:textId="77777777" w:rsidR="00501A7B" w:rsidRDefault="00501A7B">
            <w:pPr>
              <w:pStyle w:val="Tabletext"/>
            </w:pPr>
            <w:r w:rsidRPr="006D63F4">
              <w:t>The Committee suggests that Item 11509 should be subsumed into item 11512, which also provides for spirometry performed in a respiratory laboratory.</w:t>
            </w:r>
          </w:p>
        </w:tc>
        <w:tc>
          <w:tcPr>
            <w:tcW w:w="992" w:type="dxa"/>
            <w:shd w:val="clear" w:color="auto" w:fill="auto"/>
            <w:noWrap/>
          </w:tcPr>
          <w:p w14:paraId="52D584BA" w14:textId="77777777" w:rsidR="00501A7B" w:rsidRDefault="00501A7B">
            <w:pPr>
              <w:pStyle w:val="Tabletext"/>
              <w:rPr>
                <w:rFonts w:cs="Tahoma"/>
              </w:rPr>
            </w:pPr>
            <w:r>
              <w:rPr>
                <w:rFonts w:cs="Tahoma"/>
              </w:rPr>
              <w:t>8.2</w:t>
            </w:r>
          </w:p>
        </w:tc>
        <w:tc>
          <w:tcPr>
            <w:tcW w:w="1134" w:type="dxa"/>
          </w:tcPr>
          <w:p w14:paraId="6451A34B" w14:textId="77777777" w:rsidR="00501A7B" w:rsidRDefault="00501A7B" w:rsidP="00667168">
            <w:pPr>
              <w:pStyle w:val="Tabletext"/>
              <w:rPr>
                <w:rFonts w:cs="Tahoma"/>
              </w:rPr>
            </w:pPr>
            <w:r>
              <w:rPr>
                <w:rFonts w:cs="Tahoma"/>
              </w:rPr>
              <w:t>5</w:t>
            </w:r>
            <w:r w:rsidR="00667168">
              <w:rPr>
                <w:rFonts w:cs="Tahoma"/>
              </w:rPr>
              <w:t>9</w:t>
            </w:r>
          </w:p>
        </w:tc>
      </w:tr>
    </w:tbl>
    <w:p w14:paraId="2E316214" w14:textId="77777777" w:rsidR="00853AAA" w:rsidRDefault="00853AAA" w:rsidP="00D61B7E">
      <w:pPr>
        <w:pStyle w:val="NormalBulleted"/>
        <w:numPr>
          <w:ilvl w:val="0"/>
          <w:numId w:val="0"/>
        </w:numPr>
      </w:pPr>
    </w:p>
    <w:p w14:paraId="378C5B47" w14:textId="77777777" w:rsidR="00D61B7E" w:rsidRDefault="00D647C2" w:rsidP="00D61B7E">
      <w:pPr>
        <w:pStyle w:val="Heading2a"/>
      </w:pPr>
      <w:r>
        <w:t>G</w:t>
      </w:r>
      <w:r w:rsidR="00455D79">
        <w:t>.</w:t>
      </w:r>
      <w:r w:rsidR="00853AAA">
        <w:t xml:space="preserve">5 </w:t>
      </w:r>
      <w:r w:rsidR="00D61B7E">
        <w:t>Amended recommendation</w:t>
      </w:r>
    </w:p>
    <w:p w14:paraId="1E968D9C" w14:textId="77777777" w:rsidR="00141D7E" w:rsidRPr="00631146" w:rsidRDefault="00141D7E" w:rsidP="00141D7E">
      <w:pPr>
        <w:rPr>
          <w:b/>
        </w:rPr>
      </w:pPr>
      <w:r w:rsidRPr="00631146">
        <w:rPr>
          <w:b/>
        </w:rPr>
        <w:t>Recommendation 3</w:t>
      </w:r>
      <w:r w:rsidR="00455D79" w:rsidRPr="00631146">
        <w:rPr>
          <w:b/>
        </w:rPr>
        <w:t>.5</w:t>
      </w:r>
      <w:r w:rsidRPr="00631146">
        <w:rPr>
          <w:b/>
        </w:rPr>
        <w:t>: Sleep Studies</w:t>
      </w:r>
    </w:p>
    <w:p w14:paraId="10C352D8" w14:textId="77777777" w:rsidR="00141D7E" w:rsidRDefault="00455D79" w:rsidP="00141D7E">
      <w:r>
        <w:t xml:space="preserve">The Committee considered public consultation feedback in response to recommendation </w:t>
      </w:r>
      <w:r w:rsidR="00377D45">
        <w:t>-</w:t>
      </w:r>
      <w:r>
        <w:t>3.5 and amended it to include implementation of a new sleep study item for circumstances where the previous attended sleep study failed. The amended description and explanatory notes are listed in section A.5.</w:t>
      </w:r>
    </w:p>
    <w:p w14:paraId="304DF2A6" w14:textId="77777777" w:rsidR="00D61B7E" w:rsidRDefault="00D647C2" w:rsidP="00D61B7E">
      <w:pPr>
        <w:pStyle w:val="Heading2a"/>
      </w:pPr>
      <w:r>
        <w:t>G</w:t>
      </w:r>
      <w:r w:rsidR="00455D79">
        <w:t>.</w:t>
      </w:r>
      <w:r w:rsidR="00853AAA">
        <w:t xml:space="preserve">6 </w:t>
      </w:r>
      <w:r w:rsidR="00D61B7E">
        <w:t>Amended item descriptions and explanatory notes</w:t>
      </w:r>
    </w:p>
    <w:p w14:paraId="39629D67" w14:textId="77777777" w:rsidR="00E86AA6" w:rsidRDefault="00E86AA6" w:rsidP="00455D79">
      <w:r>
        <w:t>The Committee considered public consultation feedback and made changes to item descriptors and explanatory notes</w:t>
      </w:r>
      <w:r w:rsidR="00676BC2">
        <w:t xml:space="preserve"> to provide clarity and address concerns</w:t>
      </w:r>
      <w:r>
        <w:t>.</w:t>
      </w:r>
    </w:p>
    <w:p w14:paraId="173D3CC1" w14:textId="77777777" w:rsidR="00676BC2" w:rsidRPr="00EA1099" w:rsidRDefault="00676BC2" w:rsidP="00455D79">
      <w:pPr>
        <w:rPr>
          <w:b/>
        </w:rPr>
      </w:pPr>
      <w:r w:rsidRPr="00EA1099">
        <w:rPr>
          <w:b/>
        </w:rPr>
        <w:t>Spirometry changes overview</w:t>
      </w:r>
    </w:p>
    <w:p w14:paraId="235084C4" w14:textId="77777777" w:rsidR="00676BC2" w:rsidRDefault="00487259" w:rsidP="00455D79">
      <w:r>
        <w:t xml:space="preserve">To support best practice and service quality, the Committee updated the explanatory note for items 11506, 11512 </w:t>
      </w:r>
      <w:r w:rsidR="00825948">
        <w:t>and the</w:t>
      </w:r>
      <w:r>
        <w:t xml:space="preserve"> new spirometry item to </w:t>
      </w:r>
      <w:r w:rsidR="00825948">
        <w:t xml:space="preserve">reference the recommended standards. The new item is </w:t>
      </w:r>
      <w:r w:rsidR="00DB1CED">
        <w:t xml:space="preserve">also </w:t>
      </w:r>
      <w:r w:rsidR="00825948">
        <w:t>amended to allow spirometry to be performed both before and after inhalation of bronchodilator.</w:t>
      </w:r>
    </w:p>
    <w:p w14:paraId="63022612" w14:textId="77777777" w:rsidR="00676BC2" w:rsidRDefault="00825948" w:rsidP="00455D79">
      <w:r>
        <w:t xml:space="preserve">The term ‘technician’ </w:t>
      </w:r>
      <w:r w:rsidR="00DB1CED">
        <w:t>is</w:t>
      </w:r>
      <w:r>
        <w:t xml:space="preserve"> amended to ‘respiratory scientist</w:t>
      </w:r>
      <w:r w:rsidR="00806C34">
        <w:t>’</w:t>
      </w:r>
      <w:r>
        <w:t xml:space="preserve"> in the new item for fractional exhaled nitric oxide (FeNO).</w:t>
      </w:r>
    </w:p>
    <w:p w14:paraId="647B7CB1" w14:textId="77777777" w:rsidR="00825948" w:rsidRDefault="0082628D" w:rsidP="00455D79">
      <w:r>
        <w:t>Item 11503 has been amended to re-include and re-word the test listed as ‘(l)’ on page 27. The re-worded test is now listed as ‘(i)</w:t>
      </w:r>
      <w:r w:rsidR="00806C34">
        <w:t>’</w:t>
      </w:r>
      <w:r>
        <w:t xml:space="preserve"> on page </w:t>
      </w:r>
      <w:r w:rsidR="00F51C9D">
        <w:rPr>
          <w:color w:val="000000" w:themeColor="text1"/>
        </w:rPr>
        <w:t>220</w:t>
      </w:r>
      <w:r>
        <w:t xml:space="preserve">. </w:t>
      </w:r>
      <w:r w:rsidR="00825948">
        <w:t>The explanatory notes for item 11503 have been amended to</w:t>
      </w:r>
      <w:r w:rsidR="00DB1CED">
        <w:t xml:space="preserve"> clarify when item 11503 is payable.</w:t>
      </w:r>
    </w:p>
    <w:p w14:paraId="706B91AD" w14:textId="77777777" w:rsidR="00DB1CED" w:rsidRPr="00EA1099" w:rsidRDefault="00DB1CED" w:rsidP="00455D79">
      <w:pPr>
        <w:rPr>
          <w:b/>
        </w:rPr>
      </w:pPr>
      <w:r w:rsidRPr="00EA1099">
        <w:rPr>
          <w:b/>
        </w:rPr>
        <w:t>Sleep studies changes overview</w:t>
      </w:r>
    </w:p>
    <w:p w14:paraId="69C091F5" w14:textId="77777777" w:rsidR="00DB1CED" w:rsidRDefault="00EA1099" w:rsidP="00455D79">
      <w:r>
        <w:t>In response to public consultation feedback, t</w:t>
      </w:r>
      <w:r w:rsidR="00DB1CED">
        <w:t xml:space="preserve">he Committee </w:t>
      </w:r>
      <w:r>
        <w:t>reworded item descriptors 12203 and 12250 for clarity and reduced the STOP-BANG score from 5 to 4 to enable access for patients with moderate to severe symptomatic OSA. The term ‘technician’ in item 12203</w:t>
      </w:r>
      <w:r w:rsidR="007B65C6">
        <w:t xml:space="preserve"> and the treatment initiation item</w:t>
      </w:r>
      <w:r>
        <w:t xml:space="preserve"> was amended to ‘sleep scientist’.</w:t>
      </w:r>
    </w:p>
    <w:p w14:paraId="1BAC4470" w14:textId="77777777" w:rsidR="00EA1099" w:rsidRDefault="00A17924" w:rsidP="00455D79">
      <w:r>
        <w:lastRenderedPageBreak/>
        <w:t>T</w:t>
      </w:r>
      <w:r w:rsidR="00941F7C">
        <w:t xml:space="preserve">he Committee noted concern </w:t>
      </w:r>
      <w:r>
        <w:t>about</w:t>
      </w:r>
      <w:r w:rsidR="00941F7C">
        <w:t xml:space="preserve"> the</w:t>
      </w:r>
      <w:r>
        <w:t xml:space="preserve"> new</w:t>
      </w:r>
      <w:r w:rsidR="00941F7C">
        <w:t xml:space="preserve"> time limitation restriction of item 12203 and recommend</w:t>
      </w:r>
      <w:r>
        <w:t>ed</w:t>
      </w:r>
      <w:r w:rsidR="00941F7C">
        <w:t xml:space="preserve"> a new item, requiring pre-approval, for an additional sleep study </w:t>
      </w:r>
      <w:r>
        <w:t xml:space="preserve">where the patient failed the original study. It should be noted that when </w:t>
      </w:r>
      <w:r w:rsidR="002366FB">
        <w:t>this item is</w:t>
      </w:r>
      <w:r>
        <w:t xml:space="preserve"> implemented, it is also the intent to remove existing item 12207 as it will be redundant.</w:t>
      </w:r>
    </w:p>
    <w:p w14:paraId="3ACA4DC3" w14:textId="77777777" w:rsidR="008140EF" w:rsidRDefault="00D647C2" w:rsidP="00455D79">
      <w:pPr>
        <w:rPr>
          <w:b/>
        </w:rPr>
      </w:pPr>
      <w:r>
        <w:rPr>
          <w:b/>
        </w:rPr>
        <w:t>G</w:t>
      </w:r>
      <w:r w:rsidR="00B728E1">
        <w:rPr>
          <w:b/>
        </w:rPr>
        <w:t xml:space="preserve">.6.1 </w:t>
      </w:r>
      <w:r w:rsidR="00645E00">
        <w:rPr>
          <w:b/>
        </w:rPr>
        <w:t xml:space="preserve">Amended and final recommended </w:t>
      </w:r>
      <w:r w:rsidR="008140EF" w:rsidRPr="008140EF">
        <w:rPr>
          <w:b/>
        </w:rPr>
        <w:t>Item</w:t>
      </w:r>
      <w:r w:rsidR="008140EF">
        <w:rPr>
          <w:b/>
        </w:rPr>
        <w:t>s</w:t>
      </w:r>
      <w:r w:rsidR="008140EF" w:rsidRPr="008140EF">
        <w:rPr>
          <w:b/>
        </w:rPr>
        <w:t xml:space="preserve"> and explanatory notes</w:t>
      </w:r>
      <w:r w:rsidR="00645E00">
        <w:rPr>
          <w:b/>
        </w:rPr>
        <w:t>.</w:t>
      </w:r>
    </w:p>
    <w:p w14:paraId="7E15F9D8" w14:textId="77777777" w:rsidR="00645E00" w:rsidRPr="00645E00" w:rsidRDefault="00D647C2">
      <w:pPr>
        <w:rPr>
          <w:b/>
        </w:rPr>
      </w:pPr>
      <w:r>
        <w:rPr>
          <w:b/>
        </w:rPr>
        <w:t xml:space="preserve">G.6.1(a) </w:t>
      </w:r>
      <w:r w:rsidR="00645E00" w:rsidRPr="00645E00">
        <w:rPr>
          <w:b/>
        </w:rPr>
        <w:t>Respiratory Function Tests including Spirometry</w:t>
      </w:r>
    </w:p>
    <w:p w14:paraId="2C1EC2AA" w14:textId="77777777" w:rsidR="00455D79" w:rsidRDefault="00455D79" w:rsidP="00455D79">
      <w:pPr>
        <w:rPr>
          <w:b/>
        </w:rPr>
      </w:pPr>
      <w:r>
        <w:rPr>
          <w:b/>
        </w:rPr>
        <w:t>Item 11506 descriptor:</w:t>
      </w:r>
    </w:p>
    <w:p w14:paraId="331EBC84" w14:textId="77777777" w:rsidR="00455D79" w:rsidRPr="00446545" w:rsidRDefault="00455D79" w:rsidP="00455D79">
      <w:pPr>
        <w:rPr>
          <w:lang w:val="en-US"/>
        </w:rPr>
      </w:pPr>
      <w:r w:rsidRPr="00446545">
        <w:rPr>
          <w:lang w:val="en-US"/>
        </w:rPr>
        <w:t>MEASUREMENT OF SPIROMETRY involving a permanently recorded tracing performed before and after inhalation of bronchodilator to confirm diagnosis of asthma, COPD or other causes of airflow limitation - each occasion at which three or more recordings are performed</w:t>
      </w:r>
      <w:r>
        <w:rPr>
          <w:lang w:val="en-US"/>
        </w:rPr>
        <w:t xml:space="preserve"> that meet best practice guidelines</w:t>
      </w:r>
    </w:p>
    <w:p w14:paraId="3D32D5BE" w14:textId="77777777" w:rsidR="00455D79" w:rsidRPr="00446545" w:rsidRDefault="00455D79" w:rsidP="00455D79">
      <w:pPr>
        <w:rPr>
          <w:lang w:val="en-US"/>
        </w:rPr>
      </w:pPr>
      <w:r w:rsidRPr="00446545">
        <w:rPr>
          <w:lang w:val="en-US"/>
        </w:rPr>
        <w:t>Payable once in 12 months.</w:t>
      </w:r>
    </w:p>
    <w:p w14:paraId="623E9FEE" w14:textId="77777777" w:rsidR="00455D79" w:rsidRDefault="00455D79" w:rsidP="00455D79">
      <w:pPr>
        <w:rPr>
          <w:b/>
        </w:rPr>
      </w:pPr>
      <w:r>
        <w:rPr>
          <w:b/>
        </w:rPr>
        <w:t xml:space="preserve">New spirometry item descriptor: </w:t>
      </w:r>
    </w:p>
    <w:p w14:paraId="178A595C" w14:textId="77777777" w:rsidR="00455D79" w:rsidRPr="00446545" w:rsidRDefault="00455D79" w:rsidP="00455D79">
      <w:pPr>
        <w:rPr>
          <w:bCs/>
          <w:lang w:val="en-US"/>
        </w:rPr>
      </w:pPr>
      <w:r w:rsidRPr="00446545">
        <w:t>ME</w:t>
      </w:r>
      <w:r w:rsidRPr="00446545">
        <w:rPr>
          <w:bCs/>
          <w:lang w:val="en-US"/>
        </w:rPr>
        <w:t>ASUREMENT OF SPIROMETRY involving a permanently recorded tracing, performed before</w:t>
      </w:r>
      <w:r>
        <w:rPr>
          <w:bCs/>
          <w:lang w:val="en-US"/>
        </w:rPr>
        <w:t xml:space="preserve"> and /</w:t>
      </w:r>
      <w:r w:rsidRPr="00446545">
        <w:rPr>
          <w:bCs/>
          <w:lang w:val="en-US"/>
        </w:rPr>
        <w:t xml:space="preserve"> OR after inhalation of bronchodilator to</w:t>
      </w:r>
    </w:p>
    <w:p w14:paraId="3192E77A" w14:textId="77777777" w:rsidR="00E919BA" w:rsidRPr="00FC6871" w:rsidRDefault="00E919BA" w:rsidP="00927463">
      <w:pPr>
        <w:pStyle w:val="Numbering"/>
        <w:numPr>
          <w:ilvl w:val="0"/>
          <w:numId w:val="70"/>
        </w:numPr>
      </w:pPr>
      <w:r>
        <w:t xml:space="preserve">confirm </w:t>
      </w:r>
      <w:r w:rsidRPr="00FC6871">
        <w:t xml:space="preserve">diagnosis of COPD </w:t>
      </w:r>
    </w:p>
    <w:p w14:paraId="6BC710FA" w14:textId="77777777" w:rsidR="00E919BA" w:rsidRPr="00FC6871" w:rsidRDefault="00E919BA" w:rsidP="00927463">
      <w:pPr>
        <w:pStyle w:val="Numbering"/>
        <w:numPr>
          <w:ilvl w:val="0"/>
          <w:numId w:val="70"/>
        </w:numPr>
      </w:pPr>
      <w:r w:rsidRPr="00FC6871">
        <w:t>assess acute exacerbations of asthma</w:t>
      </w:r>
    </w:p>
    <w:p w14:paraId="4EE348F8" w14:textId="77777777" w:rsidR="00E919BA" w:rsidRPr="00FC6871" w:rsidRDefault="00E919BA" w:rsidP="00927463">
      <w:pPr>
        <w:pStyle w:val="Numbering"/>
        <w:numPr>
          <w:ilvl w:val="0"/>
          <w:numId w:val="70"/>
        </w:numPr>
      </w:pPr>
      <w:r w:rsidRPr="00FC6871">
        <w:t>monitor asthma and COPD.</w:t>
      </w:r>
    </w:p>
    <w:p w14:paraId="00733F91" w14:textId="77777777" w:rsidR="00455D79" w:rsidRPr="00446545" w:rsidRDefault="00E919BA" w:rsidP="00927463">
      <w:pPr>
        <w:numPr>
          <w:ilvl w:val="0"/>
          <w:numId w:val="70"/>
        </w:numPr>
        <w:spacing w:before="0" w:after="0" w:line="240" w:lineRule="auto"/>
        <w:rPr>
          <w:lang w:val="en-US"/>
        </w:rPr>
      </w:pPr>
      <w:r w:rsidRPr="00FC6871">
        <w:t>assess other causes</w:t>
      </w:r>
      <w:r w:rsidRPr="00B76E12">
        <w:t xml:space="preserve"> of obstructive lung disease or the presence of restrictive lung disease</w:t>
      </w:r>
    </w:p>
    <w:p w14:paraId="605A5F9C" w14:textId="77777777" w:rsidR="00455D79" w:rsidRPr="00446545" w:rsidRDefault="00455D79" w:rsidP="00455D79">
      <w:r w:rsidRPr="00446545">
        <w:t xml:space="preserve">- each occasion at which </w:t>
      </w:r>
      <w:r w:rsidR="00CD263A">
        <w:t xml:space="preserve">the </w:t>
      </w:r>
      <w:r w:rsidRPr="00446545">
        <w:t xml:space="preserve">spirometry recordings </w:t>
      </w:r>
      <w:r w:rsidR="00CD263A">
        <w:t xml:space="preserve">that </w:t>
      </w:r>
      <w:r w:rsidR="0088561C">
        <w:t xml:space="preserve">meet </w:t>
      </w:r>
      <w:r w:rsidR="00CD263A">
        <w:t xml:space="preserve">international quality </w:t>
      </w:r>
      <w:r w:rsidR="0088561C">
        <w:t>standards</w:t>
      </w:r>
      <w:r w:rsidR="00CD263A">
        <w:t xml:space="preserve"> </w:t>
      </w:r>
      <w:r w:rsidR="00C31410">
        <w:t>(</w:t>
      </w:r>
      <w:r w:rsidR="00CD263A" w:rsidRPr="00CD263A">
        <w:t>Eur Respir J 2005; 26: 319–338</w:t>
      </w:r>
      <w:r w:rsidR="00C31410">
        <w:t>)</w:t>
      </w:r>
      <w:r w:rsidR="00CD263A">
        <w:t xml:space="preserve"> are performed</w:t>
      </w:r>
      <w:r w:rsidRPr="00446545">
        <w:t>.</w:t>
      </w:r>
    </w:p>
    <w:p w14:paraId="0612DDE3" w14:textId="77777777" w:rsidR="00455D79" w:rsidRPr="00446545" w:rsidRDefault="00455D79" w:rsidP="00455D79">
      <w:pPr>
        <w:rPr>
          <w:b/>
        </w:rPr>
      </w:pPr>
      <w:r w:rsidRPr="00446545">
        <w:rPr>
          <w:b/>
        </w:rPr>
        <w:t xml:space="preserve">Explanatory notes for items </w:t>
      </w:r>
      <w:r w:rsidR="00645E00">
        <w:rPr>
          <w:b/>
        </w:rPr>
        <w:t xml:space="preserve">spirometry items </w:t>
      </w:r>
      <w:r w:rsidRPr="00446545">
        <w:rPr>
          <w:b/>
        </w:rPr>
        <w:t>11506, 11512 and the new item:</w:t>
      </w:r>
    </w:p>
    <w:p w14:paraId="1CD6EFDC" w14:textId="77777777" w:rsidR="00455D79" w:rsidRDefault="00455D79" w:rsidP="00455D79">
      <w:r w:rsidRPr="00446545">
        <w:t xml:space="preserve">The </w:t>
      </w:r>
      <w:r>
        <w:t xml:space="preserve">National Asthma Council’s </w:t>
      </w:r>
      <w:r w:rsidRPr="00446545">
        <w:t>Australian Asthma Handbook (201</w:t>
      </w:r>
      <w:r>
        <w:t>6</w:t>
      </w:r>
      <w:r w:rsidRPr="00446545">
        <w:t>) and Lung Foundation Australia</w:t>
      </w:r>
      <w:r>
        <w:t>’s and Thoracic Society of Australia and New Zealand’s</w:t>
      </w:r>
      <w:r w:rsidRPr="00446545">
        <w:t xml:space="preserve"> COPD-X </w:t>
      </w:r>
      <w:r>
        <w:t xml:space="preserve">Plan </w:t>
      </w:r>
      <w:r w:rsidRPr="00446545">
        <w:t>(201</w:t>
      </w:r>
      <w:r>
        <w:t>6)</w:t>
      </w:r>
      <w:r w:rsidRPr="00446545">
        <w:t xml:space="preserve"> advise that properly performed spirometry is required to confirm airflow limitation and the diagnosis of asthma and/or COPD. Reversibility testing is the standard required for asthma diagnosis. The diagnosis of COPD is confirmed with post bronchodilator spirometry. Item 11506 should not be repeated when diagnosis has been previously confirmed by properly performed spirometry. To meet quality requirements patients should have three acceptable tests for each testing period (pre/post bronchodilator), and meet repeatability criteria with the best effort recorded. Spirometry should be performed by a person who has undergone training and is qualified to perform it to recommended standards (see Spirometry Handbook</w:t>
      </w:r>
      <w:r>
        <w:t>, National Asthma Council of Australia (</w:t>
      </w:r>
      <w:hyperlink r:id="rId48" w:history="1">
        <w:r w:rsidR="00631146" w:rsidRPr="00830C88">
          <w:rPr>
            <w:rStyle w:val="Hyperlink"/>
          </w:rPr>
          <w:t>https://www.nationalasthma.org.au/living-with-asthma/resources/health-professionals/information-paper/spirometry-handbook</w:t>
        </w:r>
      </w:hyperlink>
      <w:r w:rsidR="00631146">
        <w:t xml:space="preserve"> </w:t>
      </w:r>
      <w:r>
        <w:t>) and ATS/ERS Standardisation of spirometry paper (</w:t>
      </w:r>
      <w:hyperlink r:id="rId49" w:history="1">
        <w:r w:rsidRPr="00FB6B3F">
          <w:rPr>
            <w:rStyle w:val="Hyperlink"/>
          </w:rPr>
          <w:t>http://erj.ersjournals.com/content/erj/26/2/319.full.pdf</w:t>
        </w:r>
      </w:hyperlink>
      <w:r w:rsidRPr="00446545">
        <w:t>).</w:t>
      </w:r>
    </w:p>
    <w:p w14:paraId="7CBC8CB5" w14:textId="77777777" w:rsidR="005B4C1C" w:rsidRDefault="005B4C1C" w:rsidP="00455D79">
      <w:pPr>
        <w:rPr>
          <w:b/>
          <w:lang w:val="en-US"/>
        </w:rPr>
      </w:pPr>
    </w:p>
    <w:p w14:paraId="686EE806" w14:textId="77777777" w:rsidR="00455D79" w:rsidRDefault="00455D79" w:rsidP="00455D79">
      <w:pPr>
        <w:rPr>
          <w:b/>
          <w:lang w:val="en-US"/>
        </w:rPr>
      </w:pPr>
      <w:r w:rsidRPr="000C7487">
        <w:rPr>
          <w:b/>
          <w:lang w:val="en-US"/>
        </w:rPr>
        <w:t>FeNO item</w:t>
      </w:r>
      <w:r>
        <w:rPr>
          <w:b/>
          <w:lang w:val="en-US"/>
        </w:rPr>
        <w:t xml:space="preserve"> descriptor:</w:t>
      </w:r>
    </w:p>
    <w:p w14:paraId="01C81A28" w14:textId="77777777" w:rsidR="00455D79" w:rsidRPr="000C7487" w:rsidRDefault="00455D79" w:rsidP="00455D79">
      <w:pPr>
        <w:rPr>
          <w:lang w:val="en-US"/>
        </w:rPr>
      </w:pPr>
      <w:r w:rsidRPr="000C7487">
        <w:rPr>
          <w:lang w:val="en-US"/>
        </w:rPr>
        <w:t>Measurement of:</w:t>
      </w:r>
    </w:p>
    <w:p w14:paraId="74A01A30" w14:textId="77777777" w:rsidR="00455D79" w:rsidRPr="000C7487" w:rsidRDefault="00455D79" w:rsidP="00927463">
      <w:pPr>
        <w:pStyle w:val="NormalBulleteda"/>
        <w:numPr>
          <w:ilvl w:val="0"/>
          <w:numId w:val="71"/>
        </w:numPr>
        <w:ind w:left="454" w:hanging="454"/>
      </w:pPr>
      <w:r w:rsidRPr="000C7487">
        <w:t>spirometry including continuous measurement of the relationship between flow and volume during expiration or during expiration and inspiration, performed before and after inhalation of bronchodilator; and</w:t>
      </w:r>
    </w:p>
    <w:p w14:paraId="3D19A358" w14:textId="77777777" w:rsidR="00455D79" w:rsidRPr="0043399F" w:rsidRDefault="00455D79" w:rsidP="00927463">
      <w:pPr>
        <w:pStyle w:val="NormalBulleteda"/>
        <w:numPr>
          <w:ilvl w:val="0"/>
          <w:numId w:val="71"/>
        </w:numPr>
        <w:ind w:left="454" w:hanging="454"/>
      </w:pPr>
      <w:r w:rsidRPr="000C7487">
        <w:t>fr</w:t>
      </w:r>
      <w:r w:rsidRPr="0043399F">
        <w:t xml:space="preserve">actional exhaled nitric oxide (FeNO) concentration in exhaled breath </w:t>
      </w:r>
    </w:p>
    <w:p w14:paraId="1B9C33C6" w14:textId="77777777" w:rsidR="00455D79" w:rsidRPr="000C7487" w:rsidRDefault="00455D79" w:rsidP="00F52F5B">
      <w:pPr>
        <w:rPr>
          <w:lang w:val="en-US"/>
        </w:rPr>
      </w:pPr>
      <w:r w:rsidRPr="000C7487">
        <w:rPr>
          <w:lang w:val="en-US"/>
        </w:rPr>
        <w:t xml:space="preserve">The tests being performed under the supervision of a specialist or consultant physician or in the respiratory laboratory of a hospital, with continuous </w:t>
      </w:r>
      <w:r>
        <w:rPr>
          <w:lang w:val="en-US"/>
        </w:rPr>
        <w:t xml:space="preserve">respiratory scientist </w:t>
      </w:r>
      <w:r w:rsidRPr="000C7487">
        <w:rPr>
          <w:lang w:val="en-US"/>
        </w:rPr>
        <w:t xml:space="preserve">attendance in a respiratory laboratory equipped to perform complex lung function tests: </w:t>
      </w:r>
    </w:p>
    <w:p w14:paraId="527AED5F" w14:textId="77777777" w:rsidR="00455D79" w:rsidRPr="000C7487" w:rsidRDefault="00455D79" w:rsidP="00927463">
      <w:pPr>
        <w:pStyle w:val="NormalBulleteda"/>
        <w:numPr>
          <w:ilvl w:val="0"/>
          <w:numId w:val="71"/>
        </w:numPr>
        <w:ind w:left="454" w:hanging="454"/>
      </w:pPr>
      <w:r w:rsidRPr="000C7487">
        <w:t>a permanently recorded tracing and written report is provided</w:t>
      </w:r>
    </w:p>
    <w:p w14:paraId="50F1496D" w14:textId="77777777" w:rsidR="00455D79" w:rsidRPr="000C7487" w:rsidRDefault="00455D79" w:rsidP="00927463">
      <w:pPr>
        <w:pStyle w:val="NormalBulleteda"/>
        <w:numPr>
          <w:ilvl w:val="0"/>
          <w:numId w:val="71"/>
        </w:numPr>
        <w:ind w:left="454" w:hanging="454"/>
      </w:pPr>
      <w:r w:rsidRPr="000C7487">
        <w:t>three or more spirometry recordings are performed unless difficult to achieve for clinical reasons</w:t>
      </w:r>
    </w:p>
    <w:p w14:paraId="539AB45C" w14:textId="77777777" w:rsidR="00455D79" w:rsidRPr="00F52F5B" w:rsidRDefault="00455D79" w:rsidP="00927463">
      <w:pPr>
        <w:pStyle w:val="NormalBulleteda"/>
        <w:numPr>
          <w:ilvl w:val="0"/>
          <w:numId w:val="71"/>
        </w:numPr>
        <w:ind w:left="454" w:hanging="454"/>
      </w:pPr>
      <w:r w:rsidRPr="000C7487">
        <w:t>each occasion at which 1 or more such tests are performed, not being a service associated with a service to which items 11503, 11512 or 22018 applies.</w:t>
      </w:r>
    </w:p>
    <w:p w14:paraId="71061E7C" w14:textId="77777777" w:rsidR="00DD2A19" w:rsidRDefault="00087655" w:rsidP="00DD2A19">
      <w:pPr>
        <w:pBdr>
          <w:top w:val="single" w:sz="4" w:space="1" w:color="984806"/>
        </w:pBdr>
        <w:rPr>
          <w:b/>
          <w:bCs/>
          <w:szCs w:val="22"/>
          <w:lang w:val="en-US"/>
        </w:rPr>
      </w:pPr>
      <w:r>
        <w:rPr>
          <w:b/>
          <w:bCs/>
          <w:szCs w:val="22"/>
          <w:lang w:val="en-US"/>
        </w:rPr>
        <w:t>I</w:t>
      </w:r>
      <w:r w:rsidR="00DD2A19" w:rsidRPr="00F15D21">
        <w:rPr>
          <w:b/>
          <w:bCs/>
          <w:szCs w:val="22"/>
          <w:lang w:val="en-US"/>
        </w:rPr>
        <w:t xml:space="preserve">tem </w:t>
      </w:r>
      <w:r>
        <w:rPr>
          <w:b/>
          <w:bCs/>
          <w:szCs w:val="22"/>
          <w:lang w:val="en-US"/>
        </w:rPr>
        <w:t>11503</w:t>
      </w:r>
    </w:p>
    <w:p w14:paraId="12CC7EEC" w14:textId="77777777" w:rsidR="00DD2A19" w:rsidRPr="00CD545C" w:rsidRDefault="00DD2A19" w:rsidP="00DD2A19">
      <w:r w:rsidRPr="00CD545C">
        <w:t>Complex measurement of properties of the respiratory system including the lungs and respiratory muscles performed in a respiratory laboratory under the supervision of a specialist in Respiratory Medicine who is responsible for staff training, supervision, quality assurance and the issuing of written reports on tests performed. Tests for this service are:</w:t>
      </w:r>
    </w:p>
    <w:p w14:paraId="4A2DF196" w14:textId="77777777" w:rsidR="00DD2A19" w:rsidRPr="006A6284" w:rsidRDefault="00DD2A19" w:rsidP="00A278E5">
      <w:pPr>
        <w:pStyle w:val="NormalBulleteda"/>
        <w:numPr>
          <w:ilvl w:val="0"/>
          <w:numId w:val="78"/>
        </w:numPr>
        <w:tabs>
          <w:tab w:val="clear" w:pos="454"/>
        </w:tabs>
      </w:pPr>
      <w:r w:rsidRPr="006A6284">
        <w:t>Absolute lung volumes by any method</w:t>
      </w:r>
    </w:p>
    <w:p w14:paraId="5F99D6C4" w14:textId="77777777" w:rsidR="00DD2A19" w:rsidRDefault="00DD2A19" w:rsidP="00A278E5">
      <w:pPr>
        <w:pStyle w:val="NormalBulleteda"/>
        <w:numPr>
          <w:ilvl w:val="0"/>
          <w:numId w:val="78"/>
        </w:numPr>
        <w:tabs>
          <w:tab w:val="clear" w:pos="454"/>
        </w:tabs>
        <w:ind w:left="426" w:hanging="426"/>
      </w:pPr>
      <w:r w:rsidRPr="006A6284">
        <w:t>Carbon monoxide</w:t>
      </w:r>
      <w:r w:rsidRPr="009936F3">
        <w:t xml:space="preserve"> diffusing capacity by any method</w:t>
      </w:r>
    </w:p>
    <w:p w14:paraId="2BD0FDCA" w14:textId="77777777" w:rsidR="00DD2A19" w:rsidRDefault="00DD2A19" w:rsidP="00A278E5">
      <w:pPr>
        <w:pStyle w:val="NormalBulleteda"/>
        <w:numPr>
          <w:ilvl w:val="0"/>
          <w:numId w:val="78"/>
        </w:numPr>
        <w:tabs>
          <w:tab w:val="clear" w:pos="454"/>
        </w:tabs>
        <w:ind w:left="426" w:hanging="426"/>
      </w:pPr>
      <w:r w:rsidRPr="009936F3">
        <w:t>Measurement of airway or pulmonary resistance by any method</w:t>
      </w:r>
    </w:p>
    <w:p w14:paraId="0BA4E708" w14:textId="77777777" w:rsidR="00DD2A19" w:rsidRDefault="00DD2A19" w:rsidP="00A278E5">
      <w:pPr>
        <w:pStyle w:val="NormalBulleteda"/>
        <w:numPr>
          <w:ilvl w:val="0"/>
          <w:numId w:val="78"/>
        </w:numPr>
        <w:tabs>
          <w:tab w:val="clear" w:pos="454"/>
        </w:tabs>
        <w:ind w:left="426" w:hanging="426"/>
      </w:pPr>
      <w:r w:rsidRPr="009936F3">
        <w:t>Inhalation provocation testing, including pre-provocation spirometry, the construction of a dose response curve, using recognised direct or indirect bronchoprovocation agent and post-bronchodilator spirometry</w:t>
      </w:r>
    </w:p>
    <w:p w14:paraId="503FDDAB" w14:textId="77777777" w:rsidR="00DD2A19" w:rsidRDefault="00DD2A19" w:rsidP="00A278E5">
      <w:pPr>
        <w:pStyle w:val="NormalBulleteda"/>
        <w:numPr>
          <w:ilvl w:val="0"/>
          <w:numId w:val="78"/>
        </w:numPr>
        <w:tabs>
          <w:tab w:val="clear" w:pos="454"/>
        </w:tabs>
        <w:ind w:left="426" w:hanging="426"/>
      </w:pPr>
      <w:r w:rsidRPr="009936F3">
        <w:t xml:space="preserve">Provocation testing involving sequential measurement of lung function at baseline and after exposure to specific sensitising agents, including drugs, or occupational asthma triggers </w:t>
      </w:r>
    </w:p>
    <w:p w14:paraId="3D27D911" w14:textId="77777777" w:rsidR="00DD2A19" w:rsidRDefault="00DD2A19" w:rsidP="00A278E5">
      <w:pPr>
        <w:pStyle w:val="NormalBulleteda"/>
        <w:numPr>
          <w:ilvl w:val="0"/>
          <w:numId w:val="78"/>
        </w:numPr>
        <w:tabs>
          <w:tab w:val="clear" w:pos="454"/>
        </w:tabs>
        <w:ind w:left="426" w:hanging="426"/>
      </w:pPr>
      <w:r w:rsidRPr="009936F3">
        <w:t>Spirometry performed before and after simple exercise testing undertaken as a provocation test for the investigation of asthma, in premises equipped with resuscitation equipment and personnel trained in Advanced Life Support</w:t>
      </w:r>
    </w:p>
    <w:p w14:paraId="3CBF22E3" w14:textId="77777777" w:rsidR="00DD2A19" w:rsidRDefault="00DD2A19" w:rsidP="00A278E5">
      <w:pPr>
        <w:pStyle w:val="NormalBulleteda"/>
        <w:numPr>
          <w:ilvl w:val="0"/>
          <w:numId w:val="78"/>
        </w:numPr>
        <w:tabs>
          <w:tab w:val="clear" w:pos="454"/>
        </w:tabs>
        <w:ind w:left="426" w:hanging="426"/>
      </w:pPr>
      <w:r w:rsidRPr="009936F3">
        <w:t>Measurement of the strength of inspiratory and expiratory muscles at multiple lung volumes</w:t>
      </w:r>
    </w:p>
    <w:p w14:paraId="0BAA43C5" w14:textId="77777777" w:rsidR="00DD2A19" w:rsidRDefault="00DD2A19" w:rsidP="00A278E5">
      <w:pPr>
        <w:pStyle w:val="NormalBulleteda"/>
        <w:numPr>
          <w:ilvl w:val="0"/>
          <w:numId w:val="78"/>
        </w:numPr>
        <w:tabs>
          <w:tab w:val="clear" w:pos="454"/>
        </w:tabs>
        <w:ind w:left="426" w:hanging="426"/>
      </w:pPr>
      <w:r w:rsidRPr="009936F3">
        <w:t>Simulated altitude test involving exposure to hypoxic gas mixtures and oxygen saturation at rest and/or during exercise with or without an observation of the effect of supplemental oxygen</w:t>
      </w:r>
    </w:p>
    <w:p w14:paraId="1DF6A639" w14:textId="77777777" w:rsidR="00A278E5" w:rsidRDefault="00A278E5" w:rsidP="00A278E5">
      <w:pPr>
        <w:pStyle w:val="NormalBulleteda"/>
        <w:numPr>
          <w:ilvl w:val="0"/>
          <w:numId w:val="78"/>
        </w:numPr>
        <w:tabs>
          <w:tab w:val="clear" w:pos="454"/>
        </w:tabs>
        <w:ind w:left="426" w:hanging="426"/>
      </w:pPr>
      <w:r>
        <w:lastRenderedPageBreak/>
        <w:t xml:space="preserve">Calculation of pulmonary or cardiac shunt by measurement of arterial oxygen partial </w:t>
      </w:r>
      <w:r w:rsidR="008721B9">
        <w:t xml:space="preserve">pressure and haemoglobin </w:t>
      </w:r>
      <w:r>
        <w:t xml:space="preserve">concentration </w:t>
      </w:r>
      <w:r w:rsidR="008721B9">
        <w:t xml:space="preserve">following the breathing of an inspired oxygen concentration </w:t>
      </w:r>
      <w:r>
        <w:t xml:space="preserve">of 100% </w:t>
      </w:r>
      <w:r w:rsidR="00224B50">
        <w:t>for a duration of 15 minutes or greater.</w:t>
      </w:r>
    </w:p>
    <w:p w14:paraId="1A53A164" w14:textId="77777777" w:rsidR="00DD2A19" w:rsidRPr="009936F3" w:rsidRDefault="00DD2A19" w:rsidP="00A278E5">
      <w:pPr>
        <w:pStyle w:val="NormalBulleteda"/>
        <w:numPr>
          <w:ilvl w:val="0"/>
          <w:numId w:val="78"/>
        </w:numPr>
        <w:tabs>
          <w:tab w:val="clear" w:pos="454"/>
        </w:tabs>
        <w:ind w:left="426" w:hanging="426"/>
      </w:pPr>
      <w:r w:rsidRPr="009936F3">
        <w:t>Six minute walk test for the purpose of determining eligibility for medications subsidised under the Pharmaceutical Benefits Scheme or eligibility for the provision of portable oxygen</w:t>
      </w:r>
    </w:p>
    <w:p w14:paraId="15633426" w14:textId="77777777" w:rsidR="00DD2A19" w:rsidRPr="009936F3" w:rsidRDefault="00DD2A19" w:rsidP="00DD2A19">
      <w:r w:rsidRPr="009936F3">
        <w:t xml:space="preserve">Each occasion at which one or more tests are performed and not to be claimed with spirometry and sleep study items (numbers to be inserted) </w:t>
      </w:r>
    </w:p>
    <w:p w14:paraId="19D45FD6" w14:textId="77777777" w:rsidR="00DD2A19" w:rsidRDefault="00DD2A19" w:rsidP="00DD2A19">
      <w:r w:rsidRPr="009936F3">
        <w:rPr>
          <w:b/>
        </w:rPr>
        <w:t>Fee</w:t>
      </w:r>
      <w:r w:rsidRPr="00CD545C">
        <w:t>: $138.65</w:t>
      </w:r>
      <w:r>
        <w:t xml:space="preserve"> </w:t>
      </w:r>
    </w:p>
    <w:p w14:paraId="036D59E8" w14:textId="77777777" w:rsidR="00DD2A19" w:rsidRDefault="00DD2A19" w:rsidP="00DD2A19">
      <w:pPr>
        <w:rPr>
          <w:b/>
          <w:lang w:val="en-US"/>
        </w:rPr>
      </w:pPr>
      <w:r w:rsidRPr="00CD545C">
        <w:rPr>
          <w:b/>
        </w:rPr>
        <w:t>Benefit</w:t>
      </w:r>
      <w:r w:rsidRPr="00CD545C">
        <w:t>: 75% = $104</w:t>
      </w:r>
      <w:r>
        <w:t xml:space="preserve">; </w:t>
      </w:r>
      <w:r w:rsidRPr="00CD545C">
        <w:t>85% = $117.90</w:t>
      </w:r>
    </w:p>
    <w:p w14:paraId="151EBF7F" w14:textId="77777777" w:rsidR="00455D79" w:rsidRPr="00446545" w:rsidRDefault="00455D79" w:rsidP="00455D79">
      <w:pPr>
        <w:rPr>
          <w:b/>
        </w:rPr>
      </w:pPr>
      <w:r>
        <w:rPr>
          <w:b/>
          <w:lang w:val="en-US"/>
        </w:rPr>
        <w:t>E</w:t>
      </w:r>
      <w:r w:rsidRPr="00446545">
        <w:rPr>
          <w:b/>
          <w:lang w:val="en-US"/>
        </w:rPr>
        <w:t>xplanatory notes</w:t>
      </w:r>
      <w:r w:rsidRPr="00446545" w:rsidDel="009936F3">
        <w:rPr>
          <w:b/>
        </w:rPr>
        <w:t xml:space="preserve"> </w:t>
      </w:r>
      <w:r w:rsidRPr="00446545">
        <w:rPr>
          <w:b/>
        </w:rPr>
        <w:t>for item 11503</w:t>
      </w:r>
    </w:p>
    <w:p w14:paraId="57A5370A" w14:textId="77777777" w:rsidR="00455D79" w:rsidRDefault="00455D79" w:rsidP="00455D79">
      <w:r w:rsidRPr="00446545">
        <w:t xml:space="preserve">Fractional exhaled nitric oxide (FeNO) testing cannot be claimed under MBS item 11503. </w:t>
      </w:r>
    </w:p>
    <w:p w14:paraId="783D548B" w14:textId="77777777" w:rsidR="00455D79" w:rsidRDefault="00455D79" w:rsidP="00455D79">
      <w:r w:rsidRPr="00446545">
        <w:t>When laboratory based spirometry (item 11512) is performed on the same day as a test approved under item 11503, then 11503 should be claimed. When spirometry is the only laboratory test performed then 11512 should be claimed.</w:t>
      </w:r>
    </w:p>
    <w:p w14:paraId="63E1577F" w14:textId="77777777" w:rsidR="00455D79" w:rsidRDefault="00455D79" w:rsidP="00455D79">
      <w:r w:rsidRPr="00446545">
        <w:t>Maximum inspiratory and expiratory flow-volume loop testing for the purpose of diagnosing central airways obstruction is to be performed under MBS item 11512 not 11503.</w:t>
      </w:r>
    </w:p>
    <w:p w14:paraId="56E69ED8" w14:textId="77777777" w:rsidR="00455D79" w:rsidRDefault="00455D79" w:rsidP="00455D79">
      <w:r>
        <w:t>Item 11503 is not for the purpose of investigation of sleep disorders. Polygraphic data obtained as part of a sleep study item in the range 12203 to 12250 cannot be used for the purpose of claiming item 11503.</w:t>
      </w:r>
    </w:p>
    <w:p w14:paraId="68689A09" w14:textId="77777777" w:rsidR="00645E00" w:rsidRDefault="00D647C2" w:rsidP="00455D79">
      <w:pPr>
        <w:rPr>
          <w:b/>
        </w:rPr>
      </w:pPr>
      <w:r>
        <w:rPr>
          <w:b/>
        </w:rPr>
        <w:t>G.6.</w:t>
      </w:r>
      <w:r w:rsidR="00C916EF">
        <w:rPr>
          <w:b/>
        </w:rPr>
        <w:t>1(b)</w:t>
      </w:r>
      <w:r>
        <w:rPr>
          <w:b/>
        </w:rPr>
        <w:t xml:space="preserve"> </w:t>
      </w:r>
      <w:r w:rsidR="00645E00">
        <w:rPr>
          <w:b/>
        </w:rPr>
        <w:t>Investigation of sleep disorders</w:t>
      </w:r>
    </w:p>
    <w:p w14:paraId="0FEA35BF" w14:textId="77777777" w:rsidR="00455D79" w:rsidRDefault="00455D79" w:rsidP="00455D79">
      <w:pPr>
        <w:rPr>
          <w:b/>
        </w:rPr>
      </w:pPr>
      <w:r w:rsidRPr="000C7487">
        <w:rPr>
          <w:b/>
        </w:rPr>
        <w:t>Item 12203</w:t>
      </w:r>
      <w:r>
        <w:rPr>
          <w:b/>
        </w:rPr>
        <w:t xml:space="preserve"> descriptor:</w:t>
      </w:r>
    </w:p>
    <w:p w14:paraId="271C9823" w14:textId="77777777" w:rsidR="00455D79" w:rsidRPr="009A33AA" w:rsidRDefault="00455D79" w:rsidP="00455D79">
      <w:r w:rsidRPr="009A33AA">
        <w:t>Overnight diagnostic assessment of sleep for a period of at least 8 hours duration in an adult aged 18 years and over to confirm diagnosis of a sleep disorder where:</w:t>
      </w:r>
    </w:p>
    <w:p w14:paraId="0F052F97" w14:textId="77777777" w:rsidR="00455D79" w:rsidRPr="009A33AA" w:rsidRDefault="00455D79" w:rsidP="00927463">
      <w:pPr>
        <w:numPr>
          <w:ilvl w:val="0"/>
          <w:numId w:val="72"/>
        </w:numPr>
        <w:spacing w:before="0" w:after="0" w:line="240" w:lineRule="auto"/>
      </w:pPr>
      <w:r w:rsidRPr="0056070F">
        <w:rPr>
          <w:szCs w:val="22"/>
          <w:lang w:eastAsia="en-US"/>
        </w:rPr>
        <w:t>the</w:t>
      </w:r>
      <w:r w:rsidRPr="00A771C1">
        <w:rPr>
          <w:szCs w:val="22"/>
        </w:rPr>
        <w:t xml:space="preserve"> </w:t>
      </w:r>
      <w:r w:rsidRPr="009A33AA">
        <w:t xml:space="preserve">patient has been referred by a medical practitioner to a qualified adult sleep medicine practitioner or a consultant respiratory physician who has determined that the patient has a high probability for symptomatic, moderate to severe obstructive sleep apnoea </w:t>
      </w:r>
      <w:r>
        <w:t>based on</w:t>
      </w:r>
      <w:r w:rsidRPr="009A33AA">
        <w:t>:</w:t>
      </w:r>
    </w:p>
    <w:p w14:paraId="54FF6229" w14:textId="77777777" w:rsidR="00455D79" w:rsidRPr="009A33AA" w:rsidRDefault="00455D79" w:rsidP="00DB0EC4">
      <w:pPr>
        <w:ind w:left="360"/>
      </w:pPr>
      <w:r w:rsidRPr="009A33AA">
        <w:t>(i)</w:t>
      </w:r>
      <w:r w:rsidRPr="009A33AA">
        <w:tab/>
        <w:t>one of the following</w:t>
      </w:r>
    </w:p>
    <w:p w14:paraId="6465A279" w14:textId="77777777" w:rsidR="00455D79" w:rsidRPr="009A33AA" w:rsidRDefault="00455D79" w:rsidP="00927463">
      <w:pPr>
        <w:numPr>
          <w:ilvl w:val="0"/>
          <w:numId w:val="68"/>
        </w:numPr>
        <w:spacing w:before="0" w:after="0" w:line="240" w:lineRule="auto"/>
      </w:pPr>
      <w:r w:rsidRPr="009A33AA">
        <w:t xml:space="preserve">a STOP-BANG score of </w:t>
      </w:r>
      <w:r>
        <w:t>4</w:t>
      </w:r>
      <w:r w:rsidRPr="009A33AA">
        <w:t xml:space="preserve"> or more; or </w:t>
      </w:r>
    </w:p>
    <w:p w14:paraId="2A16E528" w14:textId="77777777" w:rsidR="00455D79" w:rsidRPr="009A33AA" w:rsidRDefault="00455D79" w:rsidP="00927463">
      <w:pPr>
        <w:numPr>
          <w:ilvl w:val="0"/>
          <w:numId w:val="68"/>
        </w:numPr>
        <w:spacing w:before="0" w:after="0" w:line="240" w:lineRule="auto"/>
      </w:pPr>
      <w:r w:rsidRPr="009A33AA">
        <w:t xml:space="preserve">an OSA-50 score of 5 or more; or </w:t>
      </w:r>
    </w:p>
    <w:p w14:paraId="4B620A45" w14:textId="77777777" w:rsidR="00455D79" w:rsidRDefault="00455D79" w:rsidP="00927463">
      <w:pPr>
        <w:numPr>
          <w:ilvl w:val="0"/>
          <w:numId w:val="68"/>
        </w:numPr>
        <w:spacing w:before="0" w:after="0" w:line="240" w:lineRule="auto"/>
      </w:pPr>
      <w:r w:rsidRPr="009A33AA">
        <w:t>a high risk score on the Berlin Questionnaire</w:t>
      </w:r>
      <w:r>
        <w:t>; and</w:t>
      </w:r>
    </w:p>
    <w:p w14:paraId="0B30D1A3" w14:textId="77777777" w:rsidR="00455D79" w:rsidRPr="009A33AA" w:rsidRDefault="00455D79" w:rsidP="00927463">
      <w:pPr>
        <w:numPr>
          <w:ilvl w:val="0"/>
          <w:numId w:val="68"/>
        </w:numPr>
        <w:spacing w:before="0" w:after="0" w:line="240" w:lineRule="auto"/>
      </w:pPr>
      <w:r w:rsidRPr="009A33AA">
        <w:t>an Epworth Sleepiness Scale score of 8 or more;</w:t>
      </w:r>
    </w:p>
    <w:p w14:paraId="6AE70226" w14:textId="77777777" w:rsidR="00455D79" w:rsidRPr="009A33AA" w:rsidRDefault="00455D79" w:rsidP="00455D79">
      <w:r w:rsidRPr="009A33AA">
        <w:t xml:space="preserve">OR </w:t>
      </w:r>
    </w:p>
    <w:p w14:paraId="3B4A64E4" w14:textId="77777777" w:rsidR="00455D79" w:rsidRPr="0056070F" w:rsidRDefault="00455D79" w:rsidP="00927463">
      <w:pPr>
        <w:numPr>
          <w:ilvl w:val="0"/>
          <w:numId w:val="72"/>
        </w:numPr>
        <w:spacing w:before="0" w:after="0" w:line="240" w:lineRule="auto"/>
        <w:rPr>
          <w:szCs w:val="22"/>
          <w:lang w:eastAsia="en-US"/>
        </w:rPr>
      </w:pPr>
      <w:r w:rsidRPr="0056070F">
        <w:rPr>
          <w:szCs w:val="22"/>
          <w:lang w:eastAsia="en-US"/>
        </w:rPr>
        <w:t xml:space="preserve">Following personal attendance, a qualified adult sleep medicine practitioner or a consultant respiratory physician determines that testing to confirm the diagnosis of a sleep disorder is necessary, </w:t>
      </w:r>
    </w:p>
    <w:p w14:paraId="300D46B0" w14:textId="77777777" w:rsidR="00455D79" w:rsidRPr="0056070F" w:rsidRDefault="00455D79" w:rsidP="00455D79">
      <w:pPr>
        <w:rPr>
          <w:szCs w:val="22"/>
        </w:rPr>
      </w:pPr>
      <w:r w:rsidRPr="0056070F">
        <w:rPr>
          <w:szCs w:val="22"/>
        </w:rPr>
        <w:t xml:space="preserve">AND </w:t>
      </w:r>
    </w:p>
    <w:p w14:paraId="085D88D6" w14:textId="77777777" w:rsidR="00455D79" w:rsidRPr="0056070F" w:rsidRDefault="00455D79" w:rsidP="00927463">
      <w:pPr>
        <w:numPr>
          <w:ilvl w:val="0"/>
          <w:numId w:val="72"/>
        </w:numPr>
        <w:spacing w:before="0" w:after="0" w:line="240" w:lineRule="auto"/>
        <w:rPr>
          <w:szCs w:val="22"/>
          <w:lang w:eastAsia="en-US"/>
        </w:rPr>
      </w:pPr>
      <w:r w:rsidRPr="0056070F">
        <w:rPr>
          <w:szCs w:val="22"/>
          <w:lang w:eastAsia="en-US"/>
        </w:rPr>
        <w:lastRenderedPageBreak/>
        <w:t>the overnight investigation is performed for:</w:t>
      </w:r>
    </w:p>
    <w:p w14:paraId="07572461" w14:textId="77777777" w:rsidR="00455D79" w:rsidRPr="009A33AA" w:rsidRDefault="00455D79" w:rsidP="00DE03DD">
      <w:pPr>
        <w:ind w:left="360"/>
      </w:pPr>
      <w:r w:rsidRPr="009A33AA">
        <w:t>(</w:t>
      </w:r>
      <w:r>
        <w:t>i</w:t>
      </w:r>
      <w:r w:rsidRPr="009A33AA">
        <w:t>)</w:t>
      </w:r>
      <w:r w:rsidRPr="009A33AA">
        <w:tab/>
        <w:t>suspected obstructive sleep apnoea syndrome where the patient is assessed as not suitable for an unattended sleep study or</w:t>
      </w:r>
    </w:p>
    <w:p w14:paraId="351B5E47" w14:textId="77777777" w:rsidR="00455D79" w:rsidRPr="009A33AA" w:rsidRDefault="00455D79" w:rsidP="00DE03DD">
      <w:pPr>
        <w:ind w:left="360"/>
      </w:pPr>
      <w:r w:rsidRPr="009A33AA">
        <w:t>(i</w:t>
      </w:r>
      <w:r>
        <w:t>i</w:t>
      </w:r>
      <w:r w:rsidRPr="009A33AA">
        <w:t>)</w:t>
      </w:r>
      <w:r w:rsidRPr="009A33AA">
        <w:tab/>
        <w:t>suspected central sleep apnoea syndrome; or</w:t>
      </w:r>
    </w:p>
    <w:p w14:paraId="75FC96BE" w14:textId="77777777" w:rsidR="00455D79" w:rsidRPr="009A33AA" w:rsidRDefault="00455D79" w:rsidP="00DE03DD">
      <w:pPr>
        <w:ind w:left="360"/>
      </w:pPr>
      <w:r w:rsidRPr="009A33AA">
        <w:t>(</w:t>
      </w:r>
      <w:r>
        <w:t>iii</w:t>
      </w:r>
      <w:r w:rsidRPr="009A33AA">
        <w:t>)</w:t>
      </w:r>
      <w:r w:rsidRPr="009A33AA">
        <w:tab/>
        <w:t>suspected sleep hypoventilation syndrome; or</w:t>
      </w:r>
    </w:p>
    <w:p w14:paraId="762FE5C4" w14:textId="77777777" w:rsidR="00455D79" w:rsidRPr="009A33AA" w:rsidRDefault="00455D79" w:rsidP="00DE03DD">
      <w:pPr>
        <w:ind w:left="360"/>
      </w:pPr>
      <w:r w:rsidRPr="009A33AA">
        <w:t>(</w:t>
      </w:r>
      <w:r>
        <w:t>i</w:t>
      </w:r>
      <w:r w:rsidRPr="009A33AA">
        <w:t>v)</w:t>
      </w:r>
      <w:r w:rsidRPr="009A33AA">
        <w:tab/>
        <w:t>suspected sleep-related breathing disorders in association with non-respiratory co-morbid conditions including heart failure, significant cardiac arrhythmias, neurological disease, acromegaly or hypothyroidism; or</w:t>
      </w:r>
    </w:p>
    <w:p w14:paraId="268E7C07" w14:textId="77777777" w:rsidR="00455D79" w:rsidRPr="009A33AA" w:rsidRDefault="00455D79" w:rsidP="00DE03DD">
      <w:pPr>
        <w:ind w:left="360"/>
      </w:pPr>
      <w:r w:rsidRPr="009A33AA">
        <w:t>(vi)</w:t>
      </w:r>
      <w:r w:rsidRPr="009A33AA">
        <w:tab/>
        <w:t>unexplained hypersomnolence which is not attributed to inadequate sleep hygiene or environmental factors; or</w:t>
      </w:r>
    </w:p>
    <w:p w14:paraId="4338DAB4" w14:textId="77777777" w:rsidR="00455D79" w:rsidRPr="009A33AA" w:rsidRDefault="00455D79" w:rsidP="00DE03DD">
      <w:pPr>
        <w:ind w:left="360"/>
      </w:pPr>
      <w:r w:rsidRPr="009A33AA">
        <w:t>(vii)</w:t>
      </w:r>
      <w:r w:rsidR="00DE03DD">
        <w:t xml:space="preserve"> </w:t>
      </w:r>
      <w:r w:rsidRPr="009A33AA">
        <w:t>suspected parasomnia or seizure disorder where clinical diagnosis cannot be established on clinical features alone (including associated atypical features, vigilance behaviours or failure to respond to conventional therapy); or</w:t>
      </w:r>
    </w:p>
    <w:p w14:paraId="772B1423" w14:textId="77777777" w:rsidR="00455D79" w:rsidRPr="009A33AA" w:rsidRDefault="00455D79" w:rsidP="00DE03DD">
      <w:pPr>
        <w:ind w:left="360"/>
      </w:pPr>
      <w:r w:rsidRPr="009A33AA">
        <w:t>(</w:t>
      </w:r>
      <w:r>
        <w:t>viii</w:t>
      </w:r>
      <w:r w:rsidR="00DE03DD">
        <w:t xml:space="preserve">) </w:t>
      </w:r>
      <w:r w:rsidRPr="009A33AA">
        <w:t xml:space="preserve">suspected sleep related movement disorder, where the diagnosis of restless legs syndrome is not evident on clinical assessment; </w:t>
      </w:r>
    </w:p>
    <w:p w14:paraId="4AB0805F" w14:textId="77777777" w:rsidR="00455D79" w:rsidRPr="009A33AA" w:rsidRDefault="00455D79" w:rsidP="00455D79">
      <w:r w:rsidRPr="009A33AA">
        <w:t xml:space="preserve">AND </w:t>
      </w:r>
    </w:p>
    <w:p w14:paraId="70398783" w14:textId="77777777" w:rsidR="00455D79" w:rsidRPr="00C5212E" w:rsidRDefault="00455D79" w:rsidP="00927463">
      <w:pPr>
        <w:numPr>
          <w:ilvl w:val="0"/>
          <w:numId w:val="72"/>
        </w:numPr>
        <w:spacing w:before="0" w:after="0" w:line="240" w:lineRule="auto"/>
        <w:rPr>
          <w:szCs w:val="20"/>
        </w:rPr>
      </w:pPr>
      <w:r w:rsidRPr="00C5212E">
        <w:rPr>
          <w:szCs w:val="20"/>
        </w:rPr>
        <w:t xml:space="preserve">a sleep scientist is in continuous attendance under the supervision of a qualified sleep medicine practitioner; </w:t>
      </w:r>
    </w:p>
    <w:p w14:paraId="6A10A5F9" w14:textId="77777777" w:rsidR="00455D79" w:rsidRPr="009A33AA" w:rsidRDefault="00455D79" w:rsidP="00455D79">
      <w:r w:rsidRPr="009A33AA">
        <w:t>AND</w:t>
      </w:r>
    </w:p>
    <w:p w14:paraId="1BBC2530" w14:textId="77777777" w:rsidR="00455D79" w:rsidRPr="00C5212E" w:rsidRDefault="00455D79" w:rsidP="00927463">
      <w:pPr>
        <w:numPr>
          <w:ilvl w:val="0"/>
          <w:numId w:val="72"/>
        </w:numPr>
        <w:spacing w:before="0" w:after="0" w:line="240" w:lineRule="auto"/>
        <w:rPr>
          <w:szCs w:val="20"/>
        </w:rPr>
      </w:pPr>
      <w:r w:rsidRPr="00C5212E">
        <w:rPr>
          <w:szCs w:val="20"/>
        </w:rPr>
        <w:t>continuous monitoring and recording of the following studies which are to be performed in accordance with current Australasian Sleep Association guidelines for the performance of Type I sleep studies:</w:t>
      </w:r>
    </w:p>
    <w:p w14:paraId="1BEB7336" w14:textId="77777777" w:rsidR="00455D79" w:rsidRPr="009A33AA" w:rsidRDefault="00455D79" w:rsidP="00DE03DD">
      <w:pPr>
        <w:ind w:left="360"/>
      </w:pPr>
      <w:r w:rsidRPr="009A33AA">
        <w:t>(i)</w:t>
      </w:r>
      <w:r w:rsidRPr="009A33AA">
        <w:tab/>
        <w:t>airflow;</w:t>
      </w:r>
    </w:p>
    <w:p w14:paraId="32AFB11D" w14:textId="77777777" w:rsidR="00455D79" w:rsidRPr="009A33AA" w:rsidRDefault="00455D79" w:rsidP="00DE03DD">
      <w:pPr>
        <w:ind w:left="360"/>
      </w:pPr>
      <w:r w:rsidRPr="009A33AA">
        <w:t>(ii)</w:t>
      </w:r>
      <w:r w:rsidRPr="009A33AA">
        <w:tab/>
        <w:t>submental electro-myogram (EMG);</w:t>
      </w:r>
    </w:p>
    <w:p w14:paraId="192A7EDA" w14:textId="77777777" w:rsidR="00455D79" w:rsidRPr="009A33AA" w:rsidRDefault="00455D79" w:rsidP="00DE03DD">
      <w:pPr>
        <w:ind w:left="360"/>
      </w:pPr>
      <w:r w:rsidRPr="009A33AA">
        <w:t>(iii)</w:t>
      </w:r>
      <w:r w:rsidRPr="009A33AA">
        <w:tab/>
        <w:t>anterior tibial electro-myogram (EMG);</w:t>
      </w:r>
    </w:p>
    <w:p w14:paraId="0E513875" w14:textId="77777777" w:rsidR="00455D79" w:rsidRPr="009A33AA" w:rsidRDefault="00455D79" w:rsidP="00DE03DD">
      <w:pPr>
        <w:ind w:left="360"/>
      </w:pPr>
      <w:r w:rsidRPr="009A33AA">
        <w:t>(iv)</w:t>
      </w:r>
      <w:r w:rsidRPr="009A33AA">
        <w:tab/>
        <w:t>continuous electro-cardiogram (ECG);</w:t>
      </w:r>
    </w:p>
    <w:p w14:paraId="5CEF8A03" w14:textId="77777777" w:rsidR="00455D79" w:rsidRPr="009A33AA" w:rsidRDefault="00455D79" w:rsidP="00DE03DD">
      <w:pPr>
        <w:ind w:left="360"/>
      </w:pPr>
      <w:r w:rsidRPr="009A33AA">
        <w:t>(v)</w:t>
      </w:r>
      <w:r w:rsidRPr="009A33AA">
        <w:tab/>
        <w:t>continuous electro-encephalogram (EEG);</w:t>
      </w:r>
    </w:p>
    <w:p w14:paraId="6C8E870E" w14:textId="77777777" w:rsidR="00455D79" w:rsidRPr="009A33AA" w:rsidRDefault="00455D79" w:rsidP="00DE03DD">
      <w:pPr>
        <w:ind w:left="360"/>
      </w:pPr>
      <w:r w:rsidRPr="009A33AA">
        <w:t>(vi)</w:t>
      </w:r>
      <w:r w:rsidRPr="009A33AA">
        <w:tab/>
        <w:t>electro-oculogram (EOG);</w:t>
      </w:r>
    </w:p>
    <w:p w14:paraId="32E0087E" w14:textId="77777777" w:rsidR="00455D79" w:rsidRPr="009A33AA" w:rsidRDefault="00455D79" w:rsidP="00DE03DD">
      <w:pPr>
        <w:ind w:left="360"/>
      </w:pPr>
      <w:r w:rsidRPr="009A33AA">
        <w:t>(vii)</w:t>
      </w:r>
      <w:r w:rsidRPr="009A33AA">
        <w:tab/>
        <w:t>oxygen saturation;</w:t>
      </w:r>
    </w:p>
    <w:p w14:paraId="57B28C89" w14:textId="77777777" w:rsidR="00455D79" w:rsidRPr="009A33AA" w:rsidRDefault="00DE03DD" w:rsidP="00DE03DD">
      <w:pPr>
        <w:ind w:left="360"/>
      </w:pPr>
      <w:r>
        <w:t xml:space="preserve">(viii) </w:t>
      </w:r>
      <w:r w:rsidR="00455D79" w:rsidRPr="009A33AA">
        <w:t>respiratory movement (chest and abdomen);</w:t>
      </w:r>
    </w:p>
    <w:p w14:paraId="77C63789" w14:textId="77777777" w:rsidR="00455D79" w:rsidRPr="009A33AA" w:rsidRDefault="00455D79" w:rsidP="00DE03DD">
      <w:pPr>
        <w:ind w:left="360"/>
      </w:pPr>
      <w:r w:rsidRPr="009A33AA">
        <w:t>(ix)</w:t>
      </w:r>
      <w:r w:rsidRPr="009A33AA">
        <w:tab/>
        <w:t xml:space="preserve">position; </w:t>
      </w:r>
    </w:p>
    <w:p w14:paraId="0A4D85D3" w14:textId="77777777" w:rsidR="00455D79" w:rsidRPr="009A33AA" w:rsidRDefault="00455D79" w:rsidP="00455D79">
      <w:r w:rsidRPr="009A33AA">
        <w:t xml:space="preserve">AND </w:t>
      </w:r>
    </w:p>
    <w:p w14:paraId="5B13974A" w14:textId="77777777" w:rsidR="00455D79" w:rsidRPr="009A33AA" w:rsidRDefault="00455D79" w:rsidP="00927463">
      <w:pPr>
        <w:numPr>
          <w:ilvl w:val="0"/>
          <w:numId w:val="72"/>
        </w:numPr>
        <w:spacing w:before="0" w:after="0" w:line="240" w:lineRule="auto"/>
      </w:pPr>
      <w:r w:rsidRPr="009A33AA">
        <w:lastRenderedPageBreak/>
        <w:t xml:space="preserve">polygraphic records are analysed (for assessment of sleep stage, arousals, respiratory events, cardiac abnormalities and limb movements) with manual scoring, or manual correction of computerised scoring in epochs of not more than 1 minute, and stored for interpretation and preparation of report; </w:t>
      </w:r>
    </w:p>
    <w:p w14:paraId="199FCF19" w14:textId="77777777" w:rsidR="00455D79" w:rsidRPr="009A33AA" w:rsidRDefault="00455D79" w:rsidP="00455D79">
      <w:r w:rsidRPr="009A33AA">
        <w:t>AND</w:t>
      </w:r>
    </w:p>
    <w:p w14:paraId="22D8A410" w14:textId="77777777" w:rsidR="00455D79" w:rsidRPr="009A33AA" w:rsidRDefault="00455D79" w:rsidP="00927463">
      <w:pPr>
        <w:numPr>
          <w:ilvl w:val="0"/>
          <w:numId w:val="72"/>
        </w:numPr>
        <w:spacing w:before="0" w:after="0" w:line="240" w:lineRule="auto"/>
      </w:pPr>
      <w:r w:rsidRPr="009A33AA">
        <w:t>interpretation and preparation of a permanent report is provided by a qualified adult sleep medicine practitioner with direct review of raw data from the original recording of polygraphic data from the patient.</w:t>
      </w:r>
    </w:p>
    <w:p w14:paraId="6C1AB335" w14:textId="77777777" w:rsidR="00455D79" w:rsidRPr="009A33AA" w:rsidRDefault="00455D79" w:rsidP="00455D79">
      <w:r w:rsidRPr="009A33AA">
        <w:t>AND</w:t>
      </w:r>
    </w:p>
    <w:p w14:paraId="5759D756" w14:textId="77777777" w:rsidR="00455D79" w:rsidRDefault="00631146" w:rsidP="00927463">
      <w:pPr>
        <w:numPr>
          <w:ilvl w:val="0"/>
          <w:numId w:val="72"/>
        </w:numPr>
        <w:spacing w:before="0" w:after="0" w:line="240" w:lineRule="auto"/>
      </w:pPr>
      <w:r>
        <w:t xml:space="preserve">data gathered during the </w:t>
      </w:r>
      <w:r w:rsidR="00455D79" w:rsidRPr="00467B8A">
        <w:t xml:space="preserve">investigation </w:t>
      </w:r>
      <w:r>
        <w:t>cannot be used for the purpose of claiming</w:t>
      </w:r>
      <w:r w:rsidR="00455D79" w:rsidRPr="00467B8A">
        <w:t xml:space="preserve"> any of items 11000 to 11005, 11503 , 11</w:t>
      </w:r>
      <w:r>
        <w:t>700 to 11709 and</w:t>
      </w:r>
      <w:r w:rsidR="00455D79" w:rsidRPr="00467B8A">
        <w:t xml:space="preserve"> 11713</w:t>
      </w:r>
      <w:r>
        <w:t>.</w:t>
      </w:r>
      <w:r w:rsidR="00455D79" w:rsidRPr="00467B8A">
        <w:t xml:space="preserve"> </w:t>
      </w:r>
    </w:p>
    <w:p w14:paraId="2CA6EB6A" w14:textId="77777777" w:rsidR="00455D79" w:rsidRDefault="00455D79" w:rsidP="00D2492F">
      <w:r w:rsidRPr="009A33AA">
        <w:t>Payable only once in a 12 month period. A second attended sleep study is permitted, when required immediately prior to vigilance testing.</w:t>
      </w:r>
    </w:p>
    <w:p w14:paraId="1AA20DF0" w14:textId="77777777" w:rsidR="00D2492F" w:rsidRDefault="00D2492F" w:rsidP="00D2492F">
      <w:pPr>
        <w:rPr>
          <w:b/>
        </w:rPr>
      </w:pPr>
      <w:r w:rsidRPr="000C7487">
        <w:rPr>
          <w:b/>
        </w:rPr>
        <w:t>Item 122</w:t>
      </w:r>
      <w:r>
        <w:rPr>
          <w:b/>
        </w:rPr>
        <w:t>5</w:t>
      </w:r>
      <w:r w:rsidRPr="000C7487">
        <w:rPr>
          <w:b/>
        </w:rPr>
        <w:t>0</w:t>
      </w:r>
      <w:r>
        <w:rPr>
          <w:b/>
        </w:rPr>
        <w:t xml:space="preserve"> descriptor:</w:t>
      </w:r>
    </w:p>
    <w:p w14:paraId="55FD6E27" w14:textId="77777777" w:rsidR="00455D79" w:rsidRPr="009A33AA" w:rsidRDefault="00455D79" w:rsidP="00455D79">
      <w:r w:rsidRPr="009A33AA">
        <w:t>Overnight investigation of sleep for a period of at least 8 hours in a patient aged 18 years or over to confirm diagnosis of obstructive sleep apnoea, where:</w:t>
      </w:r>
    </w:p>
    <w:p w14:paraId="7677B052" w14:textId="77777777" w:rsidR="00455D79" w:rsidRPr="009A33AA" w:rsidRDefault="00455D79" w:rsidP="00927463">
      <w:pPr>
        <w:numPr>
          <w:ilvl w:val="0"/>
          <w:numId w:val="73"/>
        </w:numPr>
        <w:spacing w:before="0" w:after="0" w:line="240" w:lineRule="auto"/>
      </w:pPr>
      <w:r w:rsidRPr="009A33AA">
        <w:t xml:space="preserve">the patient has been referred by a medical practitioner to a qualified adult sleep medicine practitioner or a consultant respiratory physician who has determined that the patient has a high probability for symptomatic, moderate to severe obstructive sleep apnoea </w:t>
      </w:r>
      <w:r>
        <w:t>based on</w:t>
      </w:r>
      <w:r w:rsidRPr="009A33AA">
        <w:t>:</w:t>
      </w:r>
    </w:p>
    <w:p w14:paraId="68B4380B" w14:textId="77777777" w:rsidR="00455D79" w:rsidRPr="00467B8A" w:rsidRDefault="00455D79" w:rsidP="00927463">
      <w:pPr>
        <w:pStyle w:val="ListParagraph"/>
        <w:numPr>
          <w:ilvl w:val="0"/>
          <w:numId w:val="69"/>
        </w:numPr>
        <w:spacing w:before="0" w:after="0" w:line="240" w:lineRule="auto"/>
        <w:ind w:left="1418"/>
      </w:pPr>
      <w:r w:rsidRPr="00467B8A">
        <w:t xml:space="preserve">a STOP-BANG score of </w:t>
      </w:r>
      <w:r>
        <w:t>4</w:t>
      </w:r>
      <w:r w:rsidRPr="00467B8A">
        <w:t xml:space="preserve"> or more; or </w:t>
      </w:r>
    </w:p>
    <w:p w14:paraId="64D6DA61" w14:textId="77777777" w:rsidR="00455D79" w:rsidRPr="00467B8A" w:rsidRDefault="00455D79" w:rsidP="00927463">
      <w:pPr>
        <w:pStyle w:val="ListParagraph"/>
        <w:numPr>
          <w:ilvl w:val="0"/>
          <w:numId w:val="69"/>
        </w:numPr>
        <w:spacing w:before="0" w:after="0" w:line="240" w:lineRule="auto"/>
        <w:ind w:left="1418"/>
      </w:pPr>
      <w:r w:rsidRPr="00467B8A">
        <w:t xml:space="preserve">an OSA-50 score of 5 or more; or </w:t>
      </w:r>
    </w:p>
    <w:p w14:paraId="2184BA05" w14:textId="77777777" w:rsidR="00455D79" w:rsidRDefault="00455D79" w:rsidP="00927463">
      <w:pPr>
        <w:pStyle w:val="ListParagraph"/>
        <w:numPr>
          <w:ilvl w:val="0"/>
          <w:numId w:val="69"/>
        </w:numPr>
        <w:spacing w:before="0" w:after="0" w:line="240" w:lineRule="auto"/>
        <w:ind w:left="1418"/>
      </w:pPr>
      <w:r w:rsidRPr="00467B8A">
        <w:t>a high risk score on the Berlin Questionnaire</w:t>
      </w:r>
      <w:r w:rsidRPr="009A33AA">
        <w:t>; AND</w:t>
      </w:r>
      <w:r w:rsidRPr="00467B8A">
        <w:t xml:space="preserve"> </w:t>
      </w:r>
    </w:p>
    <w:p w14:paraId="7BE1122D" w14:textId="77777777" w:rsidR="00455D79" w:rsidRPr="00467B8A" w:rsidRDefault="00455D79" w:rsidP="00927463">
      <w:pPr>
        <w:pStyle w:val="ListParagraph"/>
        <w:numPr>
          <w:ilvl w:val="0"/>
          <w:numId w:val="69"/>
        </w:numPr>
        <w:spacing w:before="0" w:after="0" w:line="240" w:lineRule="auto"/>
        <w:ind w:left="1418"/>
      </w:pPr>
      <w:r w:rsidRPr="009A33AA">
        <w:t>an Epworth Sleepiness Scale score of 8 or more</w:t>
      </w:r>
    </w:p>
    <w:p w14:paraId="048349AE" w14:textId="77777777" w:rsidR="00455D79" w:rsidRPr="009A33AA" w:rsidRDefault="00455D79" w:rsidP="00455D79">
      <w:r w:rsidRPr="009A33AA">
        <w:t>OR</w:t>
      </w:r>
    </w:p>
    <w:p w14:paraId="3BAE391B" w14:textId="77777777" w:rsidR="00455D79" w:rsidRPr="009A33AA" w:rsidRDefault="00455D79" w:rsidP="00927463">
      <w:pPr>
        <w:numPr>
          <w:ilvl w:val="0"/>
          <w:numId w:val="73"/>
        </w:numPr>
        <w:spacing w:before="0" w:after="0" w:line="240" w:lineRule="auto"/>
      </w:pPr>
      <w:r w:rsidRPr="009A33AA">
        <w:t xml:space="preserve">Following personal attendance, a qualified adult sleep medicine practitioner or a consultant respiratory physician determines that testing to confirm the diagnosis of obstructive sleep apnoea is necessary; </w:t>
      </w:r>
    </w:p>
    <w:p w14:paraId="25D190AF" w14:textId="77777777" w:rsidR="00455D79" w:rsidRPr="009A33AA" w:rsidRDefault="00455D79" w:rsidP="00455D79">
      <w:r w:rsidRPr="009A33AA">
        <w:t>AND</w:t>
      </w:r>
    </w:p>
    <w:p w14:paraId="73A8552D" w14:textId="77777777" w:rsidR="00455D79" w:rsidRPr="009A33AA" w:rsidRDefault="00455D79" w:rsidP="00927463">
      <w:pPr>
        <w:numPr>
          <w:ilvl w:val="0"/>
          <w:numId w:val="73"/>
        </w:numPr>
        <w:spacing w:before="0" w:after="0" w:line="240" w:lineRule="auto"/>
      </w:pPr>
      <w:r w:rsidRPr="009A33AA">
        <w:t>during a period of sleep, the investigation involves the monitoring of at least seven physiological parameters which must include:</w:t>
      </w:r>
    </w:p>
    <w:p w14:paraId="1BD883C1" w14:textId="77777777" w:rsidR="00455D79" w:rsidRPr="009A33AA" w:rsidRDefault="00455D79" w:rsidP="00C5212E">
      <w:pPr>
        <w:ind w:left="360"/>
      </w:pPr>
      <w:r w:rsidRPr="009A33AA">
        <w:t>(i)</w:t>
      </w:r>
      <w:r w:rsidRPr="009A33AA">
        <w:tab/>
        <w:t>airflow; and</w:t>
      </w:r>
    </w:p>
    <w:p w14:paraId="5C4345DF" w14:textId="77777777" w:rsidR="00455D79" w:rsidRPr="009A33AA" w:rsidRDefault="00455D79" w:rsidP="00C5212E">
      <w:pPr>
        <w:ind w:left="360"/>
      </w:pPr>
      <w:r w:rsidRPr="009A33AA">
        <w:t>(ii)</w:t>
      </w:r>
      <w:r w:rsidRPr="009A33AA">
        <w:tab/>
        <w:t>chin electro-myogram (EMG); and</w:t>
      </w:r>
    </w:p>
    <w:p w14:paraId="1BDC7626" w14:textId="77777777" w:rsidR="00455D79" w:rsidRPr="009A33AA" w:rsidRDefault="00455D79" w:rsidP="00C5212E">
      <w:pPr>
        <w:ind w:left="360"/>
      </w:pPr>
      <w:r w:rsidRPr="009A33AA">
        <w:t>(iii)</w:t>
      </w:r>
      <w:r w:rsidRPr="009A33AA">
        <w:tab/>
        <w:t>continuous electro-cardiogram (ECG); and</w:t>
      </w:r>
    </w:p>
    <w:p w14:paraId="73AD4620" w14:textId="77777777" w:rsidR="00455D79" w:rsidRPr="009A33AA" w:rsidRDefault="00455D79" w:rsidP="00C5212E">
      <w:pPr>
        <w:ind w:left="360"/>
      </w:pPr>
      <w:r w:rsidRPr="009A33AA">
        <w:t>(iv)</w:t>
      </w:r>
      <w:r w:rsidRPr="009A33AA">
        <w:tab/>
        <w:t>continuous electro-encephalogram (EEG); and</w:t>
      </w:r>
    </w:p>
    <w:p w14:paraId="59682DEA" w14:textId="77777777" w:rsidR="00455D79" w:rsidRPr="009A33AA" w:rsidRDefault="00455D79" w:rsidP="00C5212E">
      <w:pPr>
        <w:ind w:left="360"/>
      </w:pPr>
      <w:r w:rsidRPr="009A33AA">
        <w:t>(v)</w:t>
      </w:r>
      <w:r w:rsidRPr="009A33AA">
        <w:tab/>
        <w:t>electro-oculogram (EOG); and</w:t>
      </w:r>
    </w:p>
    <w:p w14:paraId="0CB64041" w14:textId="77777777" w:rsidR="00455D79" w:rsidRPr="009A33AA" w:rsidRDefault="00455D79" w:rsidP="00C5212E">
      <w:pPr>
        <w:ind w:left="360"/>
      </w:pPr>
      <w:r w:rsidRPr="009A33AA">
        <w:t>(vi)</w:t>
      </w:r>
      <w:r w:rsidRPr="009A33AA">
        <w:tab/>
        <w:t>oxygen saturation; and</w:t>
      </w:r>
    </w:p>
    <w:p w14:paraId="46CBB3B6" w14:textId="77777777" w:rsidR="00455D79" w:rsidRPr="009A33AA" w:rsidRDefault="00455D79" w:rsidP="00C5212E">
      <w:pPr>
        <w:ind w:left="360"/>
      </w:pPr>
      <w:r w:rsidRPr="009A33AA">
        <w:t>(vii)</w:t>
      </w:r>
      <w:r w:rsidRPr="009A33AA">
        <w:tab/>
        <w:t>respiratory effort.</w:t>
      </w:r>
    </w:p>
    <w:p w14:paraId="0FBA2C81" w14:textId="77777777" w:rsidR="00455D79" w:rsidRPr="009A33AA" w:rsidRDefault="00455D79" w:rsidP="00455D79">
      <w:r w:rsidRPr="009A33AA">
        <w:t>AND</w:t>
      </w:r>
    </w:p>
    <w:p w14:paraId="744A0D1A" w14:textId="77777777" w:rsidR="00455D79" w:rsidRPr="009A33AA" w:rsidRDefault="00455D79" w:rsidP="00927463">
      <w:pPr>
        <w:pStyle w:val="NormalBulleteda"/>
        <w:numPr>
          <w:ilvl w:val="0"/>
          <w:numId w:val="74"/>
        </w:numPr>
      </w:pPr>
      <w:r w:rsidRPr="009A33AA">
        <w:lastRenderedPageBreak/>
        <w:t xml:space="preserve">The investigation is performed under the supervision of an accredited sleep medicine practitioner; AND </w:t>
      </w:r>
    </w:p>
    <w:p w14:paraId="57E5A025" w14:textId="77777777" w:rsidR="00455D79" w:rsidRPr="009A33AA" w:rsidRDefault="00455D79" w:rsidP="00927463">
      <w:pPr>
        <w:pStyle w:val="NormalBulleteda"/>
        <w:numPr>
          <w:ilvl w:val="0"/>
          <w:numId w:val="74"/>
        </w:numPr>
        <w:ind w:left="454" w:hanging="454"/>
      </w:pPr>
      <w:r w:rsidRPr="009A33AA">
        <w:t>The equipment is applied to the patient by trained technicians; AND</w:t>
      </w:r>
    </w:p>
    <w:p w14:paraId="1F3D9578" w14:textId="77777777" w:rsidR="00455D79" w:rsidRPr="009A33AA" w:rsidRDefault="00455D79" w:rsidP="00927463">
      <w:pPr>
        <w:pStyle w:val="NormalBulleteda"/>
        <w:numPr>
          <w:ilvl w:val="0"/>
          <w:numId w:val="74"/>
        </w:numPr>
        <w:ind w:left="454" w:hanging="454"/>
      </w:pPr>
      <w:r w:rsidRPr="009A33AA">
        <w:t>Polygraphic records are analysed (for assessment of sleep stage, arousals, respiratory events and cardiac abnormalities) with manual scoring, or manual correction of computerised scoring in epochs of not more than 1 minute, and stored for interpretation and preparation of report; AND</w:t>
      </w:r>
    </w:p>
    <w:p w14:paraId="189BD0E5" w14:textId="77777777" w:rsidR="00455D79" w:rsidRPr="009A33AA" w:rsidRDefault="00455D79" w:rsidP="00927463">
      <w:pPr>
        <w:pStyle w:val="NormalBulleteda"/>
        <w:numPr>
          <w:ilvl w:val="0"/>
          <w:numId w:val="74"/>
        </w:numPr>
        <w:ind w:left="454" w:hanging="454"/>
      </w:pPr>
      <w:r w:rsidRPr="009A33AA">
        <w:t>Interpretation and preparation of a permanent report is provided by a qualified adult sleep medicine practitioner with direct review of raw data from the original recording of polygraphic data from the patient.</w:t>
      </w:r>
    </w:p>
    <w:p w14:paraId="2CA9B2CA" w14:textId="77777777" w:rsidR="00455D79" w:rsidRDefault="00455D79" w:rsidP="00455D79">
      <w:r w:rsidRPr="009A33AA">
        <w:t>AND</w:t>
      </w:r>
    </w:p>
    <w:p w14:paraId="053CC1CF" w14:textId="77777777" w:rsidR="00455D79" w:rsidRPr="009A33AA" w:rsidRDefault="00455D79" w:rsidP="00927463">
      <w:pPr>
        <w:numPr>
          <w:ilvl w:val="0"/>
          <w:numId w:val="75"/>
        </w:numPr>
        <w:spacing w:before="0" w:after="0" w:line="240" w:lineRule="auto"/>
      </w:pPr>
      <w:r>
        <w:t xml:space="preserve">data gathered during the investigation cannot be used for the purpose of claiming </w:t>
      </w:r>
      <w:r w:rsidRPr="009A33AA">
        <w:t>any of items 11000 t</w:t>
      </w:r>
      <w:r w:rsidR="00631146">
        <w:t xml:space="preserve">o 11005, 11503, 11700 to 11709 and </w:t>
      </w:r>
      <w:r w:rsidRPr="009A33AA">
        <w:t>11713.</w:t>
      </w:r>
    </w:p>
    <w:p w14:paraId="06E3CE30" w14:textId="77777777" w:rsidR="00455D79" w:rsidRPr="009A33AA" w:rsidRDefault="00455D79" w:rsidP="00455D79">
      <w:pPr>
        <w:rPr>
          <w:b/>
        </w:rPr>
      </w:pPr>
      <w:r w:rsidRPr="009A33AA">
        <w:t>Payable once in a 12 month period.</w:t>
      </w:r>
    </w:p>
    <w:p w14:paraId="6C69AC73" w14:textId="77777777" w:rsidR="00455D79" w:rsidRDefault="00455D79" w:rsidP="00455D79">
      <w:pPr>
        <w:rPr>
          <w:b/>
        </w:rPr>
      </w:pPr>
      <w:r>
        <w:rPr>
          <w:b/>
        </w:rPr>
        <w:t>Treatment initiation study item descriptor</w:t>
      </w:r>
      <w:r w:rsidR="00645E00">
        <w:rPr>
          <w:b/>
        </w:rPr>
        <w:t xml:space="preserve"> </w:t>
      </w:r>
      <w:r>
        <w:rPr>
          <w:b/>
        </w:rPr>
        <w:t>:</w:t>
      </w:r>
    </w:p>
    <w:p w14:paraId="2D09ADA4" w14:textId="77777777" w:rsidR="00455D79" w:rsidRPr="009A33AA" w:rsidRDefault="00455D79" w:rsidP="00455D79">
      <w:pPr>
        <w:rPr>
          <w:rFonts w:cs="Arial"/>
          <w:szCs w:val="22"/>
        </w:rPr>
      </w:pPr>
      <w:r w:rsidRPr="009A33AA">
        <w:rPr>
          <w:rFonts w:cs="Arial"/>
          <w:szCs w:val="22"/>
        </w:rPr>
        <w:t>Overnight assessment of positive airway pressure for a period of at least 8 hours duration in an adult aged over 18 where:</w:t>
      </w:r>
    </w:p>
    <w:p w14:paraId="67573BC6" w14:textId="77777777" w:rsidR="00455D79" w:rsidRPr="00C546C4" w:rsidRDefault="00455D79" w:rsidP="00455D79">
      <w:pPr>
        <w:pStyle w:val="NormalBulleteda"/>
      </w:pPr>
      <w:r>
        <w:t>(a)</w:t>
      </w:r>
      <w:r>
        <w:tab/>
      </w:r>
      <w:r w:rsidRPr="00C546C4">
        <w:t xml:space="preserve">the necessity for an intervention sleep study is determined by a qualified adult sleep medicine practitioner or consultant respiratory physician where a diagnosis of a sleep-related breathing disorder has been made; and the patient has not undergone positive airways pressure therapy in the previous 6 months; and </w:t>
      </w:r>
    </w:p>
    <w:p w14:paraId="189D1AE9" w14:textId="77777777" w:rsidR="00455D79" w:rsidRPr="00C546C4" w:rsidRDefault="00455D79" w:rsidP="00455D79">
      <w:pPr>
        <w:pStyle w:val="NormalBulleteda"/>
      </w:pPr>
      <w:r>
        <w:t>(b)</w:t>
      </w:r>
      <w:r>
        <w:tab/>
      </w:r>
      <w:r w:rsidRPr="00C546C4">
        <w:t>the patient has had a professional attendance</w:t>
      </w:r>
      <w:r w:rsidRPr="00C546C4">
        <w:rPr>
          <w:b/>
          <w:color w:val="FF0000"/>
          <w:vertAlign w:val="superscript"/>
        </w:rPr>
        <w:t xml:space="preserve"> </w:t>
      </w:r>
      <w:r w:rsidRPr="00C546C4">
        <w:t>(either face-to-face or by video conference) and it is established that the sleep-related breathing disorder is responsible for symptoms; and</w:t>
      </w:r>
    </w:p>
    <w:p w14:paraId="5E1E1969" w14:textId="77777777" w:rsidR="00455D79" w:rsidRPr="00C546C4" w:rsidRDefault="00455D79" w:rsidP="00455D79">
      <w:pPr>
        <w:pStyle w:val="NormalBulleteda"/>
      </w:pPr>
      <w:r>
        <w:t>(c)</w:t>
      </w:r>
      <w:r>
        <w:tab/>
      </w:r>
      <w:r w:rsidRPr="00C546C4">
        <w:t xml:space="preserve">a sleep </w:t>
      </w:r>
      <w:r>
        <w:t>scientist</w:t>
      </w:r>
      <w:r w:rsidRPr="00C546C4">
        <w:t xml:space="preserve"> is in continuous attendance under the supervision of a qualified sleep medicine practitioner; and</w:t>
      </w:r>
    </w:p>
    <w:p w14:paraId="43C1B6E6" w14:textId="77777777" w:rsidR="00455D79" w:rsidRPr="00C546C4" w:rsidRDefault="00455D79" w:rsidP="00455D79">
      <w:pPr>
        <w:pStyle w:val="NormalBulleteda"/>
      </w:pPr>
      <w:r>
        <w:t>(d)</w:t>
      </w:r>
      <w:r>
        <w:tab/>
      </w:r>
      <w:r w:rsidRPr="00C546C4">
        <w:t>continuous monitoring and recording of the following studies which are to be performed in accordance with current Australasian Sleep Association guidelines for the performance of Type I sleep studies:</w:t>
      </w:r>
    </w:p>
    <w:p w14:paraId="799262A7" w14:textId="77777777" w:rsidR="00455D79" w:rsidRPr="00C546C4" w:rsidRDefault="00455D79" w:rsidP="00C5212E">
      <w:pPr>
        <w:ind w:left="360"/>
      </w:pPr>
      <w:r>
        <w:t>(i)</w:t>
      </w:r>
      <w:r>
        <w:tab/>
      </w:r>
      <w:r w:rsidRPr="00C546C4">
        <w:t>continuous electro-encephalogram (EEG);</w:t>
      </w:r>
    </w:p>
    <w:p w14:paraId="7FDF9D58" w14:textId="77777777" w:rsidR="00455D79" w:rsidRPr="00C546C4" w:rsidRDefault="00455D79" w:rsidP="00C5212E">
      <w:pPr>
        <w:ind w:left="360"/>
      </w:pPr>
      <w:r>
        <w:t>(ii)</w:t>
      </w:r>
      <w:r>
        <w:tab/>
      </w:r>
      <w:r w:rsidRPr="00C546C4">
        <w:t>electro-oculogram (EOG);</w:t>
      </w:r>
    </w:p>
    <w:p w14:paraId="40A442C3" w14:textId="77777777" w:rsidR="00455D79" w:rsidRPr="00C546C4" w:rsidRDefault="00455D79" w:rsidP="00C5212E">
      <w:pPr>
        <w:ind w:left="360"/>
      </w:pPr>
      <w:r>
        <w:t>(iii)</w:t>
      </w:r>
      <w:r>
        <w:tab/>
      </w:r>
      <w:r w:rsidRPr="00C546C4">
        <w:t>submental electro-myogram (EMG);</w:t>
      </w:r>
    </w:p>
    <w:p w14:paraId="78A20E2D" w14:textId="77777777" w:rsidR="00455D79" w:rsidRPr="00C546C4" w:rsidRDefault="00455D79" w:rsidP="00C5212E">
      <w:pPr>
        <w:ind w:left="360"/>
      </w:pPr>
      <w:r>
        <w:t>(iv)</w:t>
      </w:r>
      <w:r>
        <w:tab/>
      </w:r>
      <w:r w:rsidRPr="00C546C4">
        <w:t>anterior tibial (EMG);</w:t>
      </w:r>
    </w:p>
    <w:p w14:paraId="7C06BE4B" w14:textId="77777777" w:rsidR="00455D79" w:rsidRPr="00C546C4" w:rsidRDefault="00455D79" w:rsidP="00C5212E">
      <w:pPr>
        <w:ind w:left="360"/>
      </w:pPr>
      <w:r>
        <w:t>(v)</w:t>
      </w:r>
      <w:r>
        <w:tab/>
      </w:r>
      <w:r w:rsidRPr="00C546C4">
        <w:t>respiratory movement;</w:t>
      </w:r>
    </w:p>
    <w:p w14:paraId="29BF3D75" w14:textId="77777777" w:rsidR="00455D79" w:rsidRPr="00C546C4" w:rsidRDefault="00455D79" w:rsidP="00C5212E">
      <w:pPr>
        <w:ind w:left="360"/>
      </w:pPr>
      <w:r>
        <w:t>(vi)</w:t>
      </w:r>
      <w:r>
        <w:tab/>
      </w:r>
      <w:r w:rsidRPr="00C546C4">
        <w:t>airflow;</w:t>
      </w:r>
    </w:p>
    <w:p w14:paraId="28A56EDF" w14:textId="77777777" w:rsidR="00455D79" w:rsidRPr="00C546C4" w:rsidRDefault="00455D79" w:rsidP="00C5212E">
      <w:pPr>
        <w:ind w:left="360"/>
      </w:pPr>
      <w:r>
        <w:t>(vii)</w:t>
      </w:r>
      <w:r w:rsidR="006D25F3">
        <w:t xml:space="preserve"> </w:t>
      </w:r>
      <w:r w:rsidRPr="00C546C4">
        <w:t>oxygen saturation;</w:t>
      </w:r>
    </w:p>
    <w:p w14:paraId="6D9B31C8" w14:textId="77777777" w:rsidR="00455D79" w:rsidRPr="00C546C4" w:rsidRDefault="00455D79" w:rsidP="00C5212E">
      <w:pPr>
        <w:ind w:left="360"/>
      </w:pPr>
      <w:r>
        <w:lastRenderedPageBreak/>
        <w:t>(viii)</w:t>
      </w:r>
      <w:r w:rsidR="006D25F3">
        <w:t xml:space="preserve"> </w:t>
      </w:r>
      <w:r w:rsidRPr="00C546C4">
        <w:t>position;</w:t>
      </w:r>
    </w:p>
    <w:p w14:paraId="75D1BE83" w14:textId="77777777" w:rsidR="00455D79" w:rsidRPr="00C546C4" w:rsidRDefault="00455D79" w:rsidP="00455D79">
      <w:pPr>
        <w:pStyle w:val="NormalBulleteda"/>
      </w:pPr>
      <w:r>
        <w:t>(e)</w:t>
      </w:r>
      <w:r>
        <w:tab/>
      </w:r>
      <w:r w:rsidRPr="00C546C4">
        <w:t>continuous electro-cardiogram (ECG); and</w:t>
      </w:r>
    </w:p>
    <w:p w14:paraId="0A86A759" w14:textId="77777777" w:rsidR="00455D79" w:rsidRPr="00C546C4" w:rsidRDefault="00455D79" w:rsidP="00455D79">
      <w:pPr>
        <w:pStyle w:val="NormalBulleteda"/>
      </w:pPr>
      <w:r>
        <w:t>(f)</w:t>
      </w:r>
      <w:r>
        <w:tab/>
      </w:r>
      <w:r w:rsidRPr="00C546C4">
        <w:t>polygraphic records are analysed (for assessment of sleep stage, arousals, respiratory events, cardiac abnormalities and limb movements) with manual scoring, or manual correction of computerised scoring in epochs not more than one minute, and the data are stored for interpretation and preparation of a report; and</w:t>
      </w:r>
    </w:p>
    <w:p w14:paraId="6ACEA944" w14:textId="77777777" w:rsidR="00455D79" w:rsidRPr="004C3F50" w:rsidRDefault="00455D79" w:rsidP="00455D79">
      <w:pPr>
        <w:pStyle w:val="NormalBulleteda"/>
      </w:pPr>
      <w:r>
        <w:t>(g)</w:t>
      </w:r>
      <w:r>
        <w:tab/>
      </w:r>
      <w:r w:rsidRPr="00C546C4">
        <w:t>interpretation and preparation of a permanent</w:t>
      </w:r>
      <w:r w:rsidRPr="004C3F50">
        <w:t xml:space="preserve"> report are provided by a qualified adult sleep medicine practitioner with direct review of raw data from the original recording of polygraphic data from the patient.</w:t>
      </w:r>
    </w:p>
    <w:p w14:paraId="15408ECA" w14:textId="77777777" w:rsidR="00455D79" w:rsidRDefault="00455D79" w:rsidP="00455D79">
      <w:pPr>
        <w:rPr>
          <w:rFonts w:cs="Arial"/>
          <w:szCs w:val="22"/>
        </w:rPr>
      </w:pPr>
      <w:r w:rsidRPr="009A33AA">
        <w:rPr>
          <w:rFonts w:cs="Arial"/>
          <w:szCs w:val="22"/>
        </w:rPr>
        <w:t>One in a 12-month period.</w:t>
      </w:r>
    </w:p>
    <w:p w14:paraId="68B2A33D" w14:textId="77777777" w:rsidR="00455D79" w:rsidRPr="006A2185" w:rsidRDefault="00455D79" w:rsidP="00455D79">
      <w:pPr>
        <w:rPr>
          <w:b/>
        </w:rPr>
      </w:pPr>
      <w:r w:rsidRPr="006A2185">
        <w:rPr>
          <w:b/>
        </w:rPr>
        <w:t>New item 122XX for an additional sleep study where initial item 12203 has failed.</w:t>
      </w:r>
      <w:r w:rsidR="00356187">
        <w:rPr>
          <w:b/>
        </w:rPr>
        <w:t xml:space="preserve"> </w:t>
      </w:r>
    </w:p>
    <w:p w14:paraId="282D3C6B" w14:textId="77777777" w:rsidR="00455D79" w:rsidRPr="00B462CC" w:rsidRDefault="00455D79" w:rsidP="00455D79">
      <w:pPr>
        <w:rPr>
          <w:rFonts w:cs="Arial"/>
        </w:rPr>
      </w:pPr>
      <w:r w:rsidRPr="00B462CC">
        <w:rPr>
          <w:rFonts w:cs="Arial"/>
        </w:rPr>
        <w:t>OVERNIGHT INVESTIGATION FOR SLEEP APNOEA FOR A PERIOD OF AT LEAST 8 HOURS DURATION, FOR AN ADULT AGED 18 YEARS AND OVER WHERE:</w:t>
      </w:r>
    </w:p>
    <w:p w14:paraId="6A73A5DE" w14:textId="77777777" w:rsidR="00455D79" w:rsidRPr="006D25F3" w:rsidRDefault="00455D79" w:rsidP="00927463">
      <w:pPr>
        <w:pStyle w:val="NormalBulleteda"/>
        <w:numPr>
          <w:ilvl w:val="0"/>
          <w:numId w:val="76"/>
        </w:numPr>
      </w:pPr>
      <w:r w:rsidRPr="006D25F3">
        <w:t>a sleep scientist is in continuous attendance under the supervision of a qualified sleep medicine  practitioner; AND</w:t>
      </w:r>
    </w:p>
    <w:p w14:paraId="71AF1D0C" w14:textId="77777777" w:rsidR="00455D79" w:rsidRPr="00B462CC" w:rsidRDefault="00455D79" w:rsidP="00927463">
      <w:pPr>
        <w:pStyle w:val="NormalBulleteda"/>
        <w:numPr>
          <w:ilvl w:val="0"/>
          <w:numId w:val="76"/>
        </w:numPr>
        <w:rPr>
          <w:rFonts w:cs="Arial"/>
        </w:rPr>
      </w:pPr>
      <w:r w:rsidRPr="006D25F3">
        <w:t>continuous monitoring and recording of the following measures which are to be performed in accordance with current Australasian Sleep Association guidelines for the performance of Type 1 sleep studies</w:t>
      </w:r>
      <w:r w:rsidRPr="00B462CC">
        <w:rPr>
          <w:rFonts w:cs="Arial"/>
        </w:rPr>
        <w:t>:</w:t>
      </w:r>
    </w:p>
    <w:p w14:paraId="65FA48AC" w14:textId="77777777" w:rsidR="00455D79" w:rsidRPr="00B462CC" w:rsidRDefault="00455D79" w:rsidP="006D25F3">
      <w:pPr>
        <w:ind w:left="360"/>
        <w:rPr>
          <w:rFonts w:cs="Arial"/>
        </w:rPr>
      </w:pPr>
      <w:r w:rsidRPr="00B462CC">
        <w:rPr>
          <w:rFonts w:cs="Arial"/>
        </w:rPr>
        <w:t>(i)</w:t>
      </w:r>
      <w:r w:rsidRPr="00B462CC">
        <w:rPr>
          <w:rFonts w:cs="Arial"/>
        </w:rPr>
        <w:tab/>
      </w:r>
      <w:r w:rsidRPr="006D25F3">
        <w:t>airflow</w:t>
      </w:r>
      <w:r w:rsidRPr="00B462CC">
        <w:rPr>
          <w:rFonts w:cs="Arial"/>
        </w:rPr>
        <w:t>;</w:t>
      </w:r>
    </w:p>
    <w:p w14:paraId="4DC2DD4E" w14:textId="77777777" w:rsidR="00455D79" w:rsidRPr="00B462CC" w:rsidRDefault="00455D79" w:rsidP="006D25F3">
      <w:pPr>
        <w:ind w:left="360"/>
        <w:rPr>
          <w:rFonts w:cs="Arial"/>
        </w:rPr>
      </w:pPr>
      <w:r w:rsidRPr="00B462CC">
        <w:rPr>
          <w:rFonts w:cs="Arial"/>
        </w:rPr>
        <w:t>(ii)</w:t>
      </w:r>
      <w:r w:rsidRPr="00B462CC">
        <w:rPr>
          <w:rFonts w:cs="Arial"/>
        </w:rPr>
        <w:tab/>
      </w:r>
      <w:r w:rsidRPr="006D25F3">
        <w:t>submental</w:t>
      </w:r>
      <w:r w:rsidRPr="00B462CC">
        <w:rPr>
          <w:rFonts w:cs="Arial"/>
        </w:rPr>
        <w:t xml:space="preserve"> electro-myogram (EMG);</w:t>
      </w:r>
    </w:p>
    <w:p w14:paraId="47B0C59D" w14:textId="77777777" w:rsidR="00455D79" w:rsidRPr="00B462CC" w:rsidRDefault="00455D79" w:rsidP="006D25F3">
      <w:pPr>
        <w:ind w:left="360"/>
        <w:rPr>
          <w:rFonts w:cs="Arial"/>
        </w:rPr>
      </w:pPr>
      <w:r w:rsidRPr="00B462CC">
        <w:rPr>
          <w:rFonts w:cs="Arial"/>
        </w:rPr>
        <w:t>(iii)</w:t>
      </w:r>
      <w:r w:rsidRPr="00B462CC">
        <w:rPr>
          <w:rFonts w:cs="Arial"/>
        </w:rPr>
        <w:tab/>
      </w:r>
      <w:r w:rsidRPr="006D25F3">
        <w:t>anterior</w:t>
      </w:r>
      <w:r w:rsidRPr="00B462CC">
        <w:rPr>
          <w:rFonts w:cs="Arial"/>
        </w:rPr>
        <w:t xml:space="preserve"> tibial electro-myogram (EMG);</w:t>
      </w:r>
    </w:p>
    <w:p w14:paraId="6399EE6D" w14:textId="77777777" w:rsidR="00455D79" w:rsidRPr="00B462CC" w:rsidRDefault="00455D79" w:rsidP="006D25F3">
      <w:pPr>
        <w:ind w:left="360"/>
        <w:rPr>
          <w:rFonts w:cs="Arial"/>
        </w:rPr>
      </w:pPr>
      <w:r w:rsidRPr="00B462CC">
        <w:rPr>
          <w:rFonts w:cs="Arial"/>
        </w:rPr>
        <w:t>(iv)</w:t>
      </w:r>
      <w:r w:rsidRPr="00B462CC">
        <w:rPr>
          <w:rFonts w:cs="Arial"/>
        </w:rPr>
        <w:tab/>
      </w:r>
      <w:r w:rsidRPr="006D25F3">
        <w:t>continuous</w:t>
      </w:r>
      <w:r w:rsidRPr="00B462CC">
        <w:rPr>
          <w:rFonts w:cs="Arial"/>
        </w:rPr>
        <w:t xml:space="preserve"> electro-cardiogram (ECG);</w:t>
      </w:r>
    </w:p>
    <w:p w14:paraId="235CB5FF" w14:textId="77777777" w:rsidR="00455D79" w:rsidRPr="00B462CC" w:rsidRDefault="00455D79" w:rsidP="006D25F3">
      <w:pPr>
        <w:ind w:left="360"/>
        <w:rPr>
          <w:rFonts w:cs="Arial"/>
        </w:rPr>
      </w:pPr>
      <w:r w:rsidRPr="00B462CC">
        <w:rPr>
          <w:rFonts w:cs="Arial"/>
        </w:rPr>
        <w:t>(v)</w:t>
      </w:r>
      <w:r w:rsidRPr="00B462CC">
        <w:rPr>
          <w:rFonts w:cs="Arial"/>
        </w:rPr>
        <w:tab/>
      </w:r>
      <w:r w:rsidRPr="006D25F3">
        <w:t>continuous</w:t>
      </w:r>
      <w:r w:rsidRPr="00B462CC">
        <w:rPr>
          <w:rFonts w:cs="Arial"/>
        </w:rPr>
        <w:t xml:space="preserve"> electro-encephalogram (EEG);</w:t>
      </w:r>
    </w:p>
    <w:p w14:paraId="36BECEC7" w14:textId="77777777" w:rsidR="00455D79" w:rsidRPr="00B462CC" w:rsidRDefault="00455D79" w:rsidP="006D25F3">
      <w:pPr>
        <w:ind w:left="360"/>
        <w:rPr>
          <w:rFonts w:cs="Arial"/>
        </w:rPr>
      </w:pPr>
      <w:r w:rsidRPr="00B462CC">
        <w:rPr>
          <w:rFonts w:cs="Arial"/>
        </w:rPr>
        <w:t>(vi)</w:t>
      </w:r>
      <w:r w:rsidRPr="00B462CC">
        <w:rPr>
          <w:rFonts w:cs="Arial"/>
        </w:rPr>
        <w:tab/>
      </w:r>
      <w:r w:rsidRPr="006D25F3">
        <w:t>electro</w:t>
      </w:r>
      <w:r w:rsidRPr="00B462CC">
        <w:rPr>
          <w:rFonts w:cs="Arial"/>
        </w:rPr>
        <w:t>-oculogram (EOG);</w:t>
      </w:r>
    </w:p>
    <w:p w14:paraId="510F8BA6" w14:textId="77777777" w:rsidR="00455D79" w:rsidRPr="00B462CC" w:rsidRDefault="00455D79" w:rsidP="006D25F3">
      <w:pPr>
        <w:ind w:left="360"/>
        <w:rPr>
          <w:rFonts w:cs="Arial"/>
        </w:rPr>
      </w:pPr>
      <w:r w:rsidRPr="00B462CC">
        <w:rPr>
          <w:rFonts w:cs="Arial"/>
        </w:rPr>
        <w:t>(vii)</w:t>
      </w:r>
      <w:r w:rsidR="006D25F3">
        <w:rPr>
          <w:rFonts w:cs="Arial"/>
        </w:rPr>
        <w:t xml:space="preserve"> </w:t>
      </w:r>
      <w:r w:rsidRPr="006D25F3">
        <w:t>oxygen</w:t>
      </w:r>
      <w:r w:rsidRPr="00B462CC">
        <w:rPr>
          <w:rFonts w:cs="Arial"/>
        </w:rPr>
        <w:t xml:space="preserve"> saturation;</w:t>
      </w:r>
    </w:p>
    <w:p w14:paraId="5C6D3399" w14:textId="77777777" w:rsidR="00455D79" w:rsidRPr="00B462CC" w:rsidRDefault="006D25F3" w:rsidP="006D25F3">
      <w:pPr>
        <w:ind w:left="360"/>
        <w:rPr>
          <w:rFonts w:cs="Arial"/>
        </w:rPr>
      </w:pPr>
      <w:r>
        <w:rPr>
          <w:rFonts w:cs="Arial"/>
        </w:rPr>
        <w:t xml:space="preserve">(viii) </w:t>
      </w:r>
      <w:r w:rsidR="00455D79" w:rsidRPr="00B462CC">
        <w:rPr>
          <w:rFonts w:cs="Arial"/>
        </w:rPr>
        <w:t xml:space="preserve">respiratory </w:t>
      </w:r>
      <w:r w:rsidR="00455D79" w:rsidRPr="006D25F3">
        <w:t>movement</w:t>
      </w:r>
      <w:r w:rsidR="00455D79" w:rsidRPr="00B462CC">
        <w:rPr>
          <w:rFonts w:cs="Arial"/>
        </w:rPr>
        <w:t xml:space="preserve"> (chest and abdomen);</w:t>
      </w:r>
    </w:p>
    <w:p w14:paraId="64615BAE" w14:textId="77777777" w:rsidR="00455D79" w:rsidRPr="00B462CC" w:rsidRDefault="00455D79" w:rsidP="006D25F3">
      <w:pPr>
        <w:ind w:left="360"/>
        <w:rPr>
          <w:rFonts w:cs="Arial"/>
        </w:rPr>
      </w:pPr>
      <w:r w:rsidRPr="00B462CC">
        <w:rPr>
          <w:rFonts w:cs="Arial"/>
        </w:rPr>
        <w:t>(ix)</w:t>
      </w:r>
      <w:r w:rsidRPr="00B462CC">
        <w:rPr>
          <w:rFonts w:cs="Arial"/>
        </w:rPr>
        <w:tab/>
        <w:t>pos</w:t>
      </w:r>
      <w:r w:rsidRPr="006D25F3">
        <w:t>i</w:t>
      </w:r>
      <w:r w:rsidRPr="00B462CC">
        <w:rPr>
          <w:rFonts w:cs="Arial"/>
        </w:rPr>
        <w:t xml:space="preserve">tion; </w:t>
      </w:r>
    </w:p>
    <w:p w14:paraId="06072005" w14:textId="77777777" w:rsidR="00455D79" w:rsidRPr="00B462CC" w:rsidRDefault="00455D79" w:rsidP="00455D79">
      <w:pPr>
        <w:rPr>
          <w:rFonts w:cs="Arial"/>
        </w:rPr>
      </w:pPr>
      <w:r w:rsidRPr="00B462CC">
        <w:rPr>
          <w:rFonts w:cs="Arial"/>
        </w:rPr>
        <w:t>AND</w:t>
      </w:r>
    </w:p>
    <w:p w14:paraId="5A641251" w14:textId="77777777" w:rsidR="00455D79" w:rsidRPr="006D25F3" w:rsidRDefault="00455D79" w:rsidP="00927463">
      <w:pPr>
        <w:pStyle w:val="NormalBulleteda"/>
        <w:numPr>
          <w:ilvl w:val="0"/>
          <w:numId w:val="76"/>
        </w:numPr>
      </w:pPr>
      <w:r w:rsidRPr="006D25F3">
        <w:t>polygraphic records are analysed (for assessment of sleep stage, arousals, respiratory events, cardiac abnormalities and limb movements) with manual scoring, or manual correction of computerised scoring in epochs of not more than 1 minute, and stored for interpretation and preparation of report;</w:t>
      </w:r>
    </w:p>
    <w:p w14:paraId="4C1F9799" w14:textId="77777777" w:rsidR="00455D79" w:rsidRPr="00B462CC" w:rsidRDefault="00455D79" w:rsidP="00455D79">
      <w:pPr>
        <w:rPr>
          <w:rFonts w:cs="Arial"/>
        </w:rPr>
      </w:pPr>
      <w:r w:rsidRPr="00B462CC">
        <w:rPr>
          <w:rFonts w:cs="Arial"/>
        </w:rPr>
        <w:t>AND</w:t>
      </w:r>
    </w:p>
    <w:p w14:paraId="7307B12E" w14:textId="77777777" w:rsidR="00455D79" w:rsidRPr="006D25F3" w:rsidRDefault="00455D79" w:rsidP="00927463">
      <w:pPr>
        <w:pStyle w:val="NormalBulleteda"/>
        <w:numPr>
          <w:ilvl w:val="0"/>
          <w:numId w:val="76"/>
        </w:numPr>
      </w:pPr>
      <w:r w:rsidRPr="006D25F3">
        <w:lastRenderedPageBreak/>
        <w:t>interpretation and preparation of a permanent report is provided by a qualified adult sleep medicine practitioner with direct review of raw data from the original recording of polygraphic data from the patient</w:t>
      </w:r>
      <w:r w:rsidR="006D25F3">
        <w:t>;</w:t>
      </w:r>
      <w:r w:rsidRPr="006D25F3">
        <w:t xml:space="preserve"> </w:t>
      </w:r>
    </w:p>
    <w:p w14:paraId="0925216F" w14:textId="77777777" w:rsidR="00455D79" w:rsidRPr="00B462CC" w:rsidRDefault="00455D79" w:rsidP="00455D79">
      <w:pPr>
        <w:rPr>
          <w:rFonts w:cs="Arial"/>
        </w:rPr>
      </w:pPr>
      <w:r w:rsidRPr="00B462CC">
        <w:rPr>
          <w:rFonts w:cs="Arial"/>
        </w:rPr>
        <w:t>AND</w:t>
      </w:r>
    </w:p>
    <w:p w14:paraId="70804C34" w14:textId="77777777" w:rsidR="00455D79" w:rsidRPr="006D25F3" w:rsidRDefault="00455D79" w:rsidP="00927463">
      <w:pPr>
        <w:pStyle w:val="NormalBulleteda"/>
        <w:numPr>
          <w:ilvl w:val="0"/>
          <w:numId w:val="76"/>
        </w:numPr>
      </w:pPr>
      <w:r w:rsidRPr="006D25F3">
        <w:t>the necessity for the investigation is determined by a qualified adult sleep medicine practitioner or consultant respiratory physi</w:t>
      </w:r>
      <w:r w:rsidR="006D25F3">
        <w:t>cian prior to the investigation;</w:t>
      </w:r>
    </w:p>
    <w:p w14:paraId="04F85F87" w14:textId="77777777" w:rsidR="00455D79" w:rsidRPr="00B462CC" w:rsidRDefault="00455D79" w:rsidP="00455D79">
      <w:pPr>
        <w:rPr>
          <w:rFonts w:cs="Arial"/>
        </w:rPr>
      </w:pPr>
      <w:r w:rsidRPr="00B462CC">
        <w:rPr>
          <w:rFonts w:cs="Arial"/>
        </w:rPr>
        <w:t>AND</w:t>
      </w:r>
    </w:p>
    <w:p w14:paraId="4775829A" w14:textId="77777777" w:rsidR="00455D79" w:rsidRPr="006D25F3" w:rsidRDefault="00455D79" w:rsidP="00927463">
      <w:pPr>
        <w:pStyle w:val="NormalBulleteda"/>
        <w:numPr>
          <w:ilvl w:val="0"/>
          <w:numId w:val="76"/>
        </w:numPr>
      </w:pPr>
      <w:r w:rsidRPr="006D25F3">
        <w:t>where it can be demonstrated that a further investigation is indicated in the same 12 month period to which item 12203 applies, when a prior attended sleep study has been performed with insufficient sleep acquired, as evidenced by a sleep efficiency of 25% or less.</w:t>
      </w:r>
    </w:p>
    <w:p w14:paraId="02202F82" w14:textId="77777777" w:rsidR="00412FB5" w:rsidRPr="009A33AA" w:rsidRDefault="00412FB5" w:rsidP="00412FB5">
      <w:r>
        <w:rPr>
          <w:b/>
          <w:bCs/>
          <w:lang w:val="en-US"/>
        </w:rPr>
        <w:t>E</w:t>
      </w:r>
      <w:r w:rsidRPr="009A33AA">
        <w:rPr>
          <w:b/>
          <w:bCs/>
          <w:lang w:val="en-US"/>
        </w:rPr>
        <w:t>xplanatory note</w:t>
      </w:r>
      <w:r>
        <w:rPr>
          <w:b/>
          <w:bCs/>
          <w:lang w:val="en-US"/>
        </w:rPr>
        <w:t xml:space="preserve"> D.1.18</w:t>
      </w:r>
      <w:r w:rsidRPr="009A33AA">
        <w:rPr>
          <w:b/>
        </w:rPr>
        <w:t xml:space="preserve"> for </w:t>
      </w:r>
      <w:r w:rsidR="00356187">
        <w:rPr>
          <w:b/>
        </w:rPr>
        <w:t xml:space="preserve">sleep studies </w:t>
      </w:r>
      <w:r w:rsidRPr="009A33AA">
        <w:rPr>
          <w:b/>
        </w:rPr>
        <w:t xml:space="preserve">items </w:t>
      </w:r>
      <w:r>
        <w:t xml:space="preserve">D.1.18 Investigations for sleep </w:t>
      </w:r>
      <w:r w:rsidR="00356187">
        <w:t>disorders</w:t>
      </w:r>
      <w:r>
        <w:t xml:space="preserve"> – (Items 12203, 12210, 12213, 12215, 12217, 12250 and 122XX)</w:t>
      </w:r>
    </w:p>
    <w:p w14:paraId="27CB2E5F" w14:textId="77777777" w:rsidR="00455D79" w:rsidRDefault="00455D79" w:rsidP="00455D79">
      <w:pPr>
        <w:rPr>
          <w:szCs w:val="22"/>
        </w:rPr>
      </w:pPr>
      <w:r>
        <w:rPr>
          <w:szCs w:val="22"/>
        </w:rPr>
        <w:t>Items 12250 and 12203:</w:t>
      </w:r>
    </w:p>
    <w:p w14:paraId="38BEC96F" w14:textId="77777777" w:rsidR="00455D79" w:rsidRPr="00C57ABD" w:rsidRDefault="00455D79" w:rsidP="00455D79">
      <w:pPr>
        <w:rPr>
          <w:szCs w:val="22"/>
        </w:rPr>
      </w:pPr>
      <w:r w:rsidRPr="00C57ABD">
        <w:rPr>
          <w:szCs w:val="22"/>
        </w:rPr>
        <w:t>Items 12250 and 12203 are applicable for patients who have not been previously diagnosed with a sleep disorder. They enable direct GP referral to testing without personal assessment by a sleep or respiratory physician, when validated screening tools suggest a high pre-test probability for diagnosis of symptomatic, moderate to severe OSA. The screening questionnaires must be administered by the referring practitioner. Alternatively, the need for testing can be determined by a sleep or respiratory physician following direct clinical assessment.</w:t>
      </w:r>
    </w:p>
    <w:p w14:paraId="0A42666B" w14:textId="77777777" w:rsidR="00455D79" w:rsidRPr="00C57ABD" w:rsidRDefault="00455D79" w:rsidP="00455D79">
      <w:pPr>
        <w:rPr>
          <w:szCs w:val="22"/>
        </w:rPr>
      </w:pPr>
      <w:r w:rsidRPr="00C57ABD">
        <w:rPr>
          <w:szCs w:val="22"/>
        </w:rPr>
        <w:t xml:space="preserve">Determination of the need for testing should conform with Australasian Sleep Association guidelines. </w:t>
      </w:r>
    </w:p>
    <w:p w14:paraId="305FC81A" w14:textId="77777777" w:rsidR="00455D79" w:rsidRPr="00C57ABD" w:rsidRDefault="00455D79" w:rsidP="00455D79">
      <w:pPr>
        <w:rPr>
          <w:szCs w:val="22"/>
        </w:rPr>
      </w:pPr>
      <w:r w:rsidRPr="00C57ABD">
        <w:rPr>
          <w:szCs w:val="22"/>
        </w:rPr>
        <w:t>Unattended sleep studies are suitable for many patients with suspected OSA but patients with other sleep disorders should undergo an attended study.</w:t>
      </w:r>
    </w:p>
    <w:p w14:paraId="658C4DE2" w14:textId="77777777" w:rsidR="00455D79" w:rsidRPr="00C57ABD" w:rsidRDefault="00455D79" w:rsidP="00455D79">
      <w:pPr>
        <w:rPr>
          <w:szCs w:val="22"/>
        </w:rPr>
      </w:pPr>
      <w:r w:rsidRPr="00C57ABD">
        <w:rPr>
          <w:szCs w:val="22"/>
        </w:rPr>
        <w:t>Assessment for potential contraindications to an unattended sleep study can be undertaken by either the referring practitioner, qualified adult sleep medicine practitioner or consultant respiratory physician. Standardised referrals should request sufficient information to enable such assessment.</w:t>
      </w:r>
    </w:p>
    <w:p w14:paraId="5294B908" w14:textId="77777777" w:rsidR="00455D79" w:rsidRPr="00C57ABD" w:rsidRDefault="00455D79" w:rsidP="00455D79">
      <w:pPr>
        <w:rPr>
          <w:szCs w:val="22"/>
        </w:rPr>
      </w:pPr>
      <w:r w:rsidRPr="00C57ABD">
        <w:rPr>
          <w:szCs w:val="22"/>
        </w:rPr>
        <w:t>In accordance with the Australasian Sleep Association’s Guidelines for Sleep Studies in Adults, relative contraindications for an unattended sleep study to investigate suspected OSA include but are not limited to:</w:t>
      </w:r>
    </w:p>
    <w:p w14:paraId="2E8B5142" w14:textId="77777777" w:rsidR="00455D79" w:rsidRPr="00C57ABD" w:rsidRDefault="00455D79" w:rsidP="00927463">
      <w:pPr>
        <w:pStyle w:val="NormalBulleteda"/>
        <w:numPr>
          <w:ilvl w:val="0"/>
          <w:numId w:val="77"/>
        </w:numPr>
        <w:rPr>
          <w:szCs w:val="22"/>
        </w:rPr>
      </w:pPr>
      <w:r w:rsidRPr="003A69D6">
        <w:t>int</w:t>
      </w:r>
      <w:r w:rsidRPr="00C57ABD">
        <w:rPr>
          <w:szCs w:val="22"/>
        </w:rPr>
        <w:t>ellectual disability or cognitive impairment;</w:t>
      </w:r>
    </w:p>
    <w:p w14:paraId="31B9134A" w14:textId="77777777" w:rsidR="00455D79" w:rsidRPr="00C57ABD" w:rsidRDefault="00455D79" w:rsidP="00927463">
      <w:pPr>
        <w:pStyle w:val="NormalBulleteda"/>
        <w:numPr>
          <w:ilvl w:val="0"/>
          <w:numId w:val="77"/>
        </w:numPr>
        <w:rPr>
          <w:szCs w:val="22"/>
        </w:rPr>
      </w:pPr>
      <w:r w:rsidRPr="003A69D6">
        <w:t>physical</w:t>
      </w:r>
      <w:r w:rsidRPr="00C57ABD">
        <w:rPr>
          <w:szCs w:val="22"/>
        </w:rPr>
        <w:t xml:space="preserve"> disability with inadequate carer attendance;</w:t>
      </w:r>
    </w:p>
    <w:p w14:paraId="2425CE35" w14:textId="77777777" w:rsidR="00455D79" w:rsidRPr="00C57ABD" w:rsidRDefault="00455D79" w:rsidP="00927463">
      <w:pPr>
        <w:pStyle w:val="NormalBulleteda"/>
        <w:numPr>
          <w:ilvl w:val="0"/>
          <w:numId w:val="77"/>
        </w:numPr>
        <w:rPr>
          <w:szCs w:val="22"/>
        </w:rPr>
      </w:pPr>
      <w:r w:rsidRPr="003A69D6">
        <w:t>significant</w:t>
      </w:r>
      <w:r w:rsidRPr="00C57ABD">
        <w:rPr>
          <w:szCs w:val="22"/>
        </w:rPr>
        <w:t xml:space="preserve"> co-morbid conditions including neuromuscular disease, heart failure or advanced respiratory disease where more complex disorders are likely;</w:t>
      </w:r>
    </w:p>
    <w:p w14:paraId="5964964D" w14:textId="77777777" w:rsidR="00455D79" w:rsidRPr="00C57ABD" w:rsidRDefault="00455D79" w:rsidP="00927463">
      <w:pPr>
        <w:pStyle w:val="NormalBulleteda"/>
        <w:numPr>
          <w:ilvl w:val="0"/>
          <w:numId w:val="77"/>
        </w:numPr>
        <w:rPr>
          <w:szCs w:val="22"/>
        </w:rPr>
      </w:pPr>
      <w:r w:rsidRPr="003A69D6">
        <w:t>suspected</w:t>
      </w:r>
      <w:r w:rsidRPr="00C57ABD">
        <w:rPr>
          <w:szCs w:val="22"/>
        </w:rPr>
        <w:t xml:space="preserve"> respiratory failure where attended measurements are required, including measurement of carbon dioxide partial pressures;</w:t>
      </w:r>
    </w:p>
    <w:p w14:paraId="02E6FA04" w14:textId="77777777" w:rsidR="00455D79" w:rsidRPr="00C57ABD" w:rsidRDefault="00455D79" w:rsidP="00927463">
      <w:pPr>
        <w:pStyle w:val="NormalBulleteda"/>
        <w:numPr>
          <w:ilvl w:val="0"/>
          <w:numId w:val="77"/>
        </w:numPr>
        <w:rPr>
          <w:szCs w:val="22"/>
        </w:rPr>
      </w:pPr>
      <w:r w:rsidRPr="003A69D6">
        <w:t>suspected</w:t>
      </w:r>
      <w:r w:rsidRPr="00C57ABD">
        <w:rPr>
          <w:szCs w:val="22"/>
        </w:rPr>
        <w:t xml:space="preserve"> parasomnia or seizure disorder;</w:t>
      </w:r>
    </w:p>
    <w:p w14:paraId="72123076" w14:textId="77777777" w:rsidR="00455D79" w:rsidRPr="00C57ABD" w:rsidRDefault="00455D79" w:rsidP="00927463">
      <w:pPr>
        <w:pStyle w:val="NormalBulleteda"/>
        <w:numPr>
          <w:ilvl w:val="0"/>
          <w:numId w:val="77"/>
        </w:numPr>
        <w:rPr>
          <w:szCs w:val="22"/>
        </w:rPr>
      </w:pPr>
      <w:r w:rsidRPr="00C57ABD">
        <w:rPr>
          <w:szCs w:val="22"/>
        </w:rPr>
        <w:lastRenderedPageBreak/>
        <w:t xml:space="preserve">suspected </w:t>
      </w:r>
      <w:r w:rsidRPr="003A69D6">
        <w:t>condition</w:t>
      </w:r>
      <w:r w:rsidRPr="00C57ABD">
        <w:rPr>
          <w:szCs w:val="22"/>
        </w:rPr>
        <w:t xml:space="preserve"> where recording of body position is considered to be essential and would not be recorded as part of an unattended sleep study;</w:t>
      </w:r>
    </w:p>
    <w:p w14:paraId="3EDA03E0" w14:textId="77777777" w:rsidR="00455D79" w:rsidRPr="00C57ABD" w:rsidRDefault="00455D79" w:rsidP="00927463">
      <w:pPr>
        <w:pStyle w:val="NormalBulleteda"/>
        <w:numPr>
          <w:ilvl w:val="0"/>
          <w:numId w:val="77"/>
        </w:numPr>
        <w:rPr>
          <w:szCs w:val="22"/>
        </w:rPr>
      </w:pPr>
      <w:r w:rsidRPr="00C57ABD">
        <w:rPr>
          <w:szCs w:val="22"/>
        </w:rPr>
        <w:t xml:space="preserve">previously failed or inconclusive unattended sleep study; </w:t>
      </w:r>
    </w:p>
    <w:p w14:paraId="4CD36D3C" w14:textId="77777777" w:rsidR="00455D79" w:rsidRPr="00C57ABD" w:rsidRDefault="00455D79" w:rsidP="00927463">
      <w:pPr>
        <w:pStyle w:val="NormalBulleteda"/>
        <w:numPr>
          <w:ilvl w:val="0"/>
          <w:numId w:val="77"/>
        </w:numPr>
        <w:rPr>
          <w:szCs w:val="22"/>
        </w:rPr>
      </w:pPr>
      <w:r w:rsidRPr="00C57ABD">
        <w:rPr>
          <w:szCs w:val="22"/>
        </w:rPr>
        <w:t>unsuitable home environment including unsafe environments or where patients are homeless; and</w:t>
      </w:r>
    </w:p>
    <w:p w14:paraId="66126DDD" w14:textId="77777777" w:rsidR="00455D79" w:rsidRPr="00C57ABD" w:rsidRDefault="00455D79" w:rsidP="00927463">
      <w:pPr>
        <w:pStyle w:val="NormalBulleteda"/>
        <w:numPr>
          <w:ilvl w:val="0"/>
          <w:numId w:val="77"/>
        </w:numPr>
        <w:rPr>
          <w:szCs w:val="22"/>
        </w:rPr>
      </w:pPr>
      <w:r w:rsidRPr="00C57ABD">
        <w:rPr>
          <w:szCs w:val="22"/>
        </w:rPr>
        <w:t xml:space="preserve">consumer preference </w:t>
      </w:r>
      <w:r w:rsidRPr="003A69D6">
        <w:t>based</w:t>
      </w:r>
      <w:r w:rsidRPr="00C57ABD">
        <w:rPr>
          <w:szCs w:val="22"/>
        </w:rPr>
        <w:t xml:space="preserve"> on a high level of anxiety about location of study or where there is unreasonable cost or disruption based on distance to be travelled, or home circumstances;</w:t>
      </w:r>
    </w:p>
    <w:p w14:paraId="6C0D93AB" w14:textId="77777777" w:rsidR="00455D79" w:rsidRPr="00C57ABD" w:rsidRDefault="00455D79" w:rsidP="00455D79">
      <w:pPr>
        <w:rPr>
          <w:b/>
          <w:bCs/>
          <w:i/>
          <w:iCs/>
          <w:szCs w:val="22"/>
        </w:rPr>
      </w:pPr>
      <w:r w:rsidRPr="00C57ABD">
        <w:rPr>
          <w:szCs w:val="22"/>
        </w:rPr>
        <w:t>Patients who have these features may be suitable for either attended (Level 1) or unattended (Level 2) studies.</w:t>
      </w:r>
      <w:r w:rsidRPr="00C57ABD">
        <w:rPr>
          <w:b/>
          <w:bCs/>
          <w:i/>
          <w:iCs/>
          <w:szCs w:val="22"/>
        </w:rPr>
        <w:t xml:space="preserve"> </w:t>
      </w:r>
    </w:p>
    <w:p w14:paraId="5FE705E6" w14:textId="77777777" w:rsidR="00455D79" w:rsidRPr="00C57ABD" w:rsidRDefault="00455D79" w:rsidP="00455D79">
      <w:pPr>
        <w:rPr>
          <w:b/>
          <w:bCs/>
          <w:iCs/>
          <w:szCs w:val="22"/>
        </w:rPr>
      </w:pPr>
      <w:r w:rsidRPr="00C57ABD">
        <w:rPr>
          <w:bCs/>
          <w:iCs/>
          <w:szCs w:val="22"/>
        </w:rPr>
        <w:t>The results and treatment options following any diagnostic sleep study should be discussed during a professional attendance with a medical practitioner before the initiation of any therapy. If there is uncertainty about the significance of test results or the appropriate management for that individual then referral to a sleep or respiratory medicine specialist is recommended</w:t>
      </w:r>
      <w:r w:rsidRPr="00C57ABD">
        <w:rPr>
          <w:b/>
          <w:bCs/>
          <w:iCs/>
          <w:szCs w:val="22"/>
        </w:rPr>
        <w:t>.</w:t>
      </w:r>
    </w:p>
    <w:p w14:paraId="3CDA2F48" w14:textId="77777777" w:rsidR="00455D79" w:rsidRPr="00C57ABD" w:rsidRDefault="00455D79" w:rsidP="00455D79">
      <w:pPr>
        <w:rPr>
          <w:szCs w:val="22"/>
        </w:rPr>
      </w:pPr>
      <w:r w:rsidRPr="00C57ABD">
        <w:rPr>
          <w:szCs w:val="22"/>
        </w:rPr>
        <w:t>Any personal attendance by a qualified adult sleep medicine practitioner or consultant respiratory physician associated with this service may be undertaken face-to-face or by video conference.</w:t>
      </w:r>
    </w:p>
    <w:p w14:paraId="1954B81F" w14:textId="77777777" w:rsidR="00455D79" w:rsidRPr="00C57ABD" w:rsidRDefault="00455D79" w:rsidP="00455D79">
      <w:pPr>
        <w:rPr>
          <w:szCs w:val="22"/>
        </w:rPr>
      </w:pPr>
      <w:r w:rsidRPr="00C57ABD">
        <w:rPr>
          <w:szCs w:val="22"/>
        </w:rPr>
        <w:t>Where the date of service for a sleep study item is the same as the date of service of any items 11000 to 11005, 11503, 11700 to 11709 and 11713, for a benefit to be payable, there must be written notification on the account identifying that the service under any of those items was not provided on the same occasion as the sleep study item.</w:t>
      </w:r>
    </w:p>
    <w:p w14:paraId="6228445E" w14:textId="77777777" w:rsidR="00455D79" w:rsidRPr="00C57ABD" w:rsidRDefault="00455D79" w:rsidP="00455D79">
      <w:pPr>
        <w:rPr>
          <w:szCs w:val="22"/>
        </w:rPr>
      </w:pPr>
      <w:r>
        <w:rPr>
          <w:szCs w:val="22"/>
        </w:rPr>
        <w:t>Polygraphic data:</w:t>
      </w:r>
    </w:p>
    <w:p w14:paraId="3DD3B273" w14:textId="77777777" w:rsidR="00455D79" w:rsidRDefault="00455D79" w:rsidP="00455D79">
      <w:pPr>
        <w:rPr>
          <w:szCs w:val="22"/>
        </w:rPr>
      </w:pPr>
      <w:r w:rsidRPr="00C57ABD">
        <w:rPr>
          <w:szCs w:val="22"/>
        </w:rPr>
        <w:t>Item 11503 is not for the purpose of investigation of sleep disorders. Polygraphic data obtained as part of a sleep study item in the range 12203 to 12250 cannot be used for the purpose of claiming item 11503.</w:t>
      </w:r>
    </w:p>
    <w:p w14:paraId="7D71B99E" w14:textId="77777777" w:rsidR="00455D79" w:rsidRDefault="00455D79" w:rsidP="00455D79">
      <w:pPr>
        <w:rPr>
          <w:szCs w:val="22"/>
        </w:rPr>
      </w:pPr>
      <w:r>
        <w:rPr>
          <w:szCs w:val="22"/>
        </w:rPr>
        <w:t>Where it can be demonstrated – items 12215 and 12217:</w:t>
      </w:r>
    </w:p>
    <w:p w14:paraId="0EEAEC6B" w14:textId="77777777" w:rsidR="00455D79" w:rsidRDefault="00455D79" w:rsidP="00455D79">
      <w:pPr>
        <w:rPr>
          <w:szCs w:val="22"/>
        </w:rPr>
      </w:pPr>
      <w:r w:rsidRPr="00C57ABD">
        <w:rPr>
          <w:szCs w:val="22"/>
        </w:rPr>
        <w:t>Claims for benefits in respect of items 12215 and 12217 should be accompanied by clinical details confirming the presence of the conditions set out above. Claims for benefits for these services should be lodged with the Department of Human Services for referral to the National Office of the Department of Human Services for assessment by the Medicare Claims Review Panel (MCRP) and must be accompanied by sufficient clinical and/or photographic evidence to enable the Department of Human Services to determine the eligibility of the service for the payment of benefits.</w:t>
      </w:r>
    </w:p>
    <w:p w14:paraId="657C8ED3" w14:textId="77777777" w:rsidR="00455D79" w:rsidRDefault="00455D79" w:rsidP="00455D79">
      <w:pPr>
        <w:rPr>
          <w:szCs w:val="22"/>
        </w:rPr>
      </w:pPr>
      <w:r>
        <w:rPr>
          <w:szCs w:val="22"/>
        </w:rPr>
        <w:t>Where it can be demonstrated –</w:t>
      </w:r>
      <w:r w:rsidR="005E3ADB" w:rsidRPr="005E3ADB">
        <w:rPr>
          <w:szCs w:val="22"/>
        </w:rPr>
        <w:t xml:space="preserve"> </w:t>
      </w:r>
      <w:r w:rsidR="005E3ADB">
        <w:rPr>
          <w:szCs w:val="22"/>
        </w:rPr>
        <w:t>new adult item</w:t>
      </w:r>
      <w:r>
        <w:rPr>
          <w:szCs w:val="22"/>
        </w:rPr>
        <w:t xml:space="preserve"> item 122XX:</w:t>
      </w:r>
    </w:p>
    <w:p w14:paraId="76801934" w14:textId="77777777" w:rsidR="00455D79" w:rsidRDefault="00455D79" w:rsidP="00455D79">
      <w:pPr>
        <w:rPr>
          <w:szCs w:val="22"/>
        </w:rPr>
      </w:pPr>
      <w:r w:rsidRPr="00BB77A5">
        <w:rPr>
          <w:szCs w:val="22"/>
        </w:rPr>
        <w:t>For item 122XX, where it can be demonstrated that a further investigation is indicated in the same 12 month period to which item 12203 applies, when a prior attended sleep study has been performed with insufficient sleep acquired, as evidenced by a sleep efficiency of 25% or less.</w:t>
      </w:r>
      <w:r>
        <w:rPr>
          <w:szCs w:val="22"/>
        </w:rPr>
        <w:t xml:space="preserve"> </w:t>
      </w:r>
      <w:r w:rsidRPr="00BB77A5">
        <w:rPr>
          <w:szCs w:val="22"/>
        </w:rPr>
        <w:t xml:space="preserve">Claims for benefits in respect of item 122XX </w:t>
      </w:r>
      <w:r w:rsidRPr="00C57ABD">
        <w:rPr>
          <w:szCs w:val="22"/>
        </w:rPr>
        <w:t xml:space="preserve">should be lodged with the Department of Human Services for referral to the National Office of the Department of Human Services for assessment by the Medicare </w:t>
      </w:r>
      <w:r w:rsidRPr="00C57ABD">
        <w:rPr>
          <w:szCs w:val="22"/>
        </w:rPr>
        <w:lastRenderedPageBreak/>
        <w:t>Claims Review Panel (MCRP)</w:t>
      </w:r>
      <w:r>
        <w:rPr>
          <w:szCs w:val="22"/>
        </w:rPr>
        <w:t>; and</w:t>
      </w:r>
      <w:r w:rsidRPr="00C57ABD">
        <w:rPr>
          <w:szCs w:val="22"/>
        </w:rPr>
        <w:t xml:space="preserve"> </w:t>
      </w:r>
      <w:r>
        <w:rPr>
          <w:szCs w:val="22"/>
        </w:rPr>
        <w:t>must</w:t>
      </w:r>
      <w:r w:rsidRPr="00BB77A5">
        <w:rPr>
          <w:szCs w:val="22"/>
        </w:rPr>
        <w:t xml:space="preserve"> be accompanied by </w:t>
      </w:r>
      <w:r w:rsidRPr="007759D7">
        <w:rPr>
          <w:szCs w:val="22"/>
        </w:rPr>
        <w:t>a copy of the initial sleep study report and sufficient clinical evidence to enable the Department of Human Services to determine the eligibility of the service for the payment of benefits.</w:t>
      </w:r>
    </w:p>
    <w:p w14:paraId="2B53D6F4" w14:textId="77777777" w:rsidR="00455D79" w:rsidRPr="007759D7" w:rsidRDefault="00455D79" w:rsidP="00455D79">
      <w:pPr>
        <w:rPr>
          <w:szCs w:val="22"/>
        </w:rPr>
      </w:pPr>
      <w:r w:rsidRPr="007759D7">
        <w:rPr>
          <w:szCs w:val="22"/>
        </w:rPr>
        <w:t>Applications for approval should be addressed in a sealed envelope marked “Medical-in-Confidence” to:</w:t>
      </w:r>
    </w:p>
    <w:p w14:paraId="4A6A1A3E" w14:textId="77777777" w:rsidR="00455D79" w:rsidRPr="007759D7" w:rsidRDefault="00455D79" w:rsidP="00455D79">
      <w:r w:rsidRPr="007759D7">
        <w:t>The MCRP Officer</w:t>
      </w:r>
    </w:p>
    <w:p w14:paraId="637DA0ED" w14:textId="77777777" w:rsidR="00455D79" w:rsidRPr="007759D7" w:rsidRDefault="00455D79" w:rsidP="00455D79">
      <w:r w:rsidRPr="007759D7">
        <w:t>PO Box 9822</w:t>
      </w:r>
    </w:p>
    <w:p w14:paraId="65938D38" w14:textId="77777777" w:rsidR="00455D79" w:rsidRPr="00C57ABD" w:rsidRDefault="00455D79" w:rsidP="00455D79">
      <w:r w:rsidRPr="007759D7">
        <w:t>SYDNEY NSW 2001</w:t>
      </w:r>
    </w:p>
    <w:p w14:paraId="689D977A" w14:textId="77777777" w:rsidR="00D61B7E" w:rsidRPr="008F0B2B" w:rsidRDefault="00D61B7E" w:rsidP="00455D79"/>
    <w:sectPr w:rsidR="00D61B7E" w:rsidRPr="008F0B2B" w:rsidSect="004F5FA8">
      <w:footerReference w:type="default" r:id="rId50"/>
      <w:endnotePr>
        <w:numFmt w:val="decimal"/>
      </w:endnotePr>
      <w:pgSz w:w="11906" w:h="16838" w:code="9"/>
      <w:pgMar w:top="1021" w:right="1440" w:bottom="1021" w:left="1440" w:header="567" w:footer="567"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4C5F3" w14:textId="77777777" w:rsidR="00B25C3C" w:rsidRDefault="00B25C3C" w:rsidP="000D1CF6">
      <w:r>
        <w:separator/>
      </w:r>
    </w:p>
    <w:p w14:paraId="1E4AFF27" w14:textId="77777777" w:rsidR="00B25C3C" w:rsidRDefault="00B25C3C" w:rsidP="000D1CF6"/>
  </w:endnote>
  <w:endnote w:type="continuationSeparator" w:id="0">
    <w:p w14:paraId="1D9D1418" w14:textId="77777777" w:rsidR="00B25C3C" w:rsidRDefault="00B25C3C" w:rsidP="000D1CF6">
      <w:r>
        <w:continuationSeparator/>
      </w:r>
    </w:p>
    <w:p w14:paraId="2E1896F1" w14:textId="77777777" w:rsidR="00B25C3C" w:rsidRDefault="00B25C3C" w:rsidP="000D1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News Gothic BT">
    <w:altName w:val="News Gothic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1E84A" w14:textId="77777777" w:rsidR="00B25C3C" w:rsidRPr="004F5FA8" w:rsidRDefault="00B25C3C" w:rsidP="004F5FA8">
    <w:pPr>
      <w:pStyle w:val="Footer"/>
      <w:pBdr>
        <w:top w:val="single" w:sz="12" w:space="1" w:color="B56012"/>
      </w:pBdr>
      <w:rPr>
        <w:color w:val="01653F"/>
        <w:sz w:val="16"/>
      </w:rPr>
    </w:pPr>
    <w:r>
      <w:rPr>
        <w:color w:val="01653F"/>
        <w:sz w:val="16"/>
      </w:rPr>
      <w:t>Report from the Thoracic Medicine Clinical Committee – August</w:t>
    </w:r>
    <w:r w:rsidRPr="001C53E1">
      <w:rPr>
        <w:color w:val="01653F"/>
        <w:sz w:val="16"/>
      </w:rPr>
      <w:t xml:space="preserve"> 2016</w:t>
    </w:r>
    <w:r>
      <w:rPr>
        <w:color w:val="01653F"/>
        <w:sz w:val="16"/>
      </w:rPr>
      <w:t xml:space="preserve">                      </w:t>
    </w:r>
    <w:r>
      <w:rPr>
        <w:color w:val="01653F"/>
        <w:sz w:val="16"/>
      </w:rPr>
      <w:tab/>
      <w:t xml:space="preserve"> </w:t>
    </w:r>
    <w:r w:rsidRPr="001C53E1">
      <w:rPr>
        <w:color w:val="01653F"/>
        <w:sz w:val="16"/>
      </w:rPr>
      <w:t xml:space="preserve">Page </w:t>
    </w:r>
    <w:r w:rsidRPr="001C53E1">
      <w:rPr>
        <w:color w:val="01653F"/>
        <w:sz w:val="16"/>
      </w:rPr>
      <w:fldChar w:fldCharType="begin"/>
    </w:r>
    <w:r w:rsidRPr="001C53E1">
      <w:rPr>
        <w:color w:val="01653F"/>
        <w:sz w:val="16"/>
      </w:rPr>
      <w:instrText xml:space="preserve"> PAGE   \* MERGEFORMAT </w:instrText>
    </w:r>
    <w:r w:rsidRPr="001C53E1">
      <w:rPr>
        <w:color w:val="01653F"/>
        <w:sz w:val="16"/>
      </w:rPr>
      <w:fldChar w:fldCharType="separate"/>
    </w:r>
    <w:r>
      <w:rPr>
        <w:noProof/>
        <w:color w:val="01653F"/>
        <w:sz w:val="16"/>
      </w:rPr>
      <w:t>214</w:t>
    </w:r>
    <w:r w:rsidRPr="001C53E1">
      <w:rPr>
        <w:color w:val="01653F"/>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C1E48" w14:textId="77777777" w:rsidR="00B25C3C" w:rsidRPr="004F5FA8" w:rsidRDefault="00B25C3C" w:rsidP="00D42B5C">
    <w:pPr>
      <w:pStyle w:val="Footer"/>
      <w:pBdr>
        <w:top w:val="single" w:sz="12" w:space="1" w:color="B56012"/>
      </w:pBdr>
      <w:tabs>
        <w:tab w:val="clear" w:pos="4513"/>
        <w:tab w:val="clear" w:pos="9026"/>
        <w:tab w:val="right" w:pos="9720"/>
      </w:tabs>
      <w:rPr>
        <w:color w:val="01653F"/>
        <w:sz w:val="16"/>
      </w:rPr>
    </w:pPr>
    <w:r>
      <w:rPr>
        <w:color w:val="01653F"/>
        <w:sz w:val="16"/>
      </w:rPr>
      <w:t>Report from the Thoracic Medicine Clinical Committee – August</w:t>
    </w:r>
    <w:r w:rsidRPr="001C53E1">
      <w:rPr>
        <w:color w:val="01653F"/>
        <w:sz w:val="16"/>
      </w:rPr>
      <w:t xml:space="preserve"> 2016</w:t>
    </w:r>
    <w:r>
      <w:rPr>
        <w:color w:val="01653F"/>
        <w:sz w:val="16"/>
      </w:rPr>
      <w:tab/>
    </w:r>
    <w:r w:rsidRPr="001C53E1">
      <w:rPr>
        <w:color w:val="01653F"/>
        <w:sz w:val="16"/>
      </w:rPr>
      <w:t xml:space="preserve"> Page </w:t>
    </w:r>
    <w:r w:rsidRPr="001C53E1">
      <w:rPr>
        <w:color w:val="01653F"/>
        <w:sz w:val="16"/>
      </w:rPr>
      <w:fldChar w:fldCharType="begin"/>
    </w:r>
    <w:r w:rsidRPr="001C53E1">
      <w:rPr>
        <w:color w:val="01653F"/>
        <w:sz w:val="16"/>
      </w:rPr>
      <w:instrText xml:space="preserve"> PAGE   \* MERGEFORMAT </w:instrText>
    </w:r>
    <w:r w:rsidRPr="001C53E1">
      <w:rPr>
        <w:color w:val="01653F"/>
        <w:sz w:val="16"/>
      </w:rPr>
      <w:fldChar w:fldCharType="separate"/>
    </w:r>
    <w:r w:rsidR="00F168B3">
      <w:rPr>
        <w:noProof/>
        <w:color w:val="01653F"/>
        <w:sz w:val="16"/>
      </w:rPr>
      <w:t>201</w:t>
    </w:r>
    <w:r w:rsidRPr="001C53E1">
      <w:rPr>
        <w:color w:val="01653F"/>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06F2D" w14:textId="77777777" w:rsidR="00B25C3C" w:rsidRPr="0042649D" w:rsidRDefault="00B25C3C" w:rsidP="000A5A36">
    <w:pPr>
      <w:pStyle w:val="Footer"/>
      <w:pBdr>
        <w:top w:val="single" w:sz="12" w:space="1" w:color="B56012"/>
      </w:pBdr>
      <w:tabs>
        <w:tab w:val="clear" w:pos="4513"/>
      </w:tabs>
      <w:rPr>
        <w:color w:val="01653F"/>
        <w:sz w:val="16"/>
      </w:rPr>
    </w:pPr>
    <w:r>
      <w:rPr>
        <w:color w:val="01653F"/>
        <w:sz w:val="16"/>
      </w:rPr>
      <w:t>Report from the Thoracic Medicine Clinical Committee – August</w:t>
    </w:r>
    <w:r w:rsidRPr="001C53E1">
      <w:rPr>
        <w:color w:val="01653F"/>
        <w:sz w:val="16"/>
      </w:rPr>
      <w:t xml:space="preserve"> 2016</w:t>
    </w:r>
    <w:r>
      <w:rPr>
        <w:color w:val="01653F"/>
        <w:sz w:val="16"/>
      </w:rPr>
      <w:tab/>
    </w:r>
    <w:r w:rsidRPr="001C53E1">
      <w:rPr>
        <w:color w:val="01653F"/>
        <w:sz w:val="16"/>
      </w:rPr>
      <w:t xml:space="preserve">Page </w:t>
    </w:r>
    <w:r w:rsidRPr="001C53E1">
      <w:rPr>
        <w:color w:val="01653F"/>
        <w:sz w:val="16"/>
      </w:rPr>
      <w:fldChar w:fldCharType="begin"/>
    </w:r>
    <w:r w:rsidRPr="001C53E1">
      <w:rPr>
        <w:color w:val="01653F"/>
        <w:sz w:val="16"/>
      </w:rPr>
      <w:instrText xml:space="preserve"> PAGE   \* MERGEFORMAT </w:instrText>
    </w:r>
    <w:r w:rsidRPr="001C53E1">
      <w:rPr>
        <w:color w:val="01653F"/>
        <w:sz w:val="16"/>
      </w:rPr>
      <w:fldChar w:fldCharType="separate"/>
    </w:r>
    <w:r w:rsidR="00F168B3">
      <w:rPr>
        <w:noProof/>
        <w:color w:val="01653F"/>
        <w:sz w:val="16"/>
      </w:rPr>
      <w:t>228</w:t>
    </w:r>
    <w:r w:rsidRPr="001C53E1">
      <w:rPr>
        <w:color w:val="01653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1EB1D" w14:textId="77777777" w:rsidR="00B25C3C" w:rsidRPr="004F5FA8" w:rsidRDefault="00B25C3C" w:rsidP="00A403FC">
    <w:pPr>
      <w:pStyle w:val="Footer"/>
      <w:pBdr>
        <w:top w:val="single" w:sz="12" w:space="1" w:color="B56012"/>
      </w:pBdr>
      <w:tabs>
        <w:tab w:val="clear" w:pos="4513"/>
      </w:tabs>
      <w:rPr>
        <w:color w:val="01653F"/>
        <w:sz w:val="16"/>
      </w:rPr>
    </w:pPr>
    <w:r>
      <w:rPr>
        <w:color w:val="01653F"/>
        <w:sz w:val="16"/>
      </w:rPr>
      <w:t>Report from the Thoracic Medicine Clinical Committee – August</w:t>
    </w:r>
    <w:r w:rsidRPr="001C53E1">
      <w:rPr>
        <w:color w:val="01653F"/>
        <w:sz w:val="16"/>
      </w:rPr>
      <w:t xml:space="preserve"> 2016</w:t>
    </w:r>
    <w:r>
      <w:rPr>
        <w:color w:val="01653F"/>
        <w:sz w:val="16"/>
      </w:rPr>
      <w:tab/>
    </w:r>
    <w:r w:rsidRPr="001C53E1">
      <w:rPr>
        <w:color w:val="01653F"/>
        <w:sz w:val="16"/>
      </w:rPr>
      <w:t xml:space="preserve">Page </w:t>
    </w:r>
    <w:r w:rsidRPr="001C53E1">
      <w:rPr>
        <w:color w:val="01653F"/>
        <w:sz w:val="16"/>
      </w:rPr>
      <w:fldChar w:fldCharType="begin"/>
    </w:r>
    <w:r w:rsidRPr="001C53E1">
      <w:rPr>
        <w:color w:val="01653F"/>
        <w:sz w:val="16"/>
      </w:rPr>
      <w:instrText xml:space="preserve"> PAGE   \* MERGEFORMAT </w:instrText>
    </w:r>
    <w:r w:rsidRPr="001C53E1">
      <w:rPr>
        <w:color w:val="01653F"/>
        <w:sz w:val="16"/>
      </w:rPr>
      <w:fldChar w:fldCharType="separate"/>
    </w:r>
    <w:r w:rsidR="00F168B3">
      <w:rPr>
        <w:noProof/>
        <w:color w:val="01653F"/>
        <w:sz w:val="16"/>
      </w:rPr>
      <w:t>20</w:t>
    </w:r>
    <w:r w:rsidRPr="001C53E1">
      <w:rPr>
        <w:color w:val="01653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3F485" w14:textId="77777777" w:rsidR="00B25C3C" w:rsidRPr="00E350C5" w:rsidRDefault="00B25C3C" w:rsidP="009D5707">
    <w:pPr>
      <w:pStyle w:val="Footer"/>
      <w:pBdr>
        <w:top w:val="single" w:sz="12" w:space="1" w:color="B56012"/>
      </w:pBdr>
      <w:tabs>
        <w:tab w:val="clear" w:pos="4513"/>
      </w:tabs>
    </w:pPr>
    <w:r>
      <w:rPr>
        <w:color w:val="01653F"/>
        <w:sz w:val="16"/>
      </w:rPr>
      <w:t>Report from the Thoracic Medicine Clinical Committee – August</w:t>
    </w:r>
    <w:r w:rsidRPr="001C53E1">
      <w:rPr>
        <w:color w:val="01653F"/>
        <w:sz w:val="16"/>
      </w:rPr>
      <w:t xml:space="preserve"> 2016</w:t>
    </w:r>
    <w:r>
      <w:rPr>
        <w:color w:val="01653F"/>
        <w:sz w:val="16"/>
      </w:rPr>
      <w:tab/>
    </w:r>
    <w:r w:rsidRPr="001C53E1">
      <w:rPr>
        <w:color w:val="01653F"/>
        <w:sz w:val="16"/>
      </w:rPr>
      <w:t xml:space="preserve">Page </w:t>
    </w:r>
    <w:r w:rsidRPr="001C53E1">
      <w:rPr>
        <w:color w:val="01653F"/>
        <w:sz w:val="16"/>
      </w:rPr>
      <w:fldChar w:fldCharType="begin"/>
    </w:r>
    <w:r w:rsidRPr="001C53E1">
      <w:rPr>
        <w:color w:val="01653F"/>
        <w:sz w:val="16"/>
      </w:rPr>
      <w:instrText xml:space="preserve"> PAGE   \* MERGEFORMAT </w:instrText>
    </w:r>
    <w:r w:rsidRPr="001C53E1">
      <w:rPr>
        <w:color w:val="01653F"/>
        <w:sz w:val="16"/>
      </w:rPr>
      <w:fldChar w:fldCharType="separate"/>
    </w:r>
    <w:r w:rsidR="00F168B3">
      <w:rPr>
        <w:noProof/>
        <w:color w:val="01653F"/>
        <w:sz w:val="16"/>
      </w:rPr>
      <w:t>164</w:t>
    </w:r>
    <w:r w:rsidRPr="001C53E1">
      <w:rPr>
        <w:color w:val="01653F"/>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47B9D" w14:textId="77777777" w:rsidR="00B25C3C" w:rsidRPr="008D59BC" w:rsidRDefault="00B25C3C" w:rsidP="009D5707">
    <w:pPr>
      <w:pStyle w:val="Footer"/>
      <w:pBdr>
        <w:top w:val="single" w:sz="12" w:space="1" w:color="B56012"/>
      </w:pBdr>
      <w:tabs>
        <w:tab w:val="clear" w:pos="4513"/>
        <w:tab w:val="clear" w:pos="9026"/>
        <w:tab w:val="right" w:pos="13968"/>
      </w:tabs>
      <w:rPr>
        <w:color w:val="01653F"/>
        <w:sz w:val="16"/>
      </w:rPr>
    </w:pPr>
    <w:r>
      <w:rPr>
        <w:color w:val="01653F"/>
        <w:sz w:val="16"/>
      </w:rPr>
      <w:t>Report from the Thoracic Medicine Clinical Committee – August</w:t>
    </w:r>
    <w:r w:rsidRPr="001C53E1">
      <w:rPr>
        <w:color w:val="01653F"/>
        <w:sz w:val="16"/>
      </w:rPr>
      <w:t xml:space="preserve"> 2016 </w:t>
    </w:r>
    <w:r>
      <w:rPr>
        <w:color w:val="01653F"/>
        <w:sz w:val="16"/>
      </w:rPr>
      <w:tab/>
    </w:r>
    <w:r w:rsidRPr="001C53E1">
      <w:rPr>
        <w:color w:val="01653F"/>
        <w:sz w:val="16"/>
      </w:rPr>
      <w:t xml:space="preserve">Page </w:t>
    </w:r>
    <w:r w:rsidRPr="001C53E1">
      <w:rPr>
        <w:color w:val="01653F"/>
        <w:sz w:val="16"/>
      </w:rPr>
      <w:fldChar w:fldCharType="begin"/>
    </w:r>
    <w:r w:rsidRPr="001C53E1">
      <w:rPr>
        <w:color w:val="01653F"/>
        <w:sz w:val="16"/>
      </w:rPr>
      <w:instrText xml:space="preserve"> PAGE   \* MERGEFORMAT </w:instrText>
    </w:r>
    <w:r w:rsidRPr="001C53E1">
      <w:rPr>
        <w:color w:val="01653F"/>
        <w:sz w:val="16"/>
      </w:rPr>
      <w:fldChar w:fldCharType="separate"/>
    </w:r>
    <w:r w:rsidR="00F168B3">
      <w:rPr>
        <w:noProof/>
        <w:color w:val="01653F"/>
        <w:sz w:val="16"/>
      </w:rPr>
      <w:t>165</w:t>
    </w:r>
    <w:r w:rsidRPr="001C53E1">
      <w:rPr>
        <w:color w:val="01653F"/>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82410" w14:textId="77777777" w:rsidR="00B25C3C" w:rsidRPr="008D59BC" w:rsidRDefault="00B25C3C" w:rsidP="009D5707">
    <w:pPr>
      <w:pStyle w:val="Footer"/>
      <w:pBdr>
        <w:top w:val="single" w:sz="12" w:space="1" w:color="B56012"/>
      </w:pBdr>
      <w:tabs>
        <w:tab w:val="clear" w:pos="4513"/>
      </w:tabs>
      <w:rPr>
        <w:color w:val="01653F"/>
        <w:sz w:val="16"/>
      </w:rPr>
    </w:pPr>
    <w:r>
      <w:rPr>
        <w:color w:val="01653F"/>
        <w:sz w:val="16"/>
      </w:rPr>
      <w:t>Report from the Thoracic Medicine Clinical Committee – August 2016</w:t>
    </w:r>
    <w:r>
      <w:rPr>
        <w:color w:val="01653F"/>
        <w:sz w:val="16"/>
      </w:rPr>
      <w:tab/>
    </w:r>
    <w:r w:rsidRPr="001C53E1">
      <w:rPr>
        <w:color w:val="01653F"/>
        <w:sz w:val="16"/>
      </w:rPr>
      <w:t xml:space="preserve">Page </w:t>
    </w:r>
    <w:r w:rsidRPr="001C53E1">
      <w:rPr>
        <w:color w:val="01653F"/>
        <w:sz w:val="16"/>
      </w:rPr>
      <w:fldChar w:fldCharType="begin"/>
    </w:r>
    <w:r w:rsidRPr="001C53E1">
      <w:rPr>
        <w:color w:val="01653F"/>
        <w:sz w:val="16"/>
      </w:rPr>
      <w:instrText xml:space="preserve"> PAGE   \* MERGEFORMAT </w:instrText>
    </w:r>
    <w:r w:rsidRPr="001C53E1">
      <w:rPr>
        <w:color w:val="01653F"/>
        <w:sz w:val="16"/>
      </w:rPr>
      <w:fldChar w:fldCharType="separate"/>
    </w:r>
    <w:r w:rsidR="00F168B3">
      <w:rPr>
        <w:noProof/>
        <w:color w:val="01653F"/>
        <w:sz w:val="16"/>
      </w:rPr>
      <w:t>173</w:t>
    </w:r>
    <w:r w:rsidRPr="001C53E1">
      <w:rPr>
        <w:color w:val="01653F"/>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F4678" w14:textId="77777777" w:rsidR="00B25C3C" w:rsidRPr="008D59BC" w:rsidRDefault="00B25C3C" w:rsidP="007E5FA4">
    <w:pPr>
      <w:pStyle w:val="Footer"/>
      <w:numPr>
        <w:ilvl w:val="0"/>
        <w:numId w:val="17"/>
      </w:numPr>
      <w:pBdr>
        <w:top w:val="single" w:sz="12" w:space="1" w:color="B56012"/>
      </w:pBdr>
      <w:tabs>
        <w:tab w:val="clear" w:pos="4513"/>
        <w:tab w:val="clear" w:pos="9026"/>
        <w:tab w:val="right" w:pos="14040"/>
      </w:tabs>
      <w:rPr>
        <w:color w:val="01653F"/>
        <w:sz w:val="16"/>
      </w:rPr>
    </w:pPr>
    <w:r>
      <w:rPr>
        <w:color w:val="01653F"/>
        <w:sz w:val="16"/>
      </w:rPr>
      <w:t>Report from the Thoracic Medicine Clinical Committee – August</w:t>
    </w:r>
    <w:r w:rsidRPr="001C53E1">
      <w:rPr>
        <w:color w:val="01653F"/>
        <w:sz w:val="16"/>
      </w:rPr>
      <w:t xml:space="preserve"> 2016</w:t>
    </w:r>
    <w:r>
      <w:rPr>
        <w:color w:val="01653F"/>
        <w:sz w:val="16"/>
      </w:rPr>
      <w:tab/>
    </w:r>
    <w:r w:rsidRPr="001C53E1">
      <w:rPr>
        <w:color w:val="01653F"/>
        <w:sz w:val="16"/>
      </w:rPr>
      <w:t xml:space="preserve">Page </w:t>
    </w:r>
    <w:r w:rsidRPr="001C53E1">
      <w:rPr>
        <w:color w:val="01653F"/>
        <w:sz w:val="16"/>
      </w:rPr>
      <w:fldChar w:fldCharType="begin"/>
    </w:r>
    <w:r w:rsidRPr="001C53E1">
      <w:rPr>
        <w:color w:val="01653F"/>
        <w:sz w:val="16"/>
      </w:rPr>
      <w:instrText xml:space="preserve"> PAGE   \* MERGEFORMAT </w:instrText>
    </w:r>
    <w:r w:rsidRPr="001C53E1">
      <w:rPr>
        <w:color w:val="01653F"/>
        <w:sz w:val="16"/>
      </w:rPr>
      <w:fldChar w:fldCharType="separate"/>
    </w:r>
    <w:r w:rsidR="00F168B3">
      <w:rPr>
        <w:noProof/>
        <w:color w:val="01653F"/>
        <w:sz w:val="16"/>
      </w:rPr>
      <w:t>176</w:t>
    </w:r>
    <w:r w:rsidRPr="001C53E1">
      <w:rPr>
        <w:color w:val="01653F"/>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579BF" w14:textId="77777777" w:rsidR="00B25C3C" w:rsidRPr="008D59BC" w:rsidRDefault="00B25C3C" w:rsidP="009D5707">
    <w:pPr>
      <w:pStyle w:val="Footer"/>
      <w:pBdr>
        <w:top w:val="single" w:sz="12" w:space="1" w:color="B56012"/>
      </w:pBdr>
      <w:tabs>
        <w:tab w:val="clear" w:pos="4513"/>
      </w:tabs>
      <w:rPr>
        <w:color w:val="01653F"/>
        <w:sz w:val="16"/>
      </w:rPr>
    </w:pPr>
    <w:r>
      <w:rPr>
        <w:color w:val="01653F"/>
        <w:sz w:val="16"/>
      </w:rPr>
      <w:t>Report from the Thoracic Medicine Clinical Committee – August</w:t>
    </w:r>
    <w:r w:rsidRPr="001C53E1">
      <w:rPr>
        <w:color w:val="01653F"/>
        <w:sz w:val="16"/>
      </w:rPr>
      <w:t xml:space="preserve"> 2016</w:t>
    </w:r>
    <w:r>
      <w:rPr>
        <w:color w:val="01653F"/>
        <w:sz w:val="16"/>
      </w:rPr>
      <w:tab/>
      <w:t xml:space="preserve"> </w:t>
    </w:r>
    <w:r w:rsidRPr="001C53E1">
      <w:rPr>
        <w:color w:val="01653F"/>
        <w:sz w:val="16"/>
      </w:rPr>
      <w:t xml:space="preserve">Page </w:t>
    </w:r>
    <w:r w:rsidRPr="001C53E1">
      <w:rPr>
        <w:color w:val="01653F"/>
        <w:sz w:val="16"/>
      </w:rPr>
      <w:fldChar w:fldCharType="begin"/>
    </w:r>
    <w:r w:rsidRPr="001C53E1">
      <w:rPr>
        <w:color w:val="01653F"/>
        <w:sz w:val="16"/>
      </w:rPr>
      <w:instrText xml:space="preserve"> PAGE   \* MERGEFORMAT </w:instrText>
    </w:r>
    <w:r w:rsidRPr="001C53E1">
      <w:rPr>
        <w:color w:val="01653F"/>
        <w:sz w:val="16"/>
      </w:rPr>
      <w:fldChar w:fldCharType="separate"/>
    </w:r>
    <w:r w:rsidR="00F168B3">
      <w:rPr>
        <w:noProof/>
        <w:color w:val="01653F"/>
        <w:sz w:val="16"/>
      </w:rPr>
      <w:t>183</w:t>
    </w:r>
    <w:r w:rsidRPr="001C53E1">
      <w:rPr>
        <w:color w:val="01653F"/>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09617" w14:textId="77777777" w:rsidR="00B25C3C" w:rsidRPr="008D59BC" w:rsidRDefault="00B25C3C" w:rsidP="008B1C85">
    <w:pPr>
      <w:pStyle w:val="Footer"/>
      <w:pBdr>
        <w:top w:val="single" w:sz="12" w:space="1" w:color="B56012"/>
      </w:pBdr>
      <w:rPr>
        <w:color w:val="01653F"/>
        <w:sz w:val="16"/>
      </w:rPr>
    </w:pPr>
    <w:r>
      <w:rPr>
        <w:color w:val="01653F"/>
        <w:sz w:val="16"/>
      </w:rPr>
      <w:t>Report from the Thoracic Medicine Clinical Committee – August</w:t>
    </w:r>
    <w:r w:rsidRPr="001C53E1">
      <w:rPr>
        <w:color w:val="01653F"/>
        <w:sz w:val="16"/>
      </w:rPr>
      <w:t xml:space="preserve"> 2016 </w:t>
    </w:r>
    <w:r>
      <w:rPr>
        <w:color w:val="01653F"/>
        <w:sz w:val="16"/>
      </w:rPr>
      <w:tab/>
    </w:r>
    <w:r w:rsidRPr="001C53E1">
      <w:rPr>
        <w:color w:val="01653F"/>
        <w:sz w:val="16"/>
      </w:rPr>
      <w:t xml:space="preserve">Page </w:t>
    </w:r>
    <w:r w:rsidRPr="001C53E1">
      <w:rPr>
        <w:color w:val="01653F"/>
        <w:sz w:val="16"/>
      </w:rPr>
      <w:fldChar w:fldCharType="begin"/>
    </w:r>
    <w:r w:rsidRPr="001C53E1">
      <w:rPr>
        <w:color w:val="01653F"/>
        <w:sz w:val="16"/>
      </w:rPr>
      <w:instrText xml:space="preserve"> PAGE   \* MERGEFORMAT </w:instrText>
    </w:r>
    <w:r w:rsidRPr="001C53E1">
      <w:rPr>
        <w:color w:val="01653F"/>
        <w:sz w:val="16"/>
      </w:rPr>
      <w:fldChar w:fldCharType="separate"/>
    </w:r>
    <w:r w:rsidR="00F168B3">
      <w:rPr>
        <w:noProof/>
        <w:color w:val="01653F"/>
        <w:sz w:val="16"/>
      </w:rPr>
      <w:t>185</w:t>
    </w:r>
    <w:r w:rsidRPr="001C53E1">
      <w:rPr>
        <w:color w:val="01653F"/>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8A234" w14:textId="77777777" w:rsidR="00B25C3C" w:rsidRPr="004F5FA8" w:rsidRDefault="00B25C3C" w:rsidP="004F5FA8">
    <w:pPr>
      <w:pStyle w:val="Footer"/>
      <w:pBdr>
        <w:top w:val="single" w:sz="12" w:space="1" w:color="B56012"/>
      </w:pBdr>
      <w:rPr>
        <w:color w:val="01653F"/>
        <w:sz w:val="16"/>
      </w:rPr>
    </w:pPr>
    <w:r>
      <w:rPr>
        <w:color w:val="01653F"/>
        <w:sz w:val="16"/>
      </w:rPr>
      <w:t>Report from the Thoracic Medicine Clinical Committee – August</w:t>
    </w:r>
    <w:r w:rsidRPr="001C53E1">
      <w:rPr>
        <w:color w:val="01653F"/>
        <w:sz w:val="16"/>
      </w:rPr>
      <w:t xml:space="preserve"> 2016</w:t>
    </w:r>
    <w:r>
      <w:rPr>
        <w:color w:val="01653F"/>
        <w:sz w:val="16"/>
      </w:rPr>
      <w:t xml:space="preserve"> </w:t>
    </w:r>
    <w:r>
      <w:rPr>
        <w:color w:val="01653F"/>
        <w:sz w:val="16"/>
      </w:rPr>
      <w:tab/>
    </w:r>
    <w:r w:rsidRPr="001C53E1">
      <w:rPr>
        <w:color w:val="01653F"/>
        <w:sz w:val="16"/>
      </w:rPr>
      <w:t xml:space="preserve">Page </w:t>
    </w:r>
    <w:r w:rsidRPr="001C53E1">
      <w:rPr>
        <w:color w:val="01653F"/>
        <w:sz w:val="16"/>
      </w:rPr>
      <w:fldChar w:fldCharType="begin"/>
    </w:r>
    <w:r w:rsidRPr="001C53E1">
      <w:rPr>
        <w:color w:val="01653F"/>
        <w:sz w:val="16"/>
      </w:rPr>
      <w:instrText xml:space="preserve"> PAGE   \* MERGEFORMAT </w:instrText>
    </w:r>
    <w:r w:rsidRPr="001C53E1">
      <w:rPr>
        <w:color w:val="01653F"/>
        <w:sz w:val="16"/>
      </w:rPr>
      <w:fldChar w:fldCharType="separate"/>
    </w:r>
    <w:r w:rsidR="00F168B3">
      <w:rPr>
        <w:noProof/>
        <w:color w:val="01653F"/>
        <w:sz w:val="16"/>
      </w:rPr>
      <w:t>190</w:t>
    </w:r>
    <w:r w:rsidRPr="001C53E1">
      <w:rPr>
        <w:color w:val="01653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7EF22" w14:textId="77777777" w:rsidR="00B25C3C" w:rsidRDefault="00B25C3C" w:rsidP="000D1CF6">
      <w:r>
        <w:separator/>
      </w:r>
    </w:p>
  </w:footnote>
  <w:footnote w:type="continuationSeparator" w:id="0">
    <w:p w14:paraId="2F919635" w14:textId="77777777" w:rsidR="00B25C3C" w:rsidRDefault="00B25C3C" w:rsidP="000D1CF6">
      <w:r>
        <w:continuationSeparator/>
      </w:r>
    </w:p>
    <w:p w14:paraId="7F3C33BC" w14:textId="77777777" w:rsidR="00B25C3C" w:rsidRDefault="00B25C3C" w:rsidP="000D1CF6"/>
  </w:footnote>
  <w:footnote w:id="1">
    <w:p w14:paraId="19453E09" w14:textId="77777777" w:rsidR="00B25C3C" w:rsidRDefault="00B25C3C" w:rsidP="008B1C85">
      <w:pPr>
        <w:pStyle w:val="FootnoteText"/>
      </w:pPr>
      <w:r>
        <w:rPr>
          <w:rStyle w:val="FootnoteReference"/>
          <w:rFonts w:eastAsiaTheme="minorHAnsi"/>
        </w:rPr>
        <w:footnoteRef/>
      </w:r>
      <w:r>
        <w:t xml:space="preserve"> </w:t>
      </w:r>
      <w:r w:rsidRPr="00D31D6E">
        <w:t>The BEACH survey gathers information from a random sample of GPs in Australia. An ‘encounter’ relates to a consultation between a patient and a GP.</w:t>
      </w:r>
      <w:r>
        <w:t xml:space="preserve"> Data </w:t>
      </w:r>
      <w:r w:rsidRPr="00D31D6E">
        <w:t>need to be interpreted with some caution</w:t>
      </w:r>
      <w:r>
        <w:t>.</w:t>
      </w:r>
    </w:p>
  </w:footnote>
  <w:footnote w:id="2">
    <w:p w14:paraId="1069A40F" w14:textId="77777777" w:rsidR="00B25C3C" w:rsidRDefault="00B25C3C" w:rsidP="008B1C85">
      <w:pPr>
        <w:pStyle w:val="FootnoteText"/>
      </w:pPr>
      <w:r>
        <w:rPr>
          <w:rStyle w:val="FootnoteReference"/>
          <w:rFonts w:eastAsiaTheme="minorHAnsi"/>
        </w:rPr>
        <w:footnoteRef/>
      </w:r>
      <w:r>
        <w:t xml:space="preserve"> Calculated using the method described in Section 2.9 of the BEACH publication by Britt et al, 2015. Medicare data for the 2014–15 year included data from the April 2014 to March 2015 quarters because the 2014–15 financial year data were not available at the time of preparation of the BEACH report.</w:t>
      </w:r>
    </w:p>
  </w:footnote>
  <w:footnote w:id="3">
    <w:p w14:paraId="3FC77D2F" w14:textId="77777777" w:rsidR="00B25C3C" w:rsidRDefault="00B25C3C" w:rsidP="008B1C85">
      <w:pPr>
        <w:pStyle w:val="FootnoteText"/>
      </w:pPr>
      <w:r>
        <w:rPr>
          <w:rStyle w:val="FootnoteReference"/>
          <w:rFonts w:eastAsiaTheme="minorHAnsi"/>
        </w:rPr>
        <w:footnoteRef/>
      </w:r>
      <w:r>
        <w:t xml:space="preserve"> Lung function test includes any of the following: peak flow, pulmonary function, spirometry, lung function, physical function, FEV</w:t>
      </w:r>
      <w:r w:rsidRPr="004334E3">
        <w:rPr>
          <w:vertAlign w:val="subscript"/>
        </w:rPr>
        <w:t>1</w:t>
      </w:r>
      <w:r>
        <w:t xml:space="preserve"> and respiratory function.</w:t>
      </w:r>
    </w:p>
  </w:footnote>
  <w:footnote w:id="4">
    <w:p w14:paraId="631A5494" w14:textId="77777777" w:rsidR="00B25C3C" w:rsidRDefault="00B25C3C" w:rsidP="008B1C85">
      <w:pPr>
        <w:pStyle w:val="FootnoteText"/>
      </w:pPr>
      <w:r>
        <w:rPr>
          <w:rStyle w:val="FootnoteReference"/>
          <w:rFonts w:eastAsiaTheme="minorHAnsi"/>
        </w:rPr>
        <w:footnoteRef/>
      </w:r>
      <w:r>
        <w:t xml:space="preserve"> An updated version of this guideline was released after the search date for this review. Version 2.44 included published evidence up to December 2015; however, it did not include any additional evidence relating to the use of spirometry.</w:t>
      </w:r>
    </w:p>
  </w:footnote>
  <w:footnote w:id="5">
    <w:p w14:paraId="042BB02C" w14:textId="77777777" w:rsidR="00B25C3C" w:rsidRDefault="00B25C3C" w:rsidP="008B1C85">
      <w:pPr>
        <w:pStyle w:val="FootnoteText"/>
      </w:pPr>
      <w:r>
        <w:rPr>
          <w:rStyle w:val="FootnoteReference"/>
          <w:rFonts w:eastAsiaTheme="minorHAnsi"/>
        </w:rPr>
        <w:footnoteRef/>
      </w:r>
      <w:r>
        <w:t xml:space="preserve"> Version 1.1 of the Australian Asthma Handbook was sponsored by Mundipharma Australia and Novartis Australia.</w:t>
      </w:r>
    </w:p>
  </w:footnote>
  <w:footnote w:id="6">
    <w:p w14:paraId="1B124BDF" w14:textId="77777777" w:rsidR="00B25C3C" w:rsidRDefault="00B25C3C" w:rsidP="008B1C85">
      <w:pPr>
        <w:pStyle w:val="FootnoteText"/>
      </w:pPr>
      <w:r>
        <w:rPr>
          <w:rStyle w:val="FootnoteReference"/>
          <w:rFonts w:eastAsiaTheme="minorHAnsi"/>
        </w:rPr>
        <w:footnoteRef/>
      </w:r>
      <w:r>
        <w:t xml:space="preserve"> On the guideline search date (12 January 2016) a draft version of the NCGC guideline was available on the NICE website. On 14</w:t>
      </w:r>
      <w:r>
        <w:rPr>
          <w:vertAlign w:val="superscript"/>
        </w:rPr>
        <w:t xml:space="preserve"> </w:t>
      </w:r>
      <w:r>
        <w:t>January, following a public consultation process, the guideline was finalised and on 20 January an updated version labelled ‘Interim findings’ was released. This is the version that has been summarised for this review and is referred to as NCGC (2016).</w:t>
      </w:r>
    </w:p>
  </w:footnote>
  <w:footnote w:id="7">
    <w:p w14:paraId="27F57338" w14:textId="77777777" w:rsidR="00B25C3C" w:rsidRPr="00BD1015" w:rsidRDefault="00B25C3C" w:rsidP="008B1C85">
      <w:pPr>
        <w:pStyle w:val="FootnoteText"/>
      </w:pPr>
      <w:r>
        <w:rPr>
          <w:rStyle w:val="FootnoteReference"/>
          <w:rFonts w:eastAsiaTheme="minorHAnsi"/>
        </w:rPr>
        <w:footnoteRef/>
      </w:r>
      <w:r>
        <w:t xml:space="preserve"> LLN is the bottom 5% of the normal population distribution for FEV</w:t>
      </w:r>
      <w:r>
        <w:rPr>
          <w:vertAlign w:val="subscript"/>
        </w:rPr>
        <w:t>1</w:t>
      </w:r>
      <w:r>
        <w:t>/FVC ratio by age category. Most spirometers give an age-adjusted cut-point for this parameter.</w:t>
      </w:r>
    </w:p>
  </w:footnote>
  <w:footnote w:id="8">
    <w:p w14:paraId="0E51F095" w14:textId="77777777" w:rsidR="00B25C3C" w:rsidRDefault="00B25C3C" w:rsidP="008B1C85">
      <w:pPr>
        <w:pStyle w:val="FootnoteText"/>
      </w:pPr>
      <w:r>
        <w:rPr>
          <w:rStyle w:val="FootnoteReference"/>
          <w:rFonts w:eastAsiaTheme="minorHAnsi"/>
        </w:rPr>
        <w:footnoteRef/>
      </w:r>
      <w:r>
        <w:t xml:space="preserve"> Objective tests conducted as part of the reference standard varied between studies. The tests included methacholine challenge test, bronchodilator response, plethysmography, methacholine challenge test, positive hypertonic saline challenge test. In the study of children, the reference standard was diagnosis by a paediatric pulmonologist after 18 months follow-up based on history of symptoms, treatment trials, documented variability in FEV</w:t>
      </w:r>
      <w:r>
        <w:rPr>
          <w:vertAlign w:val="subscript"/>
        </w:rPr>
        <w:t>1</w:t>
      </w:r>
      <w:r>
        <w:t xml:space="preserve"> with or without controller medications (Sivan et al, 2009). </w:t>
      </w:r>
    </w:p>
  </w:footnote>
  <w:footnote w:id="9">
    <w:p w14:paraId="7887314F" w14:textId="77777777" w:rsidR="00B25C3C" w:rsidRDefault="00B25C3C" w:rsidP="008B1C85">
      <w:pPr>
        <w:pStyle w:val="FootnoteText"/>
      </w:pPr>
      <w:r>
        <w:rPr>
          <w:rStyle w:val="FootnoteReference"/>
          <w:rFonts w:eastAsiaTheme="minorHAnsi"/>
        </w:rPr>
        <w:footnoteRef/>
      </w:r>
      <w:r>
        <w:t xml:space="preserve"> </w:t>
      </w:r>
      <w:r w:rsidRPr="00DA1137">
        <w:t>A population study by Quanjer et al (2012) is cited as a source of reference values for the FEV</w:t>
      </w:r>
      <w:r w:rsidRPr="00DA1137">
        <w:rPr>
          <w:vertAlign w:val="subscript"/>
        </w:rPr>
        <w:t>1</w:t>
      </w:r>
      <w:r w:rsidRPr="00DA1137">
        <w:t>/FVC ratio. Based on this (and possibly other) evidence, the 2015 GINA report suggests that the FEV</w:t>
      </w:r>
      <w:r w:rsidRPr="00DA1137">
        <w:rPr>
          <w:vertAlign w:val="subscript"/>
        </w:rPr>
        <w:t>1</w:t>
      </w:r>
      <w:r w:rsidRPr="00DA1137">
        <w:t>/FVC ratio is normally greater than 0.75 to 0.80, and usually greater than 0.90 in children. Any values less than these suggest airflow limitation.</w:t>
      </w:r>
    </w:p>
  </w:footnote>
  <w:footnote w:id="10">
    <w:p w14:paraId="757B91D7" w14:textId="77777777" w:rsidR="00B25C3C" w:rsidRPr="00FB0647" w:rsidRDefault="00B25C3C" w:rsidP="008B1C85">
      <w:pPr>
        <w:pStyle w:val="FootnoteText"/>
      </w:pPr>
      <w:r>
        <w:rPr>
          <w:rStyle w:val="FootnoteReference"/>
          <w:rFonts w:eastAsiaTheme="minorHAnsi"/>
        </w:rPr>
        <w:footnoteRef/>
      </w:r>
      <w:r>
        <w:t xml:space="preserve"> The report stated the FEV</w:t>
      </w:r>
      <w:r>
        <w:rPr>
          <w:vertAlign w:val="subscript"/>
        </w:rPr>
        <w:t>1</w:t>
      </w:r>
      <w:r>
        <w:t xml:space="preserve"> is more reliable than PEF.</w:t>
      </w:r>
    </w:p>
  </w:footnote>
  <w:footnote w:id="11">
    <w:p w14:paraId="2096E5E9" w14:textId="77777777" w:rsidR="00B25C3C" w:rsidRDefault="00B25C3C" w:rsidP="008B1C85">
      <w:pPr>
        <w:pStyle w:val="FootnoteText"/>
      </w:pPr>
      <w:r>
        <w:rPr>
          <w:rStyle w:val="FootnoteReference"/>
          <w:rFonts w:eastAsiaTheme="minorHAnsi"/>
        </w:rPr>
        <w:footnoteRef/>
      </w:r>
      <w:r>
        <w:t xml:space="preserve"> The full list of key questions is available on the </w:t>
      </w:r>
      <w:hyperlink r:id="rId1" w:history="1">
        <w:r w:rsidRPr="00CB5570">
          <w:rPr>
            <w:rStyle w:val="Hyperlink"/>
          </w:rPr>
          <w:t>SIGN website</w:t>
        </w:r>
      </w:hyperlink>
      <w:r>
        <w:t>.</w:t>
      </w:r>
    </w:p>
  </w:footnote>
  <w:footnote w:id="12">
    <w:p w14:paraId="57FED869" w14:textId="77777777" w:rsidR="00B25C3C" w:rsidRDefault="00B25C3C" w:rsidP="008B1C85">
      <w:pPr>
        <w:pStyle w:val="FootnoteText"/>
      </w:pPr>
      <w:r>
        <w:rPr>
          <w:rStyle w:val="FootnoteReference"/>
          <w:rFonts w:eastAsiaTheme="minorHAnsi"/>
        </w:rPr>
        <w:footnoteRef/>
      </w:r>
      <w:r>
        <w:t xml:space="preserve"> Based on evidence available in Hunter et al (2002) and British Thoracic Society (2008).</w:t>
      </w:r>
    </w:p>
  </w:footnote>
  <w:footnote w:id="13">
    <w:p w14:paraId="66C119E5" w14:textId="77777777" w:rsidR="00B25C3C" w:rsidRDefault="00B25C3C" w:rsidP="008B1C85">
      <w:pPr>
        <w:pStyle w:val="FootnoteText"/>
      </w:pPr>
      <w:r>
        <w:rPr>
          <w:rStyle w:val="FootnoteReference"/>
          <w:rFonts w:eastAsiaTheme="minorHAnsi"/>
        </w:rPr>
        <w:footnoteRef/>
      </w:r>
      <w:r>
        <w:t xml:space="preserve"> Sourk and Nugent (1983) and Pellegrino et al (2005).</w:t>
      </w:r>
    </w:p>
  </w:footnote>
  <w:footnote w:id="14">
    <w:p w14:paraId="190B59A9" w14:textId="77777777" w:rsidR="00B25C3C" w:rsidRDefault="00B25C3C" w:rsidP="008B1C85">
      <w:pPr>
        <w:pStyle w:val="FootnoteText"/>
      </w:pPr>
      <w:r>
        <w:rPr>
          <w:rStyle w:val="FootnoteReference"/>
          <w:rFonts w:eastAsiaTheme="minorHAnsi"/>
        </w:rPr>
        <w:footnoteRef/>
      </w:r>
      <w:r>
        <w:t xml:space="preserve"> </w:t>
      </w:r>
      <w:r w:rsidRPr="00616456">
        <w:t xml:space="preserve">All measurements were post-bronchodilator </w:t>
      </w:r>
      <w:r>
        <w:t xml:space="preserve">except for one study </w:t>
      </w:r>
      <w:r w:rsidRPr="00616456">
        <w:t>(Celli et al, 2003</w:t>
      </w:r>
      <w:r>
        <w:t>).</w:t>
      </w:r>
    </w:p>
  </w:footnote>
  <w:footnote w:id="15">
    <w:p w14:paraId="637B5859" w14:textId="77777777" w:rsidR="00B25C3C" w:rsidRDefault="00B25C3C" w:rsidP="008B1C85">
      <w:pPr>
        <w:pStyle w:val="FootnoteText"/>
      </w:pPr>
      <w:r>
        <w:rPr>
          <w:rStyle w:val="FootnoteReference"/>
          <w:rFonts w:eastAsiaTheme="minorHAnsi"/>
        </w:rPr>
        <w:footnoteRef/>
      </w:r>
      <w:r>
        <w:t xml:space="preserve"> </w:t>
      </w:r>
      <w:r w:rsidRPr="003C54D2">
        <w:t>No relevant economic analyses were identified that compared COPD diagnosis using a fixed ratio FEV</w:t>
      </w:r>
      <w:r w:rsidRPr="00E45A8C">
        <w:rPr>
          <w:vertAlign w:val="subscript"/>
        </w:rPr>
        <w:t>1</w:t>
      </w:r>
      <w:r w:rsidRPr="003C54D2">
        <w:t>/FVC compared with the LLN FEV</w:t>
      </w:r>
      <w:r w:rsidRPr="00E45A8C">
        <w:rPr>
          <w:vertAlign w:val="subscript"/>
        </w:rPr>
        <w:t>1</w:t>
      </w:r>
      <w:r w:rsidRPr="003C54D2">
        <w:t>/FVC ratio.</w:t>
      </w:r>
    </w:p>
  </w:footnote>
  <w:footnote w:id="16">
    <w:p w14:paraId="0DF931C4" w14:textId="77777777" w:rsidR="00B25C3C" w:rsidRDefault="00B25C3C" w:rsidP="008B1C85">
      <w:pPr>
        <w:pStyle w:val="FootnoteText"/>
      </w:pPr>
      <w:r>
        <w:rPr>
          <w:rStyle w:val="FootnoteReference"/>
          <w:rFonts w:eastAsiaTheme="minorHAnsi"/>
        </w:rPr>
        <w:footnoteRef/>
      </w:r>
      <w:r>
        <w:t xml:space="preserve"> Quanjer et al (1993)</w:t>
      </w:r>
    </w:p>
  </w:footnote>
  <w:footnote w:id="17">
    <w:p w14:paraId="2BF6E11B" w14:textId="77777777" w:rsidR="00B25C3C" w:rsidRDefault="00B25C3C" w:rsidP="008B1C85">
      <w:pPr>
        <w:pStyle w:val="FootnoteText"/>
      </w:pPr>
      <w:r>
        <w:rPr>
          <w:rStyle w:val="FootnoteReference"/>
          <w:rFonts w:eastAsiaTheme="minorHAnsi"/>
        </w:rPr>
        <w:footnoteRef/>
      </w:r>
      <w:r>
        <w:t xml:space="preserve"> Presumably this refers to the CPG from Qaseem et al (2007).</w:t>
      </w:r>
    </w:p>
  </w:footnote>
  <w:footnote w:id="18">
    <w:p w14:paraId="3926856D" w14:textId="77777777" w:rsidR="00B25C3C" w:rsidRPr="00D6498F" w:rsidRDefault="00B25C3C" w:rsidP="008B1C85">
      <w:pPr>
        <w:pStyle w:val="FootnoteText"/>
      </w:pPr>
      <w:r>
        <w:rPr>
          <w:rStyle w:val="FootnoteReference"/>
          <w:rFonts w:eastAsiaTheme="minorHAnsi"/>
        </w:rPr>
        <w:footnoteRef/>
      </w:r>
      <w:r>
        <w:t xml:space="preserve"> NAC (2015</w:t>
      </w:r>
      <w:hyperlink r:id="rId2" w:history="1">
        <w:r w:rsidRPr="00D6498F">
          <w:rPr>
            <w:rStyle w:val="Hyperlink"/>
          </w:rPr>
          <w:t>). Completing a rapid primary assessment and starting initial treatment</w:t>
        </w:r>
      </w:hyperlink>
      <w:r>
        <w:t xml:space="preserve">. In: </w:t>
      </w:r>
      <w:r w:rsidRPr="0099709F">
        <w:rPr>
          <w:i/>
        </w:rPr>
        <w:t>Australian Asthma Handbook</w:t>
      </w:r>
      <w:r>
        <w:t xml:space="preserve">, </w:t>
      </w:r>
    </w:p>
  </w:footnote>
  <w:footnote w:id="19">
    <w:p w14:paraId="15D97E6B" w14:textId="77777777" w:rsidR="00B25C3C" w:rsidRDefault="00B25C3C" w:rsidP="008B1C85">
      <w:pPr>
        <w:pStyle w:val="FootnoteText"/>
      </w:pPr>
      <w:r w:rsidRPr="00D6498F">
        <w:rPr>
          <w:rStyle w:val="FootnoteReference"/>
          <w:rFonts w:eastAsiaTheme="minorHAnsi"/>
        </w:rPr>
        <w:footnoteRef/>
      </w:r>
      <w:r w:rsidRPr="00D6498F">
        <w:t xml:space="preserve"> NAC (2015). </w:t>
      </w:r>
      <w:hyperlink r:id="rId3" w:history="1">
        <w:r w:rsidRPr="00D6498F">
          <w:rPr>
            <w:rStyle w:val="Hyperlink"/>
          </w:rPr>
          <w:t>Managing acute asthma in adults</w:t>
        </w:r>
      </w:hyperlink>
      <w:r w:rsidRPr="00D6498F">
        <w:t xml:space="preserve"> and</w:t>
      </w:r>
      <w:r>
        <w:t xml:space="preserve"> </w:t>
      </w:r>
      <w:hyperlink r:id="rId4" w:history="1">
        <w:r w:rsidRPr="00D6498F">
          <w:rPr>
            <w:rStyle w:val="Hyperlink"/>
          </w:rPr>
          <w:t>Managing acute asthma in children</w:t>
        </w:r>
      </w:hyperlink>
      <w:r>
        <w:t xml:space="preserve">. In: </w:t>
      </w:r>
      <w:r w:rsidRPr="0099709F">
        <w:rPr>
          <w:i/>
        </w:rPr>
        <w:t>Australian Asthma Handbook</w:t>
      </w:r>
      <w:r w:rsidRPr="00D6498F">
        <w:t xml:space="preserve">, </w:t>
      </w:r>
    </w:p>
  </w:footnote>
  <w:footnote w:id="20">
    <w:p w14:paraId="53D37DDA" w14:textId="77777777" w:rsidR="00B25C3C" w:rsidRDefault="00B25C3C" w:rsidP="008B1C85">
      <w:pPr>
        <w:pStyle w:val="FootnoteText"/>
      </w:pPr>
      <w:r>
        <w:rPr>
          <w:rStyle w:val="FootnoteReference"/>
          <w:rFonts w:eastAsiaTheme="minorHAnsi"/>
        </w:rPr>
        <w:footnoteRef/>
      </w:r>
      <w:r>
        <w:t xml:space="preserve"> The systematic review by Wilt et al (2007) also served as the background paper for the 2007 American College of Physician’s</w:t>
      </w:r>
      <w:r w:rsidRPr="000B39B9">
        <w:t xml:space="preserve"> </w:t>
      </w:r>
      <w:r>
        <w:t>clinical practice guideline on the d</w:t>
      </w:r>
      <w:r w:rsidRPr="000B39B9">
        <w:t>iagnosis an</w:t>
      </w:r>
      <w:r>
        <w:t>d management of stable COPD</w:t>
      </w:r>
      <w:r w:rsidRPr="000B39B9">
        <w:t>.</w:t>
      </w:r>
    </w:p>
  </w:footnote>
  <w:footnote w:id="21">
    <w:p w14:paraId="738FE9C3" w14:textId="77777777" w:rsidR="00B25C3C" w:rsidRDefault="00B25C3C" w:rsidP="00634EE3">
      <w:pPr>
        <w:pStyle w:val="FootnoteText"/>
      </w:pPr>
      <w:r>
        <w:rPr>
          <w:rStyle w:val="FootnoteReference"/>
          <w:rFonts w:eastAsiaTheme="minorHAnsi"/>
        </w:rPr>
        <w:footnoteRef/>
      </w:r>
      <w:r>
        <w:t xml:space="preserve"> The Handbook includes a guide for asthma check-ups (which may include spirometry) based on various clinical criteria (see Appendix 8).</w:t>
      </w:r>
    </w:p>
  </w:footnote>
  <w:footnote w:id="22">
    <w:p w14:paraId="7307C84F" w14:textId="77777777" w:rsidR="00B25C3C" w:rsidRDefault="00B25C3C" w:rsidP="008B1C85">
      <w:pPr>
        <w:pStyle w:val="FootnoteText"/>
      </w:pPr>
      <w:r>
        <w:rPr>
          <w:rStyle w:val="FootnoteReference"/>
          <w:rFonts w:eastAsiaTheme="minorHAnsi"/>
        </w:rPr>
        <w:footnoteRef/>
      </w:r>
      <w:r>
        <w:t xml:space="preserve"> The Handbook cited Pelligrino et al (2005).</w:t>
      </w:r>
    </w:p>
  </w:footnote>
  <w:footnote w:id="23">
    <w:p w14:paraId="0C9C8340" w14:textId="77777777" w:rsidR="00B25C3C" w:rsidRDefault="00B25C3C" w:rsidP="006E4DB4">
      <w:pPr>
        <w:pStyle w:val="FootnoteText"/>
      </w:pPr>
      <w:r>
        <w:rPr>
          <w:rStyle w:val="FootnoteReference"/>
          <w:rFonts w:eastAsiaTheme="minorHAnsi"/>
        </w:rPr>
        <w:footnoteRef/>
      </w:r>
      <w:r>
        <w:t xml:space="preserve"> </w:t>
      </w:r>
      <w:r w:rsidRPr="00A559FB">
        <w:t xml:space="preserve">With regular </w:t>
      </w:r>
      <w:r>
        <w:t>inhaled corticosteroid</w:t>
      </w:r>
      <w:r w:rsidRPr="00A559FB">
        <w:t xml:space="preserve"> treatment, FEV</w:t>
      </w:r>
      <w:r w:rsidRPr="0088103F">
        <w:rPr>
          <w:vertAlign w:val="subscript"/>
        </w:rPr>
        <w:t>1</w:t>
      </w:r>
      <w:r w:rsidRPr="00A559FB">
        <w:t xml:space="preserve"> starts to improve within days, and reaches a p</w:t>
      </w:r>
      <w:r>
        <w:t>lateau after around 2 months.</w:t>
      </w:r>
      <w:r w:rsidRPr="00A559FB">
        <w:t xml:space="preserve"> The patient’s highest FEV</w:t>
      </w:r>
      <w:r w:rsidRPr="0088103F">
        <w:rPr>
          <w:vertAlign w:val="subscript"/>
        </w:rPr>
        <w:t>1</w:t>
      </w:r>
      <w:r w:rsidRPr="00A559FB">
        <w:t xml:space="preserve"> reading (personal best) should be documented, as this provides a more useful comparison for clinical practice than FEV</w:t>
      </w:r>
      <w:r w:rsidRPr="0088103F">
        <w:rPr>
          <w:vertAlign w:val="subscript"/>
        </w:rPr>
        <w:t>1</w:t>
      </w:r>
      <w:r w:rsidRPr="00A559FB">
        <w:t xml:space="preserve"> percent predicted. If predicted values are used in children, measure their height at each visit</w:t>
      </w:r>
      <w:r>
        <w:t xml:space="preserve"> (GINA, 2015)</w:t>
      </w:r>
      <w:r w:rsidRPr="00A559FB">
        <w:t>.</w:t>
      </w:r>
    </w:p>
  </w:footnote>
  <w:footnote w:id="24">
    <w:p w14:paraId="6B63EE29" w14:textId="2438D652" w:rsidR="00B25C3C" w:rsidRDefault="00B25C3C" w:rsidP="008B1C85">
      <w:pPr>
        <w:pStyle w:val="FootnoteText"/>
      </w:pPr>
      <w:r>
        <w:rPr>
          <w:rStyle w:val="FootnoteReference"/>
          <w:rFonts w:eastAsiaTheme="minorHAnsi"/>
        </w:rPr>
        <w:footnoteRef/>
      </w:r>
      <w:r>
        <w:t xml:space="preserve"> These were the indicators in place in 2006-07. See </w:t>
      </w:r>
      <w:r>
        <w:fldChar w:fldCharType="begin"/>
      </w:r>
      <w:r>
        <w:instrText xml:space="preserve"> REF _Ref442798678 \n \h </w:instrText>
      </w:r>
      <w:r>
        <w:fldChar w:fldCharType="separate"/>
      </w:r>
      <w:r w:rsidR="00F2203C">
        <w:t>0</w:t>
      </w:r>
      <w:r>
        <w:fldChar w:fldCharType="end"/>
      </w:r>
      <w:r>
        <w:t xml:space="preserve"> for COPD indicators in 2014-15.</w:t>
      </w:r>
    </w:p>
  </w:footnote>
  <w:footnote w:id="25">
    <w:p w14:paraId="73B498C5" w14:textId="77777777" w:rsidR="00B25C3C" w:rsidRDefault="00B25C3C" w:rsidP="008B1C85">
      <w:pPr>
        <w:pStyle w:val="FootnoteText"/>
      </w:pPr>
      <w:r>
        <w:rPr>
          <w:rStyle w:val="FootnoteReference"/>
          <w:rFonts w:eastAsiaTheme="minorHAnsi"/>
        </w:rPr>
        <w:footnoteRef/>
      </w:r>
      <w:r>
        <w:t xml:space="preserve"> </w:t>
      </w:r>
      <w:r w:rsidRPr="00704FF1">
        <w:t>2014/15 General medical services (GMS) contract Quality and Outcomes Framework (QOF). Guidance for GMS contract 2014/15</w:t>
      </w:r>
      <w:r>
        <w:t>, March 2015</w:t>
      </w:r>
      <w:r w:rsidRPr="00704FF1">
        <w:t>.</w:t>
      </w:r>
    </w:p>
  </w:footnote>
  <w:footnote w:id="26">
    <w:p w14:paraId="7255C3C3" w14:textId="77777777" w:rsidR="00B25C3C" w:rsidRDefault="00B25C3C" w:rsidP="008B1C85">
      <w:pPr>
        <w:pStyle w:val="FootnoteText"/>
      </w:pPr>
      <w:r>
        <w:rPr>
          <w:rStyle w:val="FootnoteReference"/>
          <w:rFonts w:eastAsiaTheme="minorHAnsi"/>
        </w:rPr>
        <w:footnoteRef/>
      </w:r>
      <w:r>
        <w:t xml:space="preserve"> Health economic searches (NHS Economic Evaluation Database, the Health Technology Assessment database and the Health Economic Evaluations Database) were undertaken on the same day.</w:t>
      </w:r>
    </w:p>
  </w:footnote>
  <w:footnote w:id="27">
    <w:p w14:paraId="5F43F5F7" w14:textId="77777777" w:rsidR="00B25C3C" w:rsidRDefault="00B25C3C" w:rsidP="008B1C85">
      <w:pPr>
        <w:pStyle w:val="FootnoteText"/>
      </w:pPr>
      <w:r>
        <w:rPr>
          <w:rStyle w:val="FootnoteReference"/>
          <w:rFonts w:eastAsiaTheme="minorHAnsi"/>
        </w:rPr>
        <w:footnoteRef/>
      </w:r>
      <w:r>
        <w:t xml:space="preserve"> It was unclear which version of this guideline was used to develop the 2014 </w:t>
      </w:r>
      <w:r w:rsidRPr="0066440C">
        <w:t>Concise Guide.</w:t>
      </w:r>
    </w:p>
  </w:footnote>
  <w:footnote w:id="28">
    <w:p w14:paraId="4D3FF4BF" w14:textId="77777777" w:rsidR="00B25C3C" w:rsidRDefault="00B25C3C" w:rsidP="008B1C85">
      <w:pPr>
        <w:pStyle w:val="FootnoteText"/>
      </w:pPr>
      <w:r>
        <w:rPr>
          <w:rStyle w:val="FootnoteReference"/>
          <w:rFonts w:eastAsiaTheme="minorHAnsi"/>
        </w:rPr>
        <w:footnoteRef/>
      </w:r>
      <w:r>
        <w:t xml:space="preserve"> Specific details about the ACP guideline methodology was provided in Qaseem et al (2010).</w:t>
      </w:r>
    </w:p>
  </w:footnote>
  <w:footnote w:id="29">
    <w:p w14:paraId="299D326F" w14:textId="77777777" w:rsidR="00B25C3C" w:rsidRDefault="00B25C3C" w:rsidP="008B1C85">
      <w:pPr>
        <w:pStyle w:val="FootnoteText"/>
      </w:pPr>
      <w:r>
        <w:rPr>
          <w:rStyle w:val="FootnoteReference"/>
          <w:rFonts w:eastAsiaTheme="minorHAnsi"/>
        </w:rPr>
        <w:footnoteRef/>
      </w:r>
      <w:r>
        <w:t xml:space="preserve"> </w:t>
      </w:r>
      <w:r w:rsidRPr="00124262">
        <w:t xml:space="preserve">Curtis L. </w:t>
      </w:r>
      <w:hyperlink r:id="rId5" w:history="1">
        <w:r w:rsidRPr="00D6498F">
          <w:rPr>
            <w:rStyle w:val="Hyperlink"/>
          </w:rPr>
          <w:t>Unit costs of health and social care 2013</w:t>
        </w:r>
      </w:hyperlink>
      <w:r w:rsidRPr="00124262">
        <w:t>. Canterbury: Personal Social Services Research Unit, University of Kent; 2013.</w:t>
      </w:r>
    </w:p>
  </w:footnote>
  <w:footnote w:id="30">
    <w:p w14:paraId="0EA48725" w14:textId="77777777" w:rsidR="00B25C3C" w:rsidRDefault="00B25C3C" w:rsidP="008B1C85">
      <w:pPr>
        <w:pStyle w:val="FootnoteText"/>
      </w:pPr>
      <w:r>
        <w:rPr>
          <w:rStyle w:val="FootnoteReference"/>
          <w:rFonts w:eastAsiaTheme="minorHAnsi"/>
        </w:rPr>
        <w:footnoteRef/>
      </w:r>
      <w:r>
        <w:t xml:space="preserve"> </w:t>
      </w:r>
      <w:r w:rsidRPr="00124262">
        <w:t xml:space="preserve">Department of Health. </w:t>
      </w:r>
      <w:hyperlink r:id="rId6" w:history="1">
        <w:r w:rsidRPr="00D6498F">
          <w:rPr>
            <w:rStyle w:val="Hyperlink"/>
          </w:rPr>
          <w:t>NHS Supply Chain Catalogue</w:t>
        </w:r>
      </w:hyperlink>
      <w:r w:rsidRPr="00124262">
        <w:t xml:space="preserve">. 2014. </w:t>
      </w:r>
      <w:r>
        <w:t>A</w:t>
      </w:r>
      <w:r w:rsidRPr="00124262">
        <w:t>c</w:t>
      </w:r>
      <w:r>
        <w:t>cessed: 21 November 2014.</w:t>
      </w:r>
    </w:p>
  </w:footnote>
  <w:footnote w:id="31">
    <w:p w14:paraId="58E16078" w14:textId="77777777" w:rsidR="00B25C3C" w:rsidRDefault="00B25C3C" w:rsidP="008B1C85">
      <w:pPr>
        <w:pStyle w:val="FootnoteText"/>
      </w:pPr>
      <w:r>
        <w:rPr>
          <w:rStyle w:val="FootnoteReference"/>
          <w:rFonts w:eastAsiaTheme="minorHAnsi"/>
        </w:rPr>
        <w:footnoteRef/>
      </w:r>
      <w:r>
        <w:t xml:space="preserve"> </w:t>
      </w:r>
      <w:r w:rsidRPr="00E363C9">
        <w:t>Quality and Outcomes Framework – Prevalence, Ac</w:t>
      </w:r>
      <w:r>
        <w:t xml:space="preserve">hievements and Exceptions Report, England 2014-15. </w:t>
      </w:r>
      <w:r w:rsidRPr="00E363C9">
        <w:t>Primary Care Domain, Health and Social Care Information Centre</w:t>
      </w:r>
      <w:r>
        <w:t>. Published 29 October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6B609" w14:textId="77777777" w:rsidR="00B25C3C" w:rsidRPr="008D59BC" w:rsidRDefault="00B25C3C" w:rsidP="008B1C85">
    <w:pPr>
      <w:tabs>
        <w:tab w:val="right" w:pos="9072"/>
      </w:tabs>
      <w:rPr>
        <w:b/>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19058" w14:textId="77777777" w:rsidR="00B25C3C" w:rsidRPr="007320F8" w:rsidRDefault="00B25C3C" w:rsidP="00732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34D8E" w14:textId="77777777" w:rsidR="00B25C3C" w:rsidRPr="008D59BC" w:rsidRDefault="00B25C3C" w:rsidP="008B1C85">
    <w:pPr>
      <w:pBdr>
        <w:bottom w:val="single" w:sz="4" w:space="1" w:color="auto"/>
      </w:pBdr>
      <w:tabs>
        <w:tab w:val="right" w:pos="9072"/>
      </w:tabs>
      <w:rPr>
        <w:b/>
        <w:sz w:val="20"/>
        <w:szCs w:val="20"/>
      </w:rPr>
    </w:pPr>
    <w:r w:rsidRPr="008D59BC">
      <w:rPr>
        <w:b/>
        <w:sz w:val="20"/>
        <w:szCs w:val="20"/>
      </w:rPr>
      <w:t xml:space="preserve">MBS Review – Spirometry Rapid Review Report </w:t>
    </w:r>
    <w:r w:rsidRPr="008D59BC">
      <w:rPr>
        <w:b/>
        <w:sz w:val="20"/>
        <w:szCs w:val="20"/>
      </w:rPr>
      <w:tab/>
      <w:t>February 2016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4D870" w14:textId="77777777" w:rsidR="00B25C3C" w:rsidRPr="008D59BC" w:rsidRDefault="00B25C3C" w:rsidP="009D5707">
    <w:pPr>
      <w:pBdr>
        <w:bottom w:val="single" w:sz="4" w:space="1" w:color="auto"/>
      </w:pBdr>
      <w:tabs>
        <w:tab w:val="right" w:pos="9072"/>
      </w:tabs>
      <w:rPr>
        <w:b/>
        <w:sz w:val="20"/>
        <w:szCs w:val="20"/>
      </w:rPr>
    </w:pPr>
    <w:r w:rsidRPr="008D59BC">
      <w:rPr>
        <w:b/>
        <w:sz w:val="20"/>
        <w:szCs w:val="20"/>
      </w:rPr>
      <w:t xml:space="preserve">MBS Review – Spirometry Rapid Review Report </w:t>
    </w:r>
    <w:r w:rsidRPr="008D59BC">
      <w:rPr>
        <w:b/>
        <w:sz w:val="20"/>
        <w:szCs w:val="20"/>
      </w:rPr>
      <w:tab/>
      <w:t>February 2016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166DC" w14:textId="77777777" w:rsidR="00B25C3C" w:rsidRPr="008D59BC" w:rsidRDefault="00B25C3C" w:rsidP="00CD2B97">
    <w:pPr>
      <w:pBdr>
        <w:bottom w:val="single" w:sz="4" w:space="1" w:color="auto"/>
      </w:pBdr>
      <w:tabs>
        <w:tab w:val="right" w:pos="13968"/>
      </w:tabs>
      <w:rPr>
        <w:b/>
        <w:sz w:val="20"/>
        <w:szCs w:val="20"/>
      </w:rPr>
    </w:pPr>
    <w:r w:rsidRPr="008D59BC">
      <w:rPr>
        <w:b/>
        <w:sz w:val="20"/>
        <w:szCs w:val="20"/>
      </w:rPr>
      <w:t xml:space="preserve">MBS Review – Spirometry Rapid Review Report </w:t>
    </w:r>
    <w:r>
      <w:rPr>
        <w:b/>
        <w:sz w:val="20"/>
        <w:szCs w:val="20"/>
      </w:rPr>
      <w:tab/>
    </w:r>
    <w:r w:rsidRPr="008D59BC">
      <w:rPr>
        <w:b/>
        <w:sz w:val="20"/>
        <w:szCs w:val="20"/>
      </w:rPr>
      <w:t>February 2016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404AA" w14:textId="77777777" w:rsidR="00B25C3C" w:rsidRPr="008D59BC" w:rsidRDefault="00B25C3C" w:rsidP="008B1C85">
    <w:pPr>
      <w:pBdr>
        <w:bottom w:val="single" w:sz="4" w:space="1" w:color="auto"/>
      </w:pBdr>
      <w:tabs>
        <w:tab w:val="right" w:pos="9072"/>
      </w:tabs>
      <w:rPr>
        <w:b/>
        <w:sz w:val="20"/>
        <w:szCs w:val="20"/>
      </w:rPr>
    </w:pPr>
    <w:r w:rsidRPr="008D59BC">
      <w:rPr>
        <w:b/>
        <w:sz w:val="20"/>
        <w:szCs w:val="20"/>
      </w:rPr>
      <w:t xml:space="preserve">MBS Review – Spirometry Rapid Review Report </w:t>
    </w:r>
    <w:r w:rsidRPr="008D59BC">
      <w:rPr>
        <w:b/>
        <w:sz w:val="20"/>
        <w:szCs w:val="20"/>
      </w:rPr>
      <w:tab/>
      <w:t>February 2016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A9EF5" w14:textId="77777777" w:rsidR="00B25C3C" w:rsidRPr="008D59BC" w:rsidRDefault="00B25C3C" w:rsidP="00CD2B97">
    <w:pPr>
      <w:pBdr>
        <w:bottom w:val="single" w:sz="4" w:space="1" w:color="auto"/>
      </w:pBdr>
      <w:tabs>
        <w:tab w:val="right" w:pos="13968"/>
      </w:tabs>
      <w:rPr>
        <w:b/>
        <w:sz w:val="20"/>
        <w:szCs w:val="20"/>
      </w:rPr>
    </w:pPr>
    <w:r w:rsidRPr="008D59BC">
      <w:rPr>
        <w:b/>
        <w:sz w:val="20"/>
        <w:szCs w:val="20"/>
      </w:rPr>
      <w:t xml:space="preserve">MBS Review – Spirometry Rapid Review Report </w:t>
    </w:r>
    <w:r>
      <w:rPr>
        <w:b/>
        <w:sz w:val="20"/>
        <w:szCs w:val="20"/>
      </w:rPr>
      <w:tab/>
    </w:r>
    <w:r w:rsidRPr="008D59BC">
      <w:rPr>
        <w:b/>
        <w:sz w:val="20"/>
        <w:szCs w:val="20"/>
      </w:rPr>
      <w:t>February 2016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8D355" w14:textId="77777777" w:rsidR="00B25C3C" w:rsidRPr="008D59BC" w:rsidRDefault="00B25C3C" w:rsidP="008B1C85">
    <w:pPr>
      <w:pBdr>
        <w:bottom w:val="single" w:sz="4" w:space="1" w:color="auto"/>
      </w:pBdr>
      <w:tabs>
        <w:tab w:val="right" w:pos="9072"/>
      </w:tabs>
      <w:rPr>
        <w:b/>
        <w:sz w:val="20"/>
        <w:szCs w:val="20"/>
      </w:rPr>
    </w:pPr>
    <w:r w:rsidRPr="008D59BC">
      <w:rPr>
        <w:b/>
        <w:sz w:val="20"/>
        <w:szCs w:val="20"/>
      </w:rPr>
      <w:t xml:space="preserve">MBS Review – Spirometry Rapid Review Report </w:t>
    </w:r>
    <w:r>
      <w:rPr>
        <w:b/>
        <w:sz w:val="20"/>
        <w:szCs w:val="20"/>
      </w:rPr>
      <w:tab/>
    </w:r>
    <w:r w:rsidRPr="008D59BC">
      <w:rPr>
        <w:b/>
        <w:sz w:val="20"/>
        <w:szCs w:val="20"/>
      </w:rPr>
      <w:t>February 2016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B0AD9" w14:textId="77777777" w:rsidR="00B25C3C" w:rsidRPr="008D59BC" w:rsidRDefault="00B25C3C" w:rsidP="00D42B5C">
    <w:pPr>
      <w:pBdr>
        <w:bottom w:val="single" w:sz="4" w:space="1" w:color="auto"/>
      </w:pBdr>
      <w:tabs>
        <w:tab w:val="right" w:pos="9720"/>
      </w:tabs>
      <w:rPr>
        <w:b/>
        <w:sz w:val="20"/>
        <w:szCs w:val="20"/>
      </w:rPr>
    </w:pPr>
    <w:r w:rsidRPr="00BF5208">
      <w:rPr>
        <w:b/>
        <w:sz w:val="20"/>
        <w:szCs w:val="20"/>
      </w:rPr>
      <w:t xml:space="preserve">MBS Review – Spirometry Rapid Review Report </w:t>
    </w:r>
    <w:r w:rsidRPr="00BF5208">
      <w:rPr>
        <w:b/>
        <w:sz w:val="20"/>
        <w:szCs w:val="20"/>
      </w:rPr>
      <w:tab/>
      <w:t>February 2016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312BE" w14:textId="77777777" w:rsidR="00B25C3C" w:rsidRPr="004E1F13" w:rsidRDefault="00B25C3C" w:rsidP="004E1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0181"/>
    <w:multiLevelType w:val="hybridMultilevel"/>
    <w:tmpl w:val="E22A1CEE"/>
    <w:lvl w:ilvl="0" w:tplc="EA8A67AE">
      <w:start w:val="1"/>
      <w:numFmt w:val="decimal"/>
      <w:pStyle w:val="Rec2"/>
      <w:lvlText w:val="Recommendation 2.%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FC2783"/>
    <w:multiLevelType w:val="hybridMultilevel"/>
    <w:tmpl w:val="1FF43E80"/>
    <w:lvl w:ilvl="0" w:tplc="0F98C1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186ED2"/>
    <w:multiLevelType w:val="hybridMultilevel"/>
    <w:tmpl w:val="74BE254C"/>
    <w:lvl w:ilvl="0" w:tplc="0C09000F">
      <w:start w:val="1"/>
      <w:numFmt w:val="decimal"/>
      <w:lvlText w:val="%1."/>
      <w:lvlJc w:val="lef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48E78E0"/>
    <w:multiLevelType w:val="hybridMultilevel"/>
    <w:tmpl w:val="D4C2C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CE0069"/>
    <w:multiLevelType w:val="hybridMultilevel"/>
    <w:tmpl w:val="4B4CF0F6"/>
    <w:lvl w:ilvl="0" w:tplc="0F98C14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C55575"/>
    <w:multiLevelType w:val="hybridMultilevel"/>
    <w:tmpl w:val="7AB881B0"/>
    <w:lvl w:ilvl="0" w:tplc="3072FA96">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1B7866"/>
    <w:multiLevelType w:val="hybridMultilevel"/>
    <w:tmpl w:val="6EB24270"/>
    <w:lvl w:ilvl="0" w:tplc="8D9C3CFC">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D12BDC"/>
    <w:multiLevelType w:val="hybridMultilevel"/>
    <w:tmpl w:val="8866499C"/>
    <w:lvl w:ilvl="0" w:tplc="8FB46CDE">
      <w:start w:val="1"/>
      <w:numFmt w:val="bullet"/>
      <w:pStyle w:val="StyleListParagraphTimesNewRomanJustifiedBefore12pt1"/>
      <w:lvlText w:val=""/>
      <w:lvlJc w:val="left"/>
      <w:pPr>
        <w:ind w:left="1440" w:hanging="360"/>
      </w:pPr>
      <w:rPr>
        <w:rFonts w:ascii="Symbol" w:hAnsi="Symbol" w:hint="default"/>
        <w:color w:val="B5601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DC6106A"/>
    <w:multiLevelType w:val="hybridMultilevel"/>
    <w:tmpl w:val="3A2C06FA"/>
    <w:lvl w:ilvl="0" w:tplc="8FAC4B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E76A6E"/>
    <w:multiLevelType w:val="hybridMultilevel"/>
    <w:tmpl w:val="AB06B1A0"/>
    <w:lvl w:ilvl="0" w:tplc="335E0D1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09F600F"/>
    <w:multiLevelType w:val="hybridMultilevel"/>
    <w:tmpl w:val="CD64202A"/>
    <w:lvl w:ilvl="0" w:tplc="1CD09CAE">
      <w:start w:val="1"/>
      <w:numFmt w:val="bullet"/>
      <w:lvlText w:val="∆"/>
      <w:lvlJc w:val="left"/>
      <w:pPr>
        <w:ind w:left="720" w:hanging="360"/>
      </w:pPr>
      <w:rPr>
        <w:rFonts w:ascii="Calibri" w:hAnsi="Calibri" w:hint="default"/>
        <w:color w:val="B5601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D07622"/>
    <w:multiLevelType w:val="hybridMultilevel"/>
    <w:tmpl w:val="7550F332"/>
    <w:lvl w:ilvl="0" w:tplc="1CD09CAE">
      <w:start w:val="1"/>
      <w:numFmt w:val="bullet"/>
      <w:lvlText w:val="∆"/>
      <w:lvlJc w:val="left"/>
      <w:pPr>
        <w:ind w:left="720" w:hanging="360"/>
      </w:pPr>
      <w:rPr>
        <w:rFonts w:ascii="Calibri" w:hAnsi="Calibri" w:hint="default"/>
        <w:color w:val="B560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ED53F8"/>
    <w:multiLevelType w:val="hybridMultilevel"/>
    <w:tmpl w:val="2D36C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073221"/>
    <w:multiLevelType w:val="hybridMultilevel"/>
    <w:tmpl w:val="1F8CB1A2"/>
    <w:lvl w:ilvl="0" w:tplc="81CAC8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BB4224"/>
    <w:multiLevelType w:val="hybridMultilevel"/>
    <w:tmpl w:val="F8DA6C1E"/>
    <w:lvl w:ilvl="0" w:tplc="30604AEC">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723834"/>
    <w:multiLevelType w:val="hybridMultilevel"/>
    <w:tmpl w:val="FA9CCAC4"/>
    <w:lvl w:ilvl="0" w:tplc="4F247C74">
      <w:start w:val="1"/>
      <w:numFmt w:val="upperLetter"/>
      <w:pStyle w:val="AppendixStyle1"/>
      <w:lvlText w:val="Appendix %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556BCA"/>
    <w:multiLevelType w:val="hybridMultilevel"/>
    <w:tmpl w:val="DF4CFBF8"/>
    <w:lvl w:ilvl="0" w:tplc="0F98C14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A810F04"/>
    <w:multiLevelType w:val="hybridMultilevel"/>
    <w:tmpl w:val="62FE029E"/>
    <w:lvl w:ilvl="0" w:tplc="1CD09CAE">
      <w:start w:val="1"/>
      <w:numFmt w:val="bullet"/>
      <w:lvlText w:val="∆"/>
      <w:lvlJc w:val="left"/>
      <w:pPr>
        <w:ind w:left="720" w:hanging="360"/>
      </w:pPr>
      <w:rPr>
        <w:rFonts w:ascii="Calibri" w:hAnsi="Calibri" w:hint="default"/>
        <w:color w:val="B560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316902"/>
    <w:multiLevelType w:val="hybridMultilevel"/>
    <w:tmpl w:val="65FE241A"/>
    <w:lvl w:ilvl="0" w:tplc="680E6EE8">
      <w:start w:val="1"/>
      <w:numFmt w:val="bullet"/>
      <w:pStyle w:val="Bullettext"/>
      <w:lvlText w:val=""/>
      <w:lvlJc w:val="left"/>
      <w:pPr>
        <w:ind w:left="360" w:hanging="360"/>
      </w:pPr>
      <w:rPr>
        <w:rFonts w:ascii="Symbol" w:hAnsi="Symbol" w:hint="default"/>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1D405B6A"/>
    <w:multiLevelType w:val="hybridMultilevel"/>
    <w:tmpl w:val="AC5A81FC"/>
    <w:lvl w:ilvl="0" w:tplc="27D68BD2">
      <w:start w:val="1"/>
      <w:numFmt w:val="lowerLetter"/>
      <w:lvlText w:val="(%1)"/>
      <w:lvlJc w:val="left"/>
      <w:pPr>
        <w:ind w:left="360" w:hanging="360"/>
      </w:pPr>
      <w:rPr>
        <w:rFonts w:hint="default"/>
        <w:color w:val="0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ED05775"/>
    <w:multiLevelType w:val="hybridMultilevel"/>
    <w:tmpl w:val="D4A414CE"/>
    <w:lvl w:ilvl="0" w:tplc="1CD09CAE">
      <w:start w:val="1"/>
      <w:numFmt w:val="bullet"/>
      <w:lvlText w:val="∆"/>
      <w:lvlJc w:val="left"/>
      <w:pPr>
        <w:ind w:left="720" w:hanging="360"/>
      </w:pPr>
      <w:rPr>
        <w:rFonts w:ascii="Calibri" w:hAnsi="Calibri" w:hint="default"/>
        <w:color w:val="B560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7F6D20"/>
    <w:multiLevelType w:val="hybridMultilevel"/>
    <w:tmpl w:val="16F07D08"/>
    <w:lvl w:ilvl="0" w:tplc="3072FA96">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0C71BE9"/>
    <w:multiLevelType w:val="hybridMultilevel"/>
    <w:tmpl w:val="FF807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1131BE9"/>
    <w:multiLevelType w:val="hybridMultilevel"/>
    <w:tmpl w:val="6638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D4EE7C6">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95173B"/>
    <w:multiLevelType w:val="hybridMultilevel"/>
    <w:tmpl w:val="5BBA45B6"/>
    <w:lvl w:ilvl="0" w:tplc="120820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256006A"/>
    <w:multiLevelType w:val="hybridMultilevel"/>
    <w:tmpl w:val="DF4CFBF8"/>
    <w:lvl w:ilvl="0" w:tplc="0F98C14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58FE828E">
      <w:start w:val="1"/>
      <w:numFmt w:val="bullet"/>
      <w:pStyle w:val="NormalBulleteddash"/>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60E1744"/>
    <w:multiLevelType w:val="hybridMultilevel"/>
    <w:tmpl w:val="74F8A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512BD3"/>
    <w:multiLevelType w:val="hybridMultilevel"/>
    <w:tmpl w:val="17F2219C"/>
    <w:lvl w:ilvl="0" w:tplc="B2E23B3E">
      <w:start w:val="1"/>
      <w:numFmt w:val="decimal"/>
      <w:pStyle w:val="Rec"/>
      <w:lvlText w:val="Recommendation %1:"/>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340E8C68">
      <w:start w:val="1"/>
      <w:numFmt w:val="lowerRoman"/>
      <w:lvlText w:val="(%3)"/>
      <w:lvlJc w:val="left"/>
      <w:pPr>
        <w:ind w:left="2700" w:hanging="720"/>
      </w:pPr>
      <w:rPr>
        <w:rFonts w:hint="default"/>
      </w:rPr>
    </w:lvl>
    <w:lvl w:ilvl="3" w:tplc="60FCF71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C50008"/>
    <w:multiLevelType w:val="hybridMultilevel"/>
    <w:tmpl w:val="E826B8E6"/>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2AF40879"/>
    <w:multiLevelType w:val="hybridMultilevel"/>
    <w:tmpl w:val="840E7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C533397"/>
    <w:multiLevelType w:val="hybridMultilevel"/>
    <w:tmpl w:val="C1DA56B4"/>
    <w:lvl w:ilvl="0" w:tplc="1CD09CAE">
      <w:start w:val="1"/>
      <w:numFmt w:val="bullet"/>
      <w:lvlText w:val="∆"/>
      <w:lvlJc w:val="left"/>
      <w:pPr>
        <w:ind w:left="720" w:hanging="360"/>
      </w:pPr>
      <w:rPr>
        <w:rFonts w:ascii="Calibri" w:hAnsi="Calibri" w:hint="default"/>
        <w:color w:val="B560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C9458F1"/>
    <w:multiLevelType w:val="hybridMultilevel"/>
    <w:tmpl w:val="D7A67DC6"/>
    <w:lvl w:ilvl="0" w:tplc="1CD09CAE">
      <w:start w:val="1"/>
      <w:numFmt w:val="bullet"/>
      <w:lvlText w:val="∆"/>
      <w:lvlJc w:val="left"/>
      <w:pPr>
        <w:ind w:left="720" w:hanging="360"/>
      </w:pPr>
      <w:rPr>
        <w:rFonts w:ascii="Calibri" w:hAnsi="Calibri" w:hint="default"/>
        <w:color w:val="B560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CA57B97"/>
    <w:multiLevelType w:val="hybridMultilevel"/>
    <w:tmpl w:val="6680B9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D8C14D0"/>
    <w:multiLevelType w:val="hybridMultilevel"/>
    <w:tmpl w:val="25C20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26C1D12"/>
    <w:multiLevelType w:val="hybridMultilevel"/>
    <w:tmpl w:val="E7A2DF4C"/>
    <w:lvl w:ilvl="0" w:tplc="1CD09CAE">
      <w:start w:val="1"/>
      <w:numFmt w:val="bullet"/>
      <w:lvlText w:val="∆"/>
      <w:lvlJc w:val="left"/>
      <w:pPr>
        <w:ind w:left="720" w:hanging="360"/>
      </w:pPr>
      <w:rPr>
        <w:rFonts w:ascii="Calibri" w:hAnsi="Calibri" w:hint="default"/>
        <w:color w:val="B560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2791BB9"/>
    <w:multiLevelType w:val="hybridMultilevel"/>
    <w:tmpl w:val="5EE027A2"/>
    <w:lvl w:ilvl="0" w:tplc="B5BA37E2">
      <w:start w:val="8"/>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2A63CEF"/>
    <w:multiLevelType w:val="hybridMultilevel"/>
    <w:tmpl w:val="C43E2FB4"/>
    <w:lvl w:ilvl="0" w:tplc="1CD09CAE">
      <w:start w:val="1"/>
      <w:numFmt w:val="bullet"/>
      <w:lvlText w:val="∆"/>
      <w:lvlJc w:val="left"/>
      <w:pPr>
        <w:ind w:left="720" w:hanging="360"/>
      </w:pPr>
      <w:rPr>
        <w:rFonts w:ascii="Calibri" w:hAnsi="Calibri" w:hint="default"/>
        <w:color w:val="B560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3A21B6E"/>
    <w:multiLevelType w:val="hybridMultilevel"/>
    <w:tmpl w:val="E5EE9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5E312CD"/>
    <w:multiLevelType w:val="hybridMultilevel"/>
    <w:tmpl w:val="12C44404"/>
    <w:lvl w:ilvl="0" w:tplc="A454945E">
      <w:start w:val="1"/>
      <w:numFmt w:val="decimal"/>
      <w:pStyle w:val="FigureCaption"/>
      <w:lvlText w:val="FIgure %1."/>
      <w:lvlJc w:val="left"/>
      <w:pPr>
        <w:tabs>
          <w:tab w:val="num" w:pos="851"/>
        </w:tabs>
        <w:ind w:left="851" w:hanging="851"/>
      </w:pPr>
      <w:rPr>
        <w:rFonts w:hint="default"/>
      </w:rPr>
    </w:lvl>
    <w:lvl w:ilvl="1" w:tplc="BD5851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55299A"/>
    <w:multiLevelType w:val="hybridMultilevel"/>
    <w:tmpl w:val="AB06B1A0"/>
    <w:lvl w:ilvl="0" w:tplc="335E0D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9CA3341"/>
    <w:multiLevelType w:val="hybridMultilevel"/>
    <w:tmpl w:val="0038A652"/>
    <w:lvl w:ilvl="0" w:tplc="1CD09CAE">
      <w:start w:val="1"/>
      <w:numFmt w:val="bullet"/>
      <w:lvlText w:val="∆"/>
      <w:lvlJc w:val="left"/>
      <w:pPr>
        <w:ind w:left="720" w:hanging="360"/>
      </w:pPr>
      <w:rPr>
        <w:rFonts w:ascii="Calibri" w:hAnsi="Calibri" w:hint="default"/>
        <w:color w:val="B560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CE26DBA"/>
    <w:multiLevelType w:val="hybridMultilevel"/>
    <w:tmpl w:val="A5C4E4E2"/>
    <w:lvl w:ilvl="0" w:tplc="618EDD18">
      <w:start w:val="1"/>
      <w:numFmt w:val="bullet"/>
      <w:pStyle w:val="06Table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3" w15:restartNumberingAfterBreak="0">
    <w:nsid w:val="401D4CE5"/>
    <w:multiLevelType w:val="hybridMultilevel"/>
    <w:tmpl w:val="4B4CF0F6"/>
    <w:lvl w:ilvl="0" w:tplc="0F98C14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3043ABB"/>
    <w:multiLevelType w:val="hybridMultilevel"/>
    <w:tmpl w:val="9AA2BD2E"/>
    <w:lvl w:ilvl="0" w:tplc="0C09000F">
      <w:start w:val="1"/>
      <w:numFmt w:val="decimal"/>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5" w15:restartNumberingAfterBreak="0">
    <w:nsid w:val="47EB4876"/>
    <w:multiLevelType w:val="hybridMultilevel"/>
    <w:tmpl w:val="200A8514"/>
    <w:lvl w:ilvl="0" w:tplc="1CD09CAE">
      <w:start w:val="1"/>
      <w:numFmt w:val="bullet"/>
      <w:lvlText w:val="∆"/>
      <w:lvlJc w:val="left"/>
      <w:pPr>
        <w:ind w:left="720" w:hanging="360"/>
      </w:pPr>
      <w:rPr>
        <w:rFonts w:ascii="Calibri" w:hAnsi="Calibri" w:hint="default"/>
        <w:color w:val="B560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86C25D8"/>
    <w:multiLevelType w:val="hybridMultilevel"/>
    <w:tmpl w:val="3650EEE2"/>
    <w:lvl w:ilvl="0" w:tplc="3072FA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C6121C"/>
    <w:multiLevelType w:val="hybridMultilevel"/>
    <w:tmpl w:val="C55CE4A2"/>
    <w:lvl w:ilvl="0" w:tplc="3072FA9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9E63206"/>
    <w:multiLevelType w:val="hybridMultilevel"/>
    <w:tmpl w:val="85A6A278"/>
    <w:lvl w:ilvl="0" w:tplc="0C090001">
      <w:start w:val="1"/>
      <w:numFmt w:val="bullet"/>
      <w:lvlText w:val=""/>
      <w:lvlJc w:val="left"/>
      <w:pPr>
        <w:ind w:left="360" w:hanging="360"/>
      </w:pPr>
      <w:rPr>
        <w:rFonts w:ascii="Symbol" w:hAnsi="Symbo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B3C7CFF"/>
    <w:multiLevelType w:val="hybridMultilevel"/>
    <w:tmpl w:val="1DE657B8"/>
    <w:lvl w:ilvl="0" w:tplc="0C090011">
      <w:start w:val="1"/>
      <w:numFmt w:val="decimal"/>
      <w:lvlText w:val="%1)"/>
      <w:lvlJc w:val="left"/>
      <w:pPr>
        <w:ind w:left="720" w:hanging="360"/>
      </w:pPr>
    </w:lvl>
    <w:lvl w:ilvl="1" w:tplc="0C090011">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CA50AEC"/>
    <w:multiLevelType w:val="hybridMultilevel"/>
    <w:tmpl w:val="7BE43FCC"/>
    <w:lvl w:ilvl="0" w:tplc="1CD09CAE">
      <w:start w:val="1"/>
      <w:numFmt w:val="bullet"/>
      <w:lvlText w:val="∆"/>
      <w:lvlJc w:val="left"/>
      <w:pPr>
        <w:ind w:left="720" w:hanging="360"/>
      </w:pPr>
      <w:rPr>
        <w:rFonts w:ascii="Calibri" w:hAnsi="Calibri" w:hint="default"/>
        <w:color w:val="B560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CF33D03"/>
    <w:multiLevelType w:val="hybridMultilevel"/>
    <w:tmpl w:val="BB183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E974AAF"/>
    <w:multiLevelType w:val="hybridMultilevel"/>
    <w:tmpl w:val="9E5838BC"/>
    <w:lvl w:ilvl="0" w:tplc="27D68BD2">
      <w:start w:val="1"/>
      <w:numFmt w:val="low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F7AC141A">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8735D8"/>
    <w:multiLevelType w:val="hybridMultilevel"/>
    <w:tmpl w:val="AF8653B4"/>
    <w:lvl w:ilvl="0" w:tplc="1CD09CAE">
      <w:start w:val="1"/>
      <w:numFmt w:val="bullet"/>
      <w:lvlText w:val="∆"/>
      <w:lvlJc w:val="left"/>
      <w:pPr>
        <w:ind w:left="720" w:hanging="360"/>
      </w:pPr>
      <w:rPr>
        <w:rFonts w:ascii="Calibri" w:hAnsi="Calibri" w:hint="default"/>
        <w:color w:val="B560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41332BD"/>
    <w:multiLevelType w:val="hybridMultilevel"/>
    <w:tmpl w:val="73BA4594"/>
    <w:lvl w:ilvl="0" w:tplc="BB2C0290">
      <w:start w:val="4"/>
      <w:numFmt w:val="lowerLetter"/>
      <w:lvlText w:val="(%1)"/>
      <w:lvlJc w:val="left"/>
      <w:pPr>
        <w:ind w:left="36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4ED41ED"/>
    <w:multiLevelType w:val="hybridMultilevel"/>
    <w:tmpl w:val="D38A038A"/>
    <w:lvl w:ilvl="0" w:tplc="1CD09CAE">
      <w:start w:val="1"/>
      <w:numFmt w:val="bullet"/>
      <w:lvlText w:val="∆"/>
      <w:lvlJc w:val="left"/>
      <w:pPr>
        <w:ind w:left="720" w:hanging="360"/>
      </w:pPr>
      <w:rPr>
        <w:rFonts w:ascii="Calibri" w:hAnsi="Calibri" w:hint="default"/>
        <w:color w:val="B560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96C5D4B"/>
    <w:multiLevelType w:val="hybridMultilevel"/>
    <w:tmpl w:val="8C2CF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9781A2D"/>
    <w:multiLevelType w:val="hybridMultilevel"/>
    <w:tmpl w:val="D30C059E"/>
    <w:lvl w:ilvl="0" w:tplc="3072FA9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A2C12A1"/>
    <w:multiLevelType w:val="hybridMultilevel"/>
    <w:tmpl w:val="DB7E2C18"/>
    <w:lvl w:ilvl="0" w:tplc="3072FA9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C852D83"/>
    <w:multiLevelType w:val="hybridMultilevel"/>
    <w:tmpl w:val="678CD784"/>
    <w:lvl w:ilvl="0" w:tplc="04090003">
      <w:start w:val="1"/>
      <w:numFmt w:val="bullet"/>
      <w:lvlText w:val="o"/>
      <w:lvlJc w:val="left"/>
      <w:pPr>
        <w:ind w:left="1440" w:hanging="360"/>
      </w:pPr>
      <w:rPr>
        <w:rFonts w:ascii="Courier New" w:hAnsi="Courier New"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15:restartNumberingAfterBreak="0">
    <w:nsid w:val="5D926E72"/>
    <w:multiLevelType w:val="hybridMultilevel"/>
    <w:tmpl w:val="A0F8FBB0"/>
    <w:lvl w:ilvl="0" w:tplc="04090003">
      <w:start w:val="1"/>
      <w:numFmt w:val="bullet"/>
      <w:lvlText w:val="o"/>
      <w:lvlJc w:val="left"/>
      <w:pPr>
        <w:ind w:left="1080" w:hanging="360"/>
      </w:pPr>
      <w:rPr>
        <w:rFonts w:ascii="Courier New" w:hAnsi="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5E9A7936"/>
    <w:multiLevelType w:val="hybridMultilevel"/>
    <w:tmpl w:val="921C9F40"/>
    <w:lvl w:ilvl="0" w:tplc="BFAEF0AC">
      <w:start w:val="1"/>
      <w:numFmt w:val="lowerLetter"/>
      <w:lvlText w:val="(%1)"/>
      <w:lvlJc w:val="left"/>
      <w:pPr>
        <w:ind w:left="720" w:hanging="360"/>
      </w:pPr>
      <w:rPr>
        <w:rFonts w:hint="default"/>
      </w:rPr>
    </w:lvl>
    <w:lvl w:ilvl="1" w:tplc="C3763B2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1221A17"/>
    <w:multiLevelType w:val="hybridMultilevel"/>
    <w:tmpl w:val="202CA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26D3D52"/>
    <w:multiLevelType w:val="hybridMultilevel"/>
    <w:tmpl w:val="538A6530"/>
    <w:lvl w:ilvl="0" w:tplc="0F98C1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6A62BF5"/>
    <w:multiLevelType w:val="hybridMultilevel"/>
    <w:tmpl w:val="C28288BC"/>
    <w:lvl w:ilvl="0" w:tplc="487E6F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7E9153F"/>
    <w:multiLevelType w:val="hybridMultilevel"/>
    <w:tmpl w:val="84448740"/>
    <w:lvl w:ilvl="0" w:tplc="0F7C72B6">
      <w:start w:val="1"/>
      <w:numFmt w:val="bullet"/>
      <w:pStyle w:val="NormalBulleted"/>
      <w:lvlText w:val="∆"/>
      <w:lvlJc w:val="left"/>
      <w:pPr>
        <w:ind w:left="431" w:hanging="431"/>
      </w:pPr>
      <w:rPr>
        <w:rFonts w:ascii="Calibri" w:hAnsi="Calibri" w:hint="default"/>
        <w:color w:val="B5601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CC506A0"/>
    <w:multiLevelType w:val="hybridMultilevel"/>
    <w:tmpl w:val="99443BC8"/>
    <w:lvl w:ilvl="0" w:tplc="3072FA9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EB679E3"/>
    <w:multiLevelType w:val="hybridMultilevel"/>
    <w:tmpl w:val="61A45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F295A7B"/>
    <w:multiLevelType w:val="multilevel"/>
    <w:tmpl w:val="41A6E6D0"/>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0"/>
      <w:lvlText w:val="Appendix %7"/>
      <w:lvlJc w:val="left"/>
      <w:pPr>
        <w:ind w:left="1985" w:hanging="1985"/>
      </w:pPr>
      <w:rPr>
        <w:rFonts w:hint="default"/>
      </w:rPr>
    </w:lvl>
    <w:lvl w:ilvl="7">
      <w:start w:val="1"/>
      <w:numFmt w:val="decimal"/>
      <w:lvlText w:val="Appendix %7.%8"/>
      <w:lvlJc w:val="left"/>
      <w:pPr>
        <w:ind w:left="1985" w:hanging="1985"/>
      </w:pPr>
      <w:rPr>
        <w:rFonts w:hint="default"/>
      </w:rPr>
    </w:lvl>
    <w:lvl w:ilvl="8">
      <w:start w:val="1"/>
      <w:numFmt w:val="decimal"/>
      <w:lvlText w:val="Appendix %7.%8.%9"/>
      <w:lvlJc w:val="left"/>
      <w:pPr>
        <w:ind w:left="1985" w:hanging="1985"/>
      </w:pPr>
      <w:rPr>
        <w:rFonts w:hint="default"/>
      </w:rPr>
    </w:lvl>
  </w:abstractNum>
  <w:abstractNum w:abstractNumId="69" w15:restartNumberingAfterBreak="0">
    <w:nsid w:val="70C22295"/>
    <w:multiLevelType w:val="hybridMultilevel"/>
    <w:tmpl w:val="F0CC5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1517E90"/>
    <w:multiLevelType w:val="hybridMultilevel"/>
    <w:tmpl w:val="25B4F54E"/>
    <w:lvl w:ilvl="0" w:tplc="4ABEB7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4EA772B"/>
    <w:multiLevelType w:val="hybridMultilevel"/>
    <w:tmpl w:val="3560F65E"/>
    <w:lvl w:ilvl="0" w:tplc="20547E56">
      <w:numFmt w:val="bullet"/>
      <w:pStyle w:val="StyleListParagraphTNRdash"/>
      <w:lvlText w:val="–"/>
      <w:lvlJc w:val="left"/>
      <w:pPr>
        <w:ind w:left="644" w:hanging="360"/>
      </w:pPr>
      <w:rPr>
        <w:rFonts w:ascii="Times New Roman" w:eastAsiaTheme="minorHAnsi" w:hAnsi="Times New Roman" w:cs="Times New Roman"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72" w15:restartNumberingAfterBreak="0">
    <w:nsid w:val="79726446"/>
    <w:multiLevelType w:val="hybridMultilevel"/>
    <w:tmpl w:val="395011B8"/>
    <w:lvl w:ilvl="0" w:tplc="1CD09CAE">
      <w:start w:val="1"/>
      <w:numFmt w:val="bullet"/>
      <w:lvlText w:val="∆"/>
      <w:lvlJc w:val="left"/>
      <w:pPr>
        <w:ind w:left="720" w:hanging="360"/>
      </w:pPr>
      <w:rPr>
        <w:rFonts w:ascii="Calibri" w:hAnsi="Calibri" w:hint="default"/>
        <w:color w:val="B56012"/>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B5D6F0E"/>
    <w:multiLevelType w:val="hybridMultilevel"/>
    <w:tmpl w:val="67DCD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CDA0D96"/>
    <w:multiLevelType w:val="hybridMultilevel"/>
    <w:tmpl w:val="A540F4C2"/>
    <w:lvl w:ilvl="0" w:tplc="1CD09CAE">
      <w:start w:val="1"/>
      <w:numFmt w:val="bullet"/>
      <w:lvlText w:val="∆"/>
      <w:lvlJc w:val="left"/>
      <w:pPr>
        <w:ind w:left="720" w:hanging="360"/>
      </w:pPr>
      <w:rPr>
        <w:rFonts w:ascii="Calibri" w:hAnsi="Calibri" w:hint="default"/>
        <w:color w:val="B56012"/>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D0575B2"/>
    <w:multiLevelType w:val="multilevel"/>
    <w:tmpl w:val="D84A1A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6" w15:restartNumberingAfterBreak="0">
    <w:nsid w:val="7D462922"/>
    <w:multiLevelType w:val="hybridMultilevel"/>
    <w:tmpl w:val="5F68A41C"/>
    <w:lvl w:ilvl="0" w:tplc="3072FA9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75"/>
  </w:num>
  <w:num w:numId="4">
    <w:abstractNumId w:val="28"/>
  </w:num>
  <w:num w:numId="5">
    <w:abstractNumId w:val="65"/>
  </w:num>
  <w:num w:numId="6">
    <w:abstractNumId w:val="39"/>
  </w:num>
  <w:num w:numId="7">
    <w:abstractNumId w:val="0"/>
  </w:num>
  <w:num w:numId="8">
    <w:abstractNumId w:val="21"/>
  </w:num>
  <w:num w:numId="9">
    <w:abstractNumId w:val="46"/>
  </w:num>
  <w:num w:numId="10">
    <w:abstractNumId w:val="42"/>
  </w:num>
  <w:num w:numId="11">
    <w:abstractNumId w:val="68"/>
  </w:num>
  <w:num w:numId="12">
    <w:abstractNumId w:val="60"/>
  </w:num>
  <w:num w:numId="13">
    <w:abstractNumId w:val="52"/>
  </w:num>
  <w:num w:numId="14">
    <w:abstractNumId w:val="59"/>
  </w:num>
  <w:num w:numId="15">
    <w:abstractNumId w:val="18"/>
  </w:num>
  <w:num w:numId="16">
    <w:abstractNumId w:val="48"/>
  </w:num>
  <w:num w:numId="17">
    <w:abstractNumId w:val="3"/>
  </w:num>
  <w:num w:numId="18">
    <w:abstractNumId w:val="14"/>
  </w:num>
  <w:num w:numId="19">
    <w:abstractNumId w:val="33"/>
  </w:num>
  <w:num w:numId="20">
    <w:abstractNumId w:val="28"/>
    <w:lvlOverride w:ilvl="0">
      <w:startOverride w:val="3"/>
    </w:lvlOverride>
  </w:num>
  <w:num w:numId="21">
    <w:abstractNumId w:val="7"/>
  </w:num>
  <w:num w:numId="22">
    <w:abstractNumId w:val="71"/>
  </w:num>
  <w:num w:numId="23">
    <w:abstractNumId w:val="61"/>
  </w:num>
  <w:num w:numId="24">
    <w:abstractNumId w:val="8"/>
  </w:num>
  <w:num w:numId="25">
    <w:abstractNumId w:val="70"/>
  </w:num>
  <w:num w:numId="26">
    <w:abstractNumId w:val="64"/>
  </w:num>
  <w:num w:numId="27">
    <w:abstractNumId w:val="40"/>
  </w:num>
  <w:num w:numId="28">
    <w:abstractNumId w:val="24"/>
  </w:num>
  <w:num w:numId="29">
    <w:abstractNumId w:val="13"/>
  </w:num>
  <w:num w:numId="30">
    <w:abstractNumId w:val="1"/>
  </w:num>
  <w:num w:numId="31">
    <w:abstractNumId w:val="63"/>
  </w:num>
  <w:num w:numId="32">
    <w:abstractNumId w:val="26"/>
  </w:num>
  <w:num w:numId="33">
    <w:abstractNumId w:val="6"/>
  </w:num>
  <w:num w:numId="34">
    <w:abstractNumId w:val="10"/>
  </w:num>
  <w:num w:numId="35">
    <w:abstractNumId w:val="72"/>
  </w:num>
  <w:num w:numId="36">
    <w:abstractNumId w:val="67"/>
  </w:num>
  <w:num w:numId="37">
    <w:abstractNumId w:val="51"/>
  </w:num>
  <w:num w:numId="38">
    <w:abstractNumId w:val="22"/>
  </w:num>
  <w:num w:numId="39">
    <w:abstractNumId w:val="62"/>
  </w:num>
  <w:num w:numId="40">
    <w:abstractNumId w:val="38"/>
  </w:num>
  <w:num w:numId="41">
    <w:abstractNumId w:val="34"/>
  </w:num>
  <w:num w:numId="42">
    <w:abstractNumId w:val="27"/>
  </w:num>
  <w:num w:numId="43">
    <w:abstractNumId w:val="73"/>
  </w:num>
  <w:num w:numId="44">
    <w:abstractNumId w:val="56"/>
  </w:num>
  <w:num w:numId="45">
    <w:abstractNumId w:val="12"/>
  </w:num>
  <w:num w:numId="46">
    <w:abstractNumId w:val="30"/>
  </w:num>
  <w:num w:numId="47">
    <w:abstractNumId w:val="69"/>
  </w:num>
  <w:num w:numId="48">
    <w:abstractNumId w:val="5"/>
  </w:num>
  <w:num w:numId="49">
    <w:abstractNumId w:val="57"/>
  </w:num>
  <w:num w:numId="50">
    <w:abstractNumId w:val="66"/>
  </w:num>
  <w:num w:numId="51">
    <w:abstractNumId w:val="58"/>
  </w:num>
  <w:num w:numId="52">
    <w:abstractNumId w:val="76"/>
  </w:num>
  <w:num w:numId="53">
    <w:abstractNumId w:val="47"/>
  </w:num>
  <w:num w:numId="54">
    <w:abstractNumId w:val="55"/>
  </w:num>
  <w:num w:numId="55">
    <w:abstractNumId w:val="17"/>
  </w:num>
  <w:num w:numId="56">
    <w:abstractNumId w:val="53"/>
  </w:num>
  <w:num w:numId="57">
    <w:abstractNumId w:val="45"/>
  </w:num>
  <w:num w:numId="58">
    <w:abstractNumId w:val="37"/>
  </w:num>
  <w:num w:numId="59">
    <w:abstractNumId w:val="32"/>
  </w:num>
  <w:num w:numId="60">
    <w:abstractNumId w:val="41"/>
  </w:num>
  <w:num w:numId="61">
    <w:abstractNumId w:val="35"/>
  </w:num>
  <w:num w:numId="62">
    <w:abstractNumId w:val="50"/>
  </w:num>
  <w:num w:numId="63">
    <w:abstractNumId w:val="31"/>
  </w:num>
  <w:num w:numId="64">
    <w:abstractNumId w:val="74"/>
  </w:num>
  <w:num w:numId="65">
    <w:abstractNumId w:val="20"/>
  </w:num>
  <w:num w:numId="66">
    <w:abstractNumId w:val="11"/>
  </w:num>
  <w:num w:numId="67">
    <w:abstractNumId w:val="49"/>
  </w:num>
  <w:num w:numId="68">
    <w:abstractNumId w:val="2"/>
  </w:num>
  <w:num w:numId="69">
    <w:abstractNumId w:val="44"/>
  </w:num>
  <w:num w:numId="70">
    <w:abstractNumId w:val="29"/>
  </w:num>
  <w:num w:numId="71">
    <w:abstractNumId w:val="19"/>
  </w:num>
  <w:num w:numId="72">
    <w:abstractNumId w:val="25"/>
  </w:num>
  <w:num w:numId="73">
    <w:abstractNumId w:val="16"/>
  </w:num>
  <w:num w:numId="74">
    <w:abstractNumId w:val="54"/>
  </w:num>
  <w:num w:numId="75">
    <w:abstractNumId w:val="36"/>
  </w:num>
  <w:num w:numId="76">
    <w:abstractNumId w:val="43"/>
  </w:num>
  <w:num w:numId="77">
    <w:abstractNumId w:val="4"/>
  </w:num>
  <w:num w:numId="78">
    <w:abstractNumId w:val="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4577"/>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sNewDoc" w:val="No"/>
  </w:docVars>
  <w:rsids>
    <w:rsidRoot w:val="00093404"/>
    <w:rsid w:val="0000052A"/>
    <w:rsid w:val="000006E3"/>
    <w:rsid w:val="0000150F"/>
    <w:rsid w:val="00001735"/>
    <w:rsid w:val="00001F7B"/>
    <w:rsid w:val="00002477"/>
    <w:rsid w:val="00002678"/>
    <w:rsid w:val="000044E9"/>
    <w:rsid w:val="00004920"/>
    <w:rsid w:val="00004CCA"/>
    <w:rsid w:val="00004FEF"/>
    <w:rsid w:val="0000566B"/>
    <w:rsid w:val="00006172"/>
    <w:rsid w:val="00006915"/>
    <w:rsid w:val="00006AE9"/>
    <w:rsid w:val="00007CFB"/>
    <w:rsid w:val="000107B3"/>
    <w:rsid w:val="0001084A"/>
    <w:rsid w:val="00013881"/>
    <w:rsid w:val="0001393A"/>
    <w:rsid w:val="00013EC0"/>
    <w:rsid w:val="000140C8"/>
    <w:rsid w:val="00014712"/>
    <w:rsid w:val="0001545C"/>
    <w:rsid w:val="00015973"/>
    <w:rsid w:val="00017B8C"/>
    <w:rsid w:val="00020196"/>
    <w:rsid w:val="00020431"/>
    <w:rsid w:val="00020587"/>
    <w:rsid w:val="000206BB"/>
    <w:rsid w:val="00020E0E"/>
    <w:rsid w:val="00021A9A"/>
    <w:rsid w:val="00022E87"/>
    <w:rsid w:val="0002353D"/>
    <w:rsid w:val="000238A9"/>
    <w:rsid w:val="00023C89"/>
    <w:rsid w:val="00024A0A"/>
    <w:rsid w:val="00024FE0"/>
    <w:rsid w:val="000253EC"/>
    <w:rsid w:val="0002627F"/>
    <w:rsid w:val="000278CF"/>
    <w:rsid w:val="00030339"/>
    <w:rsid w:val="000309CE"/>
    <w:rsid w:val="00030D6E"/>
    <w:rsid w:val="00031095"/>
    <w:rsid w:val="00031ADE"/>
    <w:rsid w:val="00032108"/>
    <w:rsid w:val="000337EF"/>
    <w:rsid w:val="000339D7"/>
    <w:rsid w:val="00033DA4"/>
    <w:rsid w:val="000351FF"/>
    <w:rsid w:val="00036C0E"/>
    <w:rsid w:val="00036E40"/>
    <w:rsid w:val="000377EC"/>
    <w:rsid w:val="00040265"/>
    <w:rsid w:val="00040EAC"/>
    <w:rsid w:val="00042A17"/>
    <w:rsid w:val="00043742"/>
    <w:rsid w:val="000439D3"/>
    <w:rsid w:val="00044D1E"/>
    <w:rsid w:val="00044DFE"/>
    <w:rsid w:val="00045147"/>
    <w:rsid w:val="00045495"/>
    <w:rsid w:val="000459AD"/>
    <w:rsid w:val="00045F6B"/>
    <w:rsid w:val="00046AF0"/>
    <w:rsid w:val="00046C9C"/>
    <w:rsid w:val="00047145"/>
    <w:rsid w:val="00047FB5"/>
    <w:rsid w:val="000501C9"/>
    <w:rsid w:val="00050ED2"/>
    <w:rsid w:val="00050EF0"/>
    <w:rsid w:val="0005304C"/>
    <w:rsid w:val="000537C0"/>
    <w:rsid w:val="00054036"/>
    <w:rsid w:val="00054505"/>
    <w:rsid w:val="0005522D"/>
    <w:rsid w:val="0005557F"/>
    <w:rsid w:val="000558E5"/>
    <w:rsid w:val="000565DD"/>
    <w:rsid w:val="00056CF7"/>
    <w:rsid w:val="00056F10"/>
    <w:rsid w:val="00057AB0"/>
    <w:rsid w:val="00057F0D"/>
    <w:rsid w:val="00060C76"/>
    <w:rsid w:val="00061127"/>
    <w:rsid w:val="000612DC"/>
    <w:rsid w:val="0006140B"/>
    <w:rsid w:val="0006177C"/>
    <w:rsid w:val="00061D92"/>
    <w:rsid w:val="0006241C"/>
    <w:rsid w:val="0006309D"/>
    <w:rsid w:val="00064465"/>
    <w:rsid w:val="0006464C"/>
    <w:rsid w:val="0006538F"/>
    <w:rsid w:val="000653C1"/>
    <w:rsid w:val="000655C1"/>
    <w:rsid w:val="00065ADB"/>
    <w:rsid w:val="00066AF2"/>
    <w:rsid w:val="00067BEC"/>
    <w:rsid w:val="00070239"/>
    <w:rsid w:val="000703EC"/>
    <w:rsid w:val="000707D3"/>
    <w:rsid w:val="00070865"/>
    <w:rsid w:val="00070CD8"/>
    <w:rsid w:val="0007194A"/>
    <w:rsid w:val="0007261D"/>
    <w:rsid w:val="00072D68"/>
    <w:rsid w:val="00073660"/>
    <w:rsid w:val="000737C9"/>
    <w:rsid w:val="00074357"/>
    <w:rsid w:val="000744E0"/>
    <w:rsid w:val="0007506F"/>
    <w:rsid w:val="0007623D"/>
    <w:rsid w:val="000765ED"/>
    <w:rsid w:val="00076AB6"/>
    <w:rsid w:val="00080CFD"/>
    <w:rsid w:val="00081875"/>
    <w:rsid w:val="00081F8E"/>
    <w:rsid w:val="000831DB"/>
    <w:rsid w:val="000838B7"/>
    <w:rsid w:val="00083A29"/>
    <w:rsid w:val="00083CF7"/>
    <w:rsid w:val="00083E2A"/>
    <w:rsid w:val="0008448B"/>
    <w:rsid w:val="00084B53"/>
    <w:rsid w:val="00084F7A"/>
    <w:rsid w:val="00086AFF"/>
    <w:rsid w:val="00086C40"/>
    <w:rsid w:val="00086FD0"/>
    <w:rsid w:val="00087655"/>
    <w:rsid w:val="0008778F"/>
    <w:rsid w:val="00087975"/>
    <w:rsid w:val="00090478"/>
    <w:rsid w:val="00090640"/>
    <w:rsid w:val="00090664"/>
    <w:rsid w:val="000923EA"/>
    <w:rsid w:val="00092463"/>
    <w:rsid w:val="0009284F"/>
    <w:rsid w:val="00092AB5"/>
    <w:rsid w:val="00093404"/>
    <w:rsid w:val="00094411"/>
    <w:rsid w:val="000955AA"/>
    <w:rsid w:val="000959B5"/>
    <w:rsid w:val="000967B0"/>
    <w:rsid w:val="000975B4"/>
    <w:rsid w:val="00097A82"/>
    <w:rsid w:val="000A0939"/>
    <w:rsid w:val="000A0C01"/>
    <w:rsid w:val="000A126D"/>
    <w:rsid w:val="000A2C3B"/>
    <w:rsid w:val="000A38E3"/>
    <w:rsid w:val="000A3C55"/>
    <w:rsid w:val="000A3FBE"/>
    <w:rsid w:val="000A4EF9"/>
    <w:rsid w:val="000A5376"/>
    <w:rsid w:val="000A5970"/>
    <w:rsid w:val="000A5A36"/>
    <w:rsid w:val="000A69B8"/>
    <w:rsid w:val="000A6B51"/>
    <w:rsid w:val="000A705B"/>
    <w:rsid w:val="000A7D88"/>
    <w:rsid w:val="000B0FB3"/>
    <w:rsid w:val="000B167F"/>
    <w:rsid w:val="000B197F"/>
    <w:rsid w:val="000B202F"/>
    <w:rsid w:val="000B2534"/>
    <w:rsid w:val="000B30AF"/>
    <w:rsid w:val="000B48DB"/>
    <w:rsid w:val="000B4B1F"/>
    <w:rsid w:val="000B4CE8"/>
    <w:rsid w:val="000B4EB8"/>
    <w:rsid w:val="000B5054"/>
    <w:rsid w:val="000B52C9"/>
    <w:rsid w:val="000B550C"/>
    <w:rsid w:val="000B5535"/>
    <w:rsid w:val="000B710A"/>
    <w:rsid w:val="000B7216"/>
    <w:rsid w:val="000B76F2"/>
    <w:rsid w:val="000C0519"/>
    <w:rsid w:val="000C0CE4"/>
    <w:rsid w:val="000C10BE"/>
    <w:rsid w:val="000C2086"/>
    <w:rsid w:val="000C2699"/>
    <w:rsid w:val="000C2768"/>
    <w:rsid w:val="000C2D92"/>
    <w:rsid w:val="000C366C"/>
    <w:rsid w:val="000C4035"/>
    <w:rsid w:val="000C41CB"/>
    <w:rsid w:val="000C421B"/>
    <w:rsid w:val="000C498A"/>
    <w:rsid w:val="000C548F"/>
    <w:rsid w:val="000C54E8"/>
    <w:rsid w:val="000C565E"/>
    <w:rsid w:val="000C5F18"/>
    <w:rsid w:val="000C70F5"/>
    <w:rsid w:val="000C71FB"/>
    <w:rsid w:val="000C7A37"/>
    <w:rsid w:val="000C7B86"/>
    <w:rsid w:val="000D1176"/>
    <w:rsid w:val="000D14E3"/>
    <w:rsid w:val="000D1905"/>
    <w:rsid w:val="000D1CF6"/>
    <w:rsid w:val="000D25AD"/>
    <w:rsid w:val="000D2ACF"/>
    <w:rsid w:val="000D2E96"/>
    <w:rsid w:val="000D3691"/>
    <w:rsid w:val="000D4345"/>
    <w:rsid w:val="000D4490"/>
    <w:rsid w:val="000D5132"/>
    <w:rsid w:val="000D532B"/>
    <w:rsid w:val="000D5E90"/>
    <w:rsid w:val="000D677B"/>
    <w:rsid w:val="000D68B2"/>
    <w:rsid w:val="000D6C33"/>
    <w:rsid w:val="000D73DF"/>
    <w:rsid w:val="000D7716"/>
    <w:rsid w:val="000D7F4F"/>
    <w:rsid w:val="000E015A"/>
    <w:rsid w:val="000E0278"/>
    <w:rsid w:val="000E03E7"/>
    <w:rsid w:val="000E0690"/>
    <w:rsid w:val="000E0950"/>
    <w:rsid w:val="000E13E8"/>
    <w:rsid w:val="000E1934"/>
    <w:rsid w:val="000E1B03"/>
    <w:rsid w:val="000E2F64"/>
    <w:rsid w:val="000E4A79"/>
    <w:rsid w:val="000E5530"/>
    <w:rsid w:val="000E6B0A"/>
    <w:rsid w:val="000E6BF2"/>
    <w:rsid w:val="000E6C56"/>
    <w:rsid w:val="000E70E3"/>
    <w:rsid w:val="000E7727"/>
    <w:rsid w:val="000F0B7D"/>
    <w:rsid w:val="000F0F68"/>
    <w:rsid w:val="000F0F7F"/>
    <w:rsid w:val="000F2393"/>
    <w:rsid w:val="000F2CDA"/>
    <w:rsid w:val="000F2E2B"/>
    <w:rsid w:val="000F2E9B"/>
    <w:rsid w:val="000F3C1E"/>
    <w:rsid w:val="000F3D82"/>
    <w:rsid w:val="000F3F4F"/>
    <w:rsid w:val="000F4DB6"/>
    <w:rsid w:val="000F5115"/>
    <w:rsid w:val="000F705F"/>
    <w:rsid w:val="000F72BF"/>
    <w:rsid w:val="000F7608"/>
    <w:rsid w:val="000F796E"/>
    <w:rsid w:val="000F7D1F"/>
    <w:rsid w:val="0010003C"/>
    <w:rsid w:val="0010008F"/>
    <w:rsid w:val="00101268"/>
    <w:rsid w:val="00101DE4"/>
    <w:rsid w:val="00101E86"/>
    <w:rsid w:val="00103DA5"/>
    <w:rsid w:val="00104311"/>
    <w:rsid w:val="00105EB2"/>
    <w:rsid w:val="00106078"/>
    <w:rsid w:val="0010664E"/>
    <w:rsid w:val="00106987"/>
    <w:rsid w:val="0010704E"/>
    <w:rsid w:val="0010726D"/>
    <w:rsid w:val="00107B15"/>
    <w:rsid w:val="001104FA"/>
    <w:rsid w:val="00110749"/>
    <w:rsid w:val="00110D0C"/>
    <w:rsid w:val="0011158E"/>
    <w:rsid w:val="0011166D"/>
    <w:rsid w:val="00111A0E"/>
    <w:rsid w:val="001121E7"/>
    <w:rsid w:val="001122B9"/>
    <w:rsid w:val="00112C49"/>
    <w:rsid w:val="001132C1"/>
    <w:rsid w:val="00113907"/>
    <w:rsid w:val="001141BB"/>
    <w:rsid w:val="001143E8"/>
    <w:rsid w:val="00114E0F"/>
    <w:rsid w:val="001156AF"/>
    <w:rsid w:val="00115F6A"/>
    <w:rsid w:val="00116136"/>
    <w:rsid w:val="00116BB6"/>
    <w:rsid w:val="0011770F"/>
    <w:rsid w:val="001201D4"/>
    <w:rsid w:val="00120E25"/>
    <w:rsid w:val="001211FD"/>
    <w:rsid w:val="00123147"/>
    <w:rsid w:val="00123D3B"/>
    <w:rsid w:val="00124A29"/>
    <w:rsid w:val="00125F82"/>
    <w:rsid w:val="00126E67"/>
    <w:rsid w:val="00127B0E"/>
    <w:rsid w:val="00127BD9"/>
    <w:rsid w:val="00131578"/>
    <w:rsid w:val="001329BB"/>
    <w:rsid w:val="00132F3A"/>
    <w:rsid w:val="00132F58"/>
    <w:rsid w:val="00134608"/>
    <w:rsid w:val="001355BE"/>
    <w:rsid w:val="00135D05"/>
    <w:rsid w:val="0013638A"/>
    <w:rsid w:val="00136C3E"/>
    <w:rsid w:val="00137072"/>
    <w:rsid w:val="00137205"/>
    <w:rsid w:val="00137BB4"/>
    <w:rsid w:val="00140FF6"/>
    <w:rsid w:val="00141D7E"/>
    <w:rsid w:val="001428DC"/>
    <w:rsid w:val="00142B3D"/>
    <w:rsid w:val="00142C57"/>
    <w:rsid w:val="0014315F"/>
    <w:rsid w:val="0014338B"/>
    <w:rsid w:val="00143948"/>
    <w:rsid w:val="00145358"/>
    <w:rsid w:val="001453BB"/>
    <w:rsid w:val="001461F3"/>
    <w:rsid w:val="0014694A"/>
    <w:rsid w:val="001472FA"/>
    <w:rsid w:val="00150C38"/>
    <w:rsid w:val="0015141E"/>
    <w:rsid w:val="001514D7"/>
    <w:rsid w:val="001518DA"/>
    <w:rsid w:val="00151AAE"/>
    <w:rsid w:val="00151F01"/>
    <w:rsid w:val="00152C99"/>
    <w:rsid w:val="00153674"/>
    <w:rsid w:val="00153816"/>
    <w:rsid w:val="001545AB"/>
    <w:rsid w:val="001548FB"/>
    <w:rsid w:val="0015505E"/>
    <w:rsid w:val="001553A5"/>
    <w:rsid w:val="0015605B"/>
    <w:rsid w:val="001560F9"/>
    <w:rsid w:val="00156B1C"/>
    <w:rsid w:val="00156C68"/>
    <w:rsid w:val="00157102"/>
    <w:rsid w:val="00157337"/>
    <w:rsid w:val="0015789A"/>
    <w:rsid w:val="00157F85"/>
    <w:rsid w:val="00160601"/>
    <w:rsid w:val="001614A0"/>
    <w:rsid w:val="001631CB"/>
    <w:rsid w:val="00163874"/>
    <w:rsid w:val="00163AA0"/>
    <w:rsid w:val="001643F5"/>
    <w:rsid w:val="00164423"/>
    <w:rsid w:val="0016604A"/>
    <w:rsid w:val="0016694A"/>
    <w:rsid w:val="00166CAF"/>
    <w:rsid w:val="00166D14"/>
    <w:rsid w:val="00167150"/>
    <w:rsid w:val="001672F2"/>
    <w:rsid w:val="00167E8D"/>
    <w:rsid w:val="001700F4"/>
    <w:rsid w:val="001704D2"/>
    <w:rsid w:val="00170846"/>
    <w:rsid w:val="0017098E"/>
    <w:rsid w:val="00171193"/>
    <w:rsid w:val="001717C6"/>
    <w:rsid w:val="00171BA8"/>
    <w:rsid w:val="001722C6"/>
    <w:rsid w:val="0017270D"/>
    <w:rsid w:val="001727E3"/>
    <w:rsid w:val="00172A0E"/>
    <w:rsid w:val="00174822"/>
    <w:rsid w:val="00174940"/>
    <w:rsid w:val="00174BD7"/>
    <w:rsid w:val="00175E49"/>
    <w:rsid w:val="00176080"/>
    <w:rsid w:val="001766C6"/>
    <w:rsid w:val="00176F32"/>
    <w:rsid w:val="00177E5A"/>
    <w:rsid w:val="00177E9F"/>
    <w:rsid w:val="0018075E"/>
    <w:rsid w:val="001807AC"/>
    <w:rsid w:val="001807ED"/>
    <w:rsid w:val="001815E3"/>
    <w:rsid w:val="00181C5E"/>
    <w:rsid w:val="00182A9B"/>
    <w:rsid w:val="00183251"/>
    <w:rsid w:val="0018384D"/>
    <w:rsid w:val="0018389D"/>
    <w:rsid w:val="001842C4"/>
    <w:rsid w:val="001849D5"/>
    <w:rsid w:val="00186520"/>
    <w:rsid w:val="00186BAF"/>
    <w:rsid w:val="00186CD0"/>
    <w:rsid w:val="00187050"/>
    <w:rsid w:val="001871A8"/>
    <w:rsid w:val="001872A8"/>
    <w:rsid w:val="00187333"/>
    <w:rsid w:val="00187D14"/>
    <w:rsid w:val="00187F36"/>
    <w:rsid w:val="00190347"/>
    <w:rsid w:val="00190461"/>
    <w:rsid w:val="001906B0"/>
    <w:rsid w:val="00190762"/>
    <w:rsid w:val="00191078"/>
    <w:rsid w:val="0019117E"/>
    <w:rsid w:val="00192211"/>
    <w:rsid w:val="00192413"/>
    <w:rsid w:val="001925E8"/>
    <w:rsid w:val="00192F97"/>
    <w:rsid w:val="0019305A"/>
    <w:rsid w:val="001937BB"/>
    <w:rsid w:val="001938E6"/>
    <w:rsid w:val="001938F8"/>
    <w:rsid w:val="001951F7"/>
    <w:rsid w:val="001955B3"/>
    <w:rsid w:val="00195D92"/>
    <w:rsid w:val="00196AA8"/>
    <w:rsid w:val="00196F67"/>
    <w:rsid w:val="00197283"/>
    <w:rsid w:val="0019747D"/>
    <w:rsid w:val="00197F7F"/>
    <w:rsid w:val="001A0674"/>
    <w:rsid w:val="001A10D5"/>
    <w:rsid w:val="001A1B51"/>
    <w:rsid w:val="001A2501"/>
    <w:rsid w:val="001A2772"/>
    <w:rsid w:val="001A2F4C"/>
    <w:rsid w:val="001A3164"/>
    <w:rsid w:val="001A3D86"/>
    <w:rsid w:val="001A3DE4"/>
    <w:rsid w:val="001A40D0"/>
    <w:rsid w:val="001A5017"/>
    <w:rsid w:val="001A71AB"/>
    <w:rsid w:val="001A7296"/>
    <w:rsid w:val="001A7526"/>
    <w:rsid w:val="001A7644"/>
    <w:rsid w:val="001B0195"/>
    <w:rsid w:val="001B05C2"/>
    <w:rsid w:val="001B0EFC"/>
    <w:rsid w:val="001B21CA"/>
    <w:rsid w:val="001B2951"/>
    <w:rsid w:val="001B3443"/>
    <w:rsid w:val="001B44C3"/>
    <w:rsid w:val="001B4762"/>
    <w:rsid w:val="001B5B16"/>
    <w:rsid w:val="001B68CF"/>
    <w:rsid w:val="001B7A86"/>
    <w:rsid w:val="001B7B73"/>
    <w:rsid w:val="001B7D4C"/>
    <w:rsid w:val="001B7DCA"/>
    <w:rsid w:val="001C032F"/>
    <w:rsid w:val="001C152C"/>
    <w:rsid w:val="001C1650"/>
    <w:rsid w:val="001C172A"/>
    <w:rsid w:val="001C1BDF"/>
    <w:rsid w:val="001C2780"/>
    <w:rsid w:val="001C2AA1"/>
    <w:rsid w:val="001C2CAA"/>
    <w:rsid w:val="001C2D99"/>
    <w:rsid w:val="001C2FE0"/>
    <w:rsid w:val="001C3252"/>
    <w:rsid w:val="001C37C5"/>
    <w:rsid w:val="001C5348"/>
    <w:rsid w:val="001C53D8"/>
    <w:rsid w:val="001C53E1"/>
    <w:rsid w:val="001C5E2F"/>
    <w:rsid w:val="001C610D"/>
    <w:rsid w:val="001C79A8"/>
    <w:rsid w:val="001D0648"/>
    <w:rsid w:val="001D0D1A"/>
    <w:rsid w:val="001D1898"/>
    <w:rsid w:val="001D1C52"/>
    <w:rsid w:val="001D226A"/>
    <w:rsid w:val="001D2AF1"/>
    <w:rsid w:val="001D2F87"/>
    <w:rsid w:val="001D507E"/>
    <w:rsid w:val="001D658B"/>
    <w:rsid w:val="001D73E5"/>
    <w:rsid w:val="001D7C3C"/>
    <w:rsid w:val="001D7C4E"/>
    <w:rsid w:val="001D7DEC"/>
    <w:rsid w:val="001D7F51"/>
    <w:rsid w:val="001E0B5F"/>
    <w:rsid w:val="001E146E"/>
    <w:rsid w:val="001E2467"/>
    <w:rsid w:val="001E26B2"/>
    <w:rsid w:val="001E2778"/>
    <w:rsid w:val="001E2E7D"/>
    <w:rsid w:val="001E2FA6"/>
    <w:rsid w:val="001E3E01"/>
    <w:rsid w:val="001E3E7E"/>
    <w:rsid w:val="001E558F"/>
    <w:rsid w:val="001E59A7"/>
    <w:rsid w:val="001E68C9"/>
    <w:rsid w:val="001E690D"/>
    <w:rsid w:val="001E7BD7"/>
    <w:rsid w:val="001F051E"/>
    <w:rsid w:val="001F0F85"/>
    <w:rsid w:val="001F1135"/>
    <w:rsid w:val="001F1810"/>
    <w:rsid w:val="001F297A"/>
    <w:rsid w:val="001F2FFA"/>
    <w:rsid w:val="001F431F"/>
    <w:rsid w:val="001F45A9"/>
    <w:rsid w:val="001F4A01"/>
    <w:rsid w:val="001F50C1"/>
    <w:rsid w:val="001F705A"/>
    <w:rsid w:val="001F7873"/>
    <w:rsid w:val="001F7A3B"/>
    <w:rsid w:val="002009CD"/>
    <w:rsid w:val="00200F16"/>
    <w:rsid w:val="00201125"/>
    <w:rsid w:val="0020199E"/>
    <w:rsid w:val="00201E7F"/>
    <w:rsid w:val="00202623"/>
    <w:rsid w:val="00202BC7"/>
    <w:rsid w:val="00202DB4"/>
    <w:rsid w:val="002038AA"/>
    <w:rsid w:val="00203C65"/>
    <w:rsid w:val="00204534"/>
    <w:rsid w:val="00204BEE"/>
    <w:rsid w:val="0020555B"/>
    <w:rsid w:val="00205BC3"/>
    <w:rsid w:val="00205C46"/>
    <w:rsid w:val="00206F6E"/>
    <w:rsid w:val="00206FF1"/>
    <w:rsid w:val="002074CE"/>
    <w:rsid w:val="0020796B"/>
    <w:rsid w:val="002105F7"/>
    <w:rsid w:val="0021097C"/>
    <w:rsid w:val="00210A7C"/>
    <w:rsid w:val="00211A73"/>
    <w:rsid w:val="002123D7"/>
    <w:rsid w:val="002129AE"/>
    <w:rsid w:val="00212AF8"/>
    <w:rsid w:val="00212BB5"/>
    <w:rsid w:val="002132C5"/>
    <w:rsid w:val="00213592"/>
    <w:rsid w:val="00214108"/>
    <w:rsid w:val="002147B7"/>
    <w:rsid w:val="00214F83"/>
    <w:rsid w:val="00215607"/>
    <w:rsid w:val="00215CDD"/>
    <w:rsid w:val="002161AE"/>
    <w:rsid w:val="00216340"/>
    <w:rsid w:val="00216DD6"/>
    <w:rsid w:val="002173D9"/>
    <w:rsid w:val="002175F5"/>
    <w:rsid w:val="0021772A"/>
    <w:rsid w:val="00221664"/>
    <w:rsid w:val="0022219C"/>
    <w:rsid w:val="002224DB"/>
    <w:rsid w:val="002227B6"/>
    <w:rsid w:val="002229DB"/>
    <w:rsid w:val="00222E2F"/>
    <w:rsid w:val="0022331C"/>
    <w:rsid w:val="00224135"/>
    <w:rsid w:val="00224AC8"/>
    <w:rsid w:val="00224B50"/>
    <w:rsid w:val="00225887"/>
    <w:rsid w:val="002262DB"/>
    <w:rsid w:val="002264E3"/>
    <w:rsid w:val="00226919"/>
    <w:rsid w:val="00226A36"/>
    <w:rsid w:val="00226CA6"/>
    <w:rsid w:val="0022729C"/>
    <w:rsid w:val="00227512"/>
    <w:rsid w:val="00227CA2"/>
    <w:rsid w:val="00230619"/>
    <w:rsid w:val="0023138C"/>
    <w:rsid w:val="00232B37"/>
    <w:rsid w:val="00235035"/>
    <w:rsid w:val="002355B4"/>
    <w:rsid w:val="00235840"/>
    <w:rsid w:val="00235DD0"/>
    <w:rsid w:val="002366FB"/>
    <w:rsid w:val="00236BB7"/>
    <w:rsid w:val="00236FB1"/>
    <w:rsid w:val="0023708A"/>
    <w:rsid w:val="00237403"/>
    <w:rsid w:val="002378DB"/>
    <w:rsid w:val="00237BA5"/>
    <w:rsid w:val="002400C9"/>
    <w:rsid w:val="002407CB"/>
    <w:rsid w:val="00240A81"/>
    <w:rsid w:val="00241429"/>
    <w:rsid w:val="002416BC"/>
    <w:rsid w:val="00241D60"/>
    <w:rsid w:val="00241E3C"/>
    <w:rsid w:val="002429D9"/>
    <w:rsid w:val="00243A06"/>
    <w:rsid w:val="00243BE2"/>
    <w:rsid w:val="00244CFB"/>
    <w:rsid w:val="002454FD"/>
    <w:rsid w:val="002476AE"/>
    <w:rsid w:val="002477A3"/>
    <w:rsid w:val="00250318"/>
    <w:rsid w:val="00250831"/>
    <w:rsid w:val="0025096F"/>
    <w:rsid w:val="002513AC"/>
    <w:rsid w:val="002513F9"/>
    <w:rsid w:val="00251B9C"/>
    <w:rsid w:val="00251EEE"/>
    <w:rsid w:val="00251FF0"/>
    <w:rsid w:val="0025322B"/>
    <w:rsid w:val="00253414"/>
    <w:rsid w:val="00253780"/>
    <w:rsid w:val="00253B22"/>
    <w:rsid w:val="00253F2C"/>
    <w:rsid w:val="002545F0"/>
    <w:rsid w:val="00254BE8"/>
    <w:rsid w:val="002552B6"/>
    <w:rsid w:val="00255AD3"/>
    <w:rsid w:val="00255E89"/>
    <w:rsid w:val="00256236"/>
    <w:rsid w:val="00256FEA"/>
    <w:rsid w:val="0025740C"/>
    <w:rsid w:val="002575B0"/>
    <w:rsid w:val="00257CB6"/>
    <w:rsid w:val="0026010C"/>
    <w:rsid w:val="00262127"/>
    <w:rsid w:val="00262F3B"/>
    <w:rsid w:val="00263302"/>
    <w:rsid w:val="002639A6"/>
    <w:rsid w:val="00263C26"/>
    <w:rsid w:val="00264364"/>
    <w:rsid w:val="002647E1"/>
    <w:rsid w:val="00265446"/>
    <w:rsid w:val="00265DC7"/>
    <w:rsid w:val="00266262"/>
    <w:rsid w:val="00266516"/>
    <w:rsid w:val="0026678E"/>
    <w:rsid w:val="00266968"/>
    <w:rsid w:val="00267E18"/>
    <w:rsid w:val="00270209"/>
    <w:rsid w:val="0027084B"/>
    <w:rsid w:val="00270866"/>
    <w:rsid w:val="00270DA4"/>
    <w:rsid w:val="00270E97"/>
    <w:rsid w:val="00270F66"/>
    <w:rsid w:val="00272695"/>
    <w:rsid w:val="00273B42"/>
    <w:rsid w:val="002741EF"/>
    <w:rsid w:val="0027474C"/>
    <w:rsid w:val="002755AF"/>
    <w:rsid w:val="00276A36"/>
    <w:rsid w:val="00277043"/>
    <w:rsid w:val="0028172C"/>
    <w:rsid w:val="00281A36"/>
    <w:rsid w:val="0028345C"/>
    <w:rsid w:val="002843C6"/>
    <w:rsid w:val="00284E84"/>
    <w:rsid w:val="00285E03"/>
    <w:rsid w:val="002866D5"/>
    <w:rsid w:val="00286DBC"/>
    <w:rsid w:val="00287716"/>
    <w:rsid w:val="00287EED"/>
    <w:rsid w:val="00290D04"/>
    <w:rsid w:val="00291A31"/>
    <w:rsid w:val="00291BF6"/>
    <w:rsid w:val="002926F0"/>
    <w:rsid w:val="00292C7A"/>
    <w:rsid w:val="0029368F"/>
    <w:rsid w:val="00293C64"/>
    <w:rsid w:val="002945B4"/>
    <w:rsid w:val="00294895"/>
    <w:rsid w:val="00295167"/>
    <w:rsid w:val="002953E3"/>
    <w:rsid w:val="00295954"/>
    <w:rsid w:val="00295AF0"/>
    <w:rsid w:val="00295F42"/>
    <w:rsid w:val="00296439"/>
    <w:rsid w:val="00296C96"/>
    <w:rsid w:val="00296DE0"/>
    <w:rsid w:val="00297587"/>
    <w:rsid w:val="00297C64"/>
    <w:rsid w:val="00297CD3"/>
    <w:rsid w:val="002A0BF1"/>
    <w:rsid w:val="002A1546"/>
    <w:rsid w:val="002A1756"/>
    <w:rsid w:val="002A1EDB"/>
    <w:rsid w:val="002A293E"/>
    <w:rsid w:val="002A3863"/>
    <w:rsid w:val="002A389E"/>
    <w:rsid w:val="002A4E25"/>
    <w:rsid w:val="002A53CD"/>
    <w:rsid w:val="002A5C75"/>
    <w:rsid w:val="002A5E16"/>
    <w:rsid w:val="002A614A"/>
    <w:rsid w:val="002A62B0"/>
    <w:rsid w:val="002B03B0"/>
    <w:rsid w:val="002B11A3"/>
    <w:rsid w:val="002B137D"/>
    <w:rsid w:val="002B1D8A"/>
    <w:rsid w:val="002B1F64"/>
    <w:rsid w:val="002B2077"/>
    <w:rsid w:val="002B21E1"/>
    <w:rsid w:val="002B2866"/>
    <w:rsid w:val="002B2882"/>
    <w:rsid w:val="002B2D5B"/>
    <w:rsid w:val="002B2E9C"/>
    <w:rsid w:val="002B3352"/>
    <w:rsid w:val="002B460A"/>
    <w:rsid w:val="002B462B"/>
    <w:rsid w:val="002B51FB"/>
    <w:rsid w:val="002B7C6B"/>
    <w:rsid w:val="002C15D0"/>
    <w:rsid w:val="002C1E62"/>
    <w:rsid w:val="002C2A74"/>
    <w:rsid w:val="002C3AA9"/>
    <w:rsid w:val="002C4407"/>
    <w:rsid w:val="002C450D"/>
    <w:rsid w:val="002C4900"/>
    <w:rsid w:val="002C4BDA"/>
    <w:rsid w:val="002C5616"/>
    <w:rsid w:val="002C5905"/>
    <w:rsid w:val="002C5916"/>
    <w:rsid w:val="002C635C"/>
    <w:rsid w:val="002C7C8F"/>
    <w:rsid w:val="002D19FB"/>
    <w:rsid w:val="002D2021"/>
    <w:rsid w:val="002D2F76"/>
    <w:rsid w:val="002D2FD2"/>
    <w:rsid w:val="002D3019"/>
    <w:rsid w:val="002D3642"/>
    <w:rsid w:val="002D5DAE"/>
    <w:rsid w:val="002D60CE"/>
    <w:rsid w:val="002D63AE"/>
    <w:rsid w:val="002D6FCA"/>
    <w:rsid w:val="002E0A8F"/>
    <w:rsid w:val="002E0FC2"/>
    <w:rsid w:val="002E2434"/>
    <w:rsid w:val="002E28FD"/>
    <w:rsid w:val="002E2F45"/>
    <w:rsid w:val="002E372E"/>
    <w:rsid w:val="002E3951"/>
    <w:rsid w:val="002E4168"/>
    <w:rsid w:val="002E4513"/>
    <w:rsid w:val="002E531B"/>
    <w:rsid w:val="002E5508"/>
    <w:rsid w:val="002E55AF"/>
    <w:rsid w:val="002E5CDA"/>
    <w:rsid w:val="002E6B81"/>
    <w:rsid w:val="002E6CC2"/>
    <w:rsid w:val="002E7D7D"/>
    <w:rsid w:val="002E7F34"/>
    <w:rsid w:val="002F0CCD"/>
    <w:rsid w:val="002F0D21"/>
    <w:rsid w:val="002F1404"/>
    <w:rsid w:val="002F24B5"/>
    <w:rsid w:val="002F300D"/>
    <w:rsid w:val="002F4265"/>
    <w:rsid w:val="002F46DD"/>
    <w:rsid w:val="002F5A7A"/>
    <w:rsid w:val="002F5F27"/>
    <w:rsid w:val="002F6DC2"/>
    <w:rsid w:val="002F79F4"/>
    <w:rsid w:val="00300985"/>
    <w:rsid w:val="00301524"/>
    <w:rsid w:val="00301CAE"/>
    <w:rsid w:val="0030205D"/>
    <w:rsid w:val="00302A67"/>
    <w:rsid w:val="00302AA8"/>
    <w:rsid w:val="00302F55"/>
    <w:rsid w:val="00303AE1"/>
    <w:rsid w:val="00304394"/>
    <w:rsid w:val="00304A10"/>
    <w:rsid w:val="00305745"/>
    <w:rsid w:val="00305D5C"/>
    <w:rsid w:val="00305E4B"/>
    <w:rsid w:val="003067E4"/>
    <w:rsid w:val="00306AC2"/>
    <w:rsid w:val="00306D5B"/>
    <w:rsid w:val="00306EF2"/>
    <w:rsid w:val="003072CD"/>
    <w:rsid w:val="0030786C"/>
    <w:rsid w:val="0030796F"/>
    <w:rsid w:val="00307B0B"/>
    <w:rsid w:val="0031002A"/>
    <w:rsid w:val="003105FB"/>
    <w:rsid w:val="00310DC6"/>
    <w:rsid w:val="003126DB"/>
    <w:rsid w:val="0031317F"/>
    <w:rsid w:val="003136F2"/>
    <w:rsid w:val="00314F69"/>
    <w:rsid w:val="00316D32"/>
    <w:rsid w:val="003174CF"/>
    <w:rsid w:val="0031799A"/>
    <w:rsid w:val="0032025F"/>
    <w:rsid w:val="0032076A"/>
    <w:rsid w:val="003216B7"/>
    <w:rsid w:val="003217D9"/>
    <w:rsid w:val="00321B8A"/>
    <w:rsid w:val="00322482"/>
    <w:rsid w:val="003229CC"/>
    <w:rsid w:val="0032320C"/>
    <w:rsid w:val="00323267"/>
    <w:rsid w:val="00323AE8"/>
    <w:rsid w:val="00323B09"/>
    <w:rsid w:val="00324415"/>
    <w:rsid w:val="003246CB"/>
    <w:rsid w:val="00324818"/>
    <w:rsid w:val="0032559C"/>
    <w:rsid w:val="003263DE"/>
    <w:rsid w:val="00326D7D"/>
    <w:rsid w:val="00326F6E"/>
    <w:rsid w:val="0032742C"/>
    <w:rsid w:val="00330A53"/>
    <w:rsid w:val="00332187"/>
    <w:rsid w:val="00332A99"/>
    <w:rsid w:val="00334FFC"/>
    <w:rsid w:val="0033570D"/>
    <w:rsid w:val="00335767"/>
    <w:rsid w:val="00336BD9"/>
    <w:rsid w:val="0033725A"/>
    <w:rsid w:val="00341948"/>
    <w:rsid w:val="003420BD"/>
    <w:rsid w:val="00342414"/>
    <w:rsid w:val="003428FD"/>
    <w:rsid w:val="00342F35"/>
    <w:rsid w:val="00343775"/>
    <w:rsid w:val="003444D2"/>
    <w:rsid w:val="00344975"/>
    <w:rsid w:val="00344A70"/>
    <w:rsid w:val="0034674B"/>
    <w:rsid w:val="00346EC2"/>
    <w:rsid w:val="00346F24"/>
    <w:rsid w:val="00346FA4"/>
    <w:rsid w:val="00350202"/>
    <w:rsid w:val="00350453"/>
    <w:rsid w:val="00350813"/>
    <w:rsid w:val="00350D59"/>
    <w:rsid w:val="0035187A"/>
    <w:rsid w:val="00353206"/>
    <w:rsid w:val="003545A8"/>
    <w:rsid w:val="003549AB"/>
    <w:rsid w:val="00354AC7"/>
    <w:rsid w:val="00355E4D"/>
    <w:rsid w:val="00356187"/>
    <w:rsid w:val="003562BD"/>
    <w:rsid w:val="0036052D"/>
    <w:rsid w:val="00360B7A"/>
    <w:rsid w:val="00361640"/>
    <w:rsid w:val="0036177A"/>
    <w:rsid w:val="00361E69"/>
    <w:rsid w:val="003627A4"/>
    <w:rsid w:val="00362D8A"/>
    <w:rsid w:val="00364BB7"/>
    <w:rsid w:val="00364CDE"/>
    <w:rsid w:val="00365D71"/>
    <w:rsid w:val="00366D0C"/>
    <w:rsid w:val="00370DEF"/>
    <w:rsid w:val="0037183B"/>
    <w:rsid w:val="00372460"/>
    <w:rsid w:val="00372539"/>
    <w:rsid w:val="00372A48"/>
    <w:rsid w:val="00372BF0"/>
    <w:rsid w:val="00372E34"/>
    <w:rsid w:val="003744D6"/>
    <w:rsid w:val="00374D9F"/>
    <w:rsid w:val="00374FA5"/>
    <w:rsid w:val="00376FE9"/>
    <w:rsid w:val="003771CF"/>
    <w:rsid w:val="00377D45"/>
    <w:rsid w:val="00381526"/>
    <w:rsid w:val="003821F6"/>
    <w:rsid w:val="00382924"/>
    <w:rsid w:val="00382C96"/>
    <w:rsid w:val="00382CC5"/>
    <w:rsid w:val="003837AF"/>
    <w:rsid w:val="00384A6E"/>
    <w:rsid w:val="00385D6F"/>
    <w:rsid w:val="00386D66"/>
    <w:rsid w:val="00387321"/>
    <w:rsid w:val="00387B03"/>
    <w:rsid w:val="00387F79"/>
    <w:rsid w:val="0039008B"/>
    <w:rsid w:val="00390BD4"/>
    <w:rsid w:val="00390F34"/>
    <w:rsid w:val="00391B78"/>
    <w:rsid w:val="00391B9B"/>
    <w:rsid w:val="003922A8"/>
    <w:rsid w:val="00392464"/>
    <w:rsid w:val="00392A02"/>
    <w:rsid w:val="00393A1C"/>
    <w:rsid w:val="00393D46"/>
    <w:rsid w:val="00394EAE"/>
    <w:rsid w:val="0039568A"/>
    <w:rsid w:val="00396B69"/>
    <w:rsid w:val="003970A7"/>
    <w:rsid w:val="003A0046"/>
    <w:rsid w:val="003A2586"/>
    <w:rsid w:val="003A2AF0"/>
    <w:rsid w:val="003A30DB"/>
    <w:rsid w:val="003A418B"/>
    <w:rsid w:val="003A51C8"/>
    <w:rsid w:val="003A527D"/>
    <w:rsid w:val="003A5728"/>
    <w:rsid w:val="003A69D6"/>
    <w:rsid w:val="003A6B42"/>
    <w:rsid w:val="003A6B97"/>
    <w:rsid w:val="003B00FD"/>
    <w:rsid w:val="003B04C3"/>
    <w:rsid w:val="003B0769"/>
    <w:rsid w:val="003B0AAD"/>
    <w:rsid w:val="003B0B47"/>
    <w:rsid w:val="003B1222"/>
    <w:rsid w:val="003B23E5"/>
    <w:rsid w:val="003B2657"/>
    <w:rsid w:val="003B2972"/>
    <w:rsid w:val="003B2C42"/>
    <w:rsid w:val="003B2E5C"/>
    <w:rsid w:val="003B3C7F"/>
    <w:rsid w:val="003B41C5"/>
    <w:rsid w:val="003B44E3"/>
    <w:rsid w:val="003B54BC"/>
    <w:rsid w:val="003B59C4"/>
    <w:rsid w:val="003B5AC1"/>
    <w:rsid w:val="003B6012"/>
    <w:rsid w:val="003B609E"/>
    <w:rsid w:val="003B60A7"/>
    <w:rsid w:val="003B68C4"/>
    <w:rsid w:val="003B771D"/>
    <w:rsid w:val="003B797C"/>
    <w:rsid w:val="003C0856"/>
    <w:rsid w:val="003C0974"/>
    <w:rsid w:val="003C1DD5"/>
    <w:rsid w:val="003C25D3"/>
    <w:rsid w:val="003C2F8E"/>
    <w:rsid w:val="003C36FF"/>
    <w:rsid w:val="003C3E2A"/>
    <w:rsid w:val="003C502B"/>
    <w:rsid w:val="003C51B9"/>
    <w:rsid w:val="003C6060"/>
    <w:rsid w:val="003C6180"/>
    <w:rsid w:val="003C728B"/>
    <w:rsid w:val="003C729B"/>
    <w:rsid w:val="003C736D"/>
    <w:rsid w:val="003D0BA7"/>
    <w:rsid w:val="003D0D1C"/>
    <w:rsid w:val="003D1CB9"/>
    <w:rsid w:val="003D2F8F"/>
    <w:rsid w:val="003D3218"/>
    <w:rsid w:val="003D3E15"/>
    <w:rsid w:val="003D5E45"/>
    <w:rsid w:val="003D64D2"/>
    <w:rsid w:val="003D74C9"/>
    <w:rsid w:val="003E1403"/>
    <w:rsid w:val="003E36C5"/>
    <w:rsid w:val="003E39C7"/>
    <w:rsid w:val="003E3BEF"/>
    <w:rsid w:val="003E4622"/>
    <w:rsid w:val="003E4EDB"/>
    <w:rsid w:val="003E63E6"/>
    <w:rsid w:val="003E6B4C"/>
    <w:rsid w:val="003E7AB4"/>
    <w:rsid w:val="003E7ADD"/>
    <w:rsid w:val="003F03D0"/>
    <w:rsid w:val="003F06B0"/>
    <w:rsid w:val="003F09FF"/>
    <w:rsid w:val="003F19D4"/>
    <w:rsid w:val="003F2A67"/>
    <w:rsid w:val="003F2A8D"/>
    <w:rsid w:val="003F35FA"/>
    <w:rsid w:val="003F377E"/>
    <w:rsid w:val="003F39B5"/>
    <w:rsid w:val="003F3CED"/>
    <w:rsid w:val="003F485A"/>
    <w:rsid w:val="003F4CF2"/>
    <w:rsid w:val="003F4E26"/>
    <w:rsid w:val="003F6163"/>
    <w:rsid w:val="003F6B0E"/>
    <w:rsid w:val="003F777B"/>
    <w:rsid w:val="003F7882"/>
    <w:rsid w:val="003F788A"/>
    <w:rsid w:val="003F7A83"/>
    <w:rsid w:val="0040164D"/>
    <w:rsid w:val="00401C48"/>
    <w:rsid w:val="00401E59"/>
    <w:rsid w:val="00402D30"/>
    <w:rsid w:val="00403E1A"/>
    <w:rsid w:val="00404475"/>
    <w:rsid w:val="00406ED1"/>
    <w:rsid w:val="00406EE6"/>
    <w:rsid w:val="004072A8"/>
    <w:rsid w:val="004074E1"/>
    <w:rsid w:val="004115AD"/>
    <w:rsid w:val="00411892"/>
    <w:rsid w:val="00412122"/>
    <w:rsid w:val="00412607"/>
    <w:rsid w:val="00412FB5"/>
    <w:rsid w:val="00413087"/>
    <w:rsid w:val="00414165"/>
    <w:rsid w:val="00414954"/>
    <w:rsid w:val="00416622"/>
    <w:rsid w:val="00420131"/>
    <w:rsid w:val="0042033B"/>
    <w:rsid w:val="00420391"/>
    <w:rsid w:val="0042071B"/>
    <w:rsid w:val="00420A01"/>
    <w:rsid w:val="00422829"/>
    <w:rsid w:val="00423928"/>
    <w:rsid w:val="00424DB2"/>
    <w:rsid w:val="00425D06"/>
    <w:rsid w:val="0042614A"/>
    <w:rsid w:val="0042649D"/>
    <w:rsid w:val="0042696C"/>
    <w:rsid w:val="00426EFE"/>
    <w:rsid w:val="00427255"/>
    <w:rsid w:val="0042753C"/>
    <w:rsid w:val="004307C5"/>
    <w:rsid w:val="00430952"/>
    <w:rsid w:val="00430D5B"/>
    <w:rsid w:val="00430EC1"/>
    <w:rsid w:val="0043134E"/>
    <w:rsid w:val="00432023"/>
    <w:rsid w:val="0043303C"/>
    <w:rsid w:val="0043359F"/>
    <w:rsid w:val="0043399F"/>
    <w:rsid w:val="00434D9D"/>
    <w:rsid w:val="00435810"/>
    <w:rsid w:val="00435A5F"/>
    <w:rsid w:val="0043636D"/>
    <w:rsid w:val="00436C63"/>
    <w:rsid w:val="00437620"/>
    <w:rsid w:val="004378E1"/>
    <w:rsid w:val="00440C81"/>
    <w:rsid w:val="0044180D"/>
    <w:rsid w:val="00441FC2"/>
    <w:rsid w:val="0044224F"/>
    <w:rsid w:val="0044292D"/>
    <w:rsid w:val="00443623"/>
    <w:rsid w:val="00444173"/>
    <w:rsid w:val="00445CC7"/>
    <w:rsid w:val="004465C8"/>
    <w:rsid w:val="00446A35"/>
    <w:rsid w:val="00446CE4"/>
    <w:rsid w:val="004477BE"/>
    <w:rsid w:val="00451065"/>
    <w:rsid w:val="00451CA2"/>
    <w:rsid w:val="00452018"/>
    <w:rsid w:val="004520E6"/>
    <w:rsid w:val="004527D9"/>
    <w:rsid w:val="00452C0B"/>
    <w:rsid w:val="004548EF"/>
    <w:rsid w:val="00454FE1"/>
    <w:rsid w:val="0045533B"/>
    <w:rsid w:val="00455D79"/>
    <w:rsid w:val="00456E37"/>
    <w:rsid w:val="00456EEC"/>
    <w:rsid w:val="00457661"/>
    <w:rsid w:val="00457693"/>
    <w:rsid w:val="00457A12"/>
    <w:rsid w:val="00460A32"/>
    <w:rsid w:val="00462C69"/>
    <w:rsid w:val="00462CB1"/>
    <w:rsid w:val="00463319"/>
    <w:rsid w:val="00463683"/>
    <w:rsid w:val="00463B1C"/>
    <w:rsid w:val="00463CE2"/>
    <w:rsid w:val="004644F9"/>
    <w:rsid w:val="0046512B"/>
    <w:rsid w:val="004667F6"/>
    <w:rsid w:val="00466953"/>
    <w:rsid w:val="00466F2A"/>
    <w:rsid w:val="0046737D"/>
    <w:rsid w:val="00470B37"/>
    <w:rsid w:val="00470CDE"/>
    <w:rsid w:val="00472400"/>
    <w:rsid w:val="00472534"/>
    <w:rsid w:val="0047256D"/>
    <w:rsid w:val="00472743"/>
    <w:rsid w:val="00472BEA"/>
    <w:rsid w:val="00472C91"/>
    <w:rsid w:val="0047393A"/>
    <w:rsid w:val="00474686"/>
    <w:rsid w:val="004749E9"/>
    <w:rsid w:val="00474DAD"/>
    <w:rsid w:val="004756AD"/>
    <w:rsid w:val="00475785"/>
    <w:rsid w:val="00475E62"/>
    <w:rsid w:val="00475E69"/>
    <w:rsid w:val="0047654A"/>
    <w:rsid w:val="00476C07"/>
    <w:rsid w:val="00477345"/>
    <w:rsid w:val="00480A0A"/>
    <w:rsid w:val="0048125A"/>
    <w:rsid w:val="0048144C"/>
    <w:rsid w:val="00481FDB"/>
    <w:rsid w:val="00482572"/>
    <w:rsid w:val="0048282E"/>
    <w:rsid w:val="00482932"/>
    <w:rsid w:val="00483634"/>
    <w:rsid w:val="0048386A"/>
    <w:rsid w:val="00484218"/>
    <w:rsid w:val="0048467B"/>
    <w:rsid w:val="0048544B"/>
    <w:rsid w:val="004859A5"/>
    <w:rsid w:val="004859DF"/>
    <w:rsid w:val="00485D21"/>
    <w:rsid w:val="004862D3"/>
    <w:rsid w:val="004867E2"/>
    <w:rsid w:val="00486A7D"/>
    <w:rsid w:val="00487259"/>
    <w:rsid w:val="00487421"/>
    <w:rsid w:val="00490F36"/>
    <w:rsid w:val="004913D3"/>
    <w:rsid w:val="00491404"/>
    <w:rsid w:val="00491F70"/>
    <w:rsid w:val="0049247B"/>
    <w:rsid w:val="004925E8"/>
    <w:rsid w:val="004944BB"/>
    <w:rsid w:val="00494B98"/>
    <w:rsid w:val="00495619"/>
    <w:rsid w:val="004963B8"/>
    <w:rsid w:val="00496CD3"/>
    <w:rsid w:val="00497603"/>
    <w:rsid w:val="004A0500"/>
    <w:rsid w:val="004A1D0D"/>
    <w:rsid w:val="004A253B"/>
    <w:rsid w:val="004A278B"/>
    <w:rsid w:val="004A29C3"/>
    <w:rsid w:val="004A2F14"/>
    <w:rsid w:val="004A40A5"/>
    <w:rsid w:val="004A43F3"/>
    <w:rsid w:val="004A4D41"/>
    <w:rsid w:val="004A56C0"/>
    <w:rsid w:val="004A6E95"/>
    <w:rsid w:val="004A7561"/>
    <w:rsid w:val="004B02F0"/>
    <w:rsid w:val="004B0928"/>
    <w:rsid w:val="004B104B"/>
    <w:rsid w:val="004B2987"/>
    <w:rsid w:val="004B2BA0"/>
    <w:rsid w:val="004B2F46"/>
    <w:rsid w:val="004B4440"/>
    <w:rsid w:val="004B4D10"/>
    <w:rsid w:val="004B6382"/>
    <w:rsid w:val="004B6F11"/>
    <w:rsid w:val="004B7242"/>
    <w:rsid w:val="004C005F"/>
    <w:rsid w:val="004C0614"/>
    <w:rsid w:val="004C120F"/>
    <w:rsid w:val="004C13B1"/>
    <w:rsid w:val="004C1D40"/>
    <w:rsid w:val="004C2904"/>
    <w:rsid w:val="004C3F50"/>
    <w:rsid w:val="004C4940"/>
    <w:rsid w:val="004C4951"/>
    <w:rsid w:val="004C4CAD"/>
    <w:rsid w:val="004C5A6A"/>
    <w:rsid w:val="004C5E9C"/>
    <w:rsid w:val="004C6985"/>
    <w:rsid w:val="004C6CE6"/>
    <w:rsid w:val="004C6D55"/>
    <w:rsid w:val="004C724D"/>
    <w:rsid w:val="004C7889"/>
    <w:rsid w:val="004D0A22"/>
    <w:rsid w:val="004D2602"/>
    <w:rsid w:val="004D2685"/>
    <w:rsid w:val="004D2C42"/>
    <w:rsid w:val="004D4525"/>
    <w:rsid w:val="004D482B"/>
    <w:rsid w:val="004D5156"/>
    <w:rsid w:val="004D57AE"/>
    <w:rsid w:val="004D584F"/>
    <w:rsid w:val="004D6453"/>
    <w:rsid w:val="004D67AF"/>
    <w:rsid w:val="004D69BB"/>
    <w:rsid w:val="004D6FB9"/>
    <w:rsid w:val="004D72E6"/>
    <w:rsid w:val="004D781D"/>
    <w:rsid w:val="004D7CBA"/>
    <w:rsid w:val="004E14A4"/>
    <w:rsid w:val="004E155D"/>
    <w:rsid w:val="004E1F13"/>
    <w:rsid w:val="004E1F3F"/>
    <w:rsid w:val="004E21F8"/>
    <w:rsid w:val="004E3AA8"/>
    <w:rsid w:val="004E4115"/>
    <w:rsid w:val="004E4471"/>
    <w:rsid w:val="004E49EA"/>
    <w:rsid w:val="004E5C08"/>
    <w:rsid w:val="004E6087"/>
    <w:rsid w:val="004E644A"/>
    <w:rsid w:val="004E6589"/>
    <w:rsid w:val="004E6E3C"/>
    <w:rsid w:val="004E705F"/>
    <w:rsid w:val="004E72CB"/>
    <w:rsid w:val="004E72CC"/>
    <w:rsid w:val="004E734A"/>
    <w:rsid w:val="004E7548"/>
    <w:rsid w:val="004F0267"/>
    <w:rsid w:val="004F0CC7"/>
    <w:rsid w:val="004F19FD"/>
    <w:rsid w:val="004F3775"/>
    <w:rsid w:val="004F56EF"/>
    <w:rsid w:val="004F5FA8"/>
    <w:rsid w:val="004F6D63"/>
    <w:rsid w:val="004F7A7E"/>
    <w:rsid w:val="00501A51"/>
    <w:rsid w:val="00501A7B"/>
    <w:rsid w:val="00501C55"/>
    <w:rsid w:val="00501E91"/>
    <w:rsid w:val="00502A2A"/>
    <w:rsid w:val="005040B7"/>
    <w:rsid w:val="005049DD"/>
    <w:rsid w:val="005051FD"/>
    <w:rsid w:val="005057EB"/>
    <w:rsid w:val="00506936"/>
    <w:rsid w:val="00507402"/>
    <w:rsid w:val="00507F8F"/>
    <w:rsid w:val="00510445"/>
    <w:rsid w:val="00511214"/>
    <w:rsid w:val="00512065"/>
    <w:rsid w:val="00512444"/>
    <w:rsid w:val="0051250F"/>
    <w:rsid w:val="00512DE7"/>
    <w:rsid w:val="005130A6"/>
    <w:rsid w:val="00514177"/>
    <w:rsid w:val="005149E5"/>
    <w:rsid w:val="00515C8C"/>
    <w:rsid w:val="00516298"/>
    <w:rsid w:val="0051650E"/>
    <w:rsid w:val="00516E69"/>
    <w:rsid w:val="00516F16"/>
    <w:rsid w:val="00517383"/>
    <w:rsid w:val="005173EC"/>
    <w:rsid w:val="00517D3C"/>
    <w:rsid w:val="0052142D"/>
    <w:rsid w:val="00522B51"/>
    <w:rsid w:val="00523499"/>
    <w:rsid w:val="005236B6"/>
    <w:rsid w:val="00523BE9"/>
    <w:rsid w:val="00525BD0"/>
    <w:rsid w:val="005262C3"/>
    <w:rsid w:val="00526832"/>
    <w:rsid w:val="005269F1"/>
    <w:rsid w:val="00527034"/>
    <w:rsid w:val="0053053F"/>
    <w:rsid w:val="005307BB"/>
    <w:rsid w:val="00530ED3"/>
    <w:rsid w:val="00532D8C"/>
    <w:rsid w:val="005332A5"/>
    <w:rsid w:val="00533CFE"/>
    <w:rsid w:val="00534C4A"/>
    <w:rsid w:val="00535E22"/>
    <w:rsid w:val="005364D9"/>
    <w:rsid w:val="005366A2"/>
    <w:rsid w:val="0053694B"/>
    <w:rsid w:val="00536EB8"/>
    <w:rsid w:val="005378BB"/>
    <w:rsid w:val="0053791D"/>
    <w:rsid w:val="00540534"/>
    <w:rsid w:val="00541E6E"/>
    <w:rsid w:val="00542990"/>
    <w:rsid w:val="0054368B"/>
    <w:rsid w:val="0054443F"/>
    <w:rsid w:val="00544C04"/>
    <w:rsid w:val="005452B2"/>
    <w:rsid w:val="005454A5"/>
    <w:rsid w:val="0054559B"/>
    <w:rsid w:val="00546C8D"/>
    <w:rsid w:val="00547427"/>
    <w:rsid w:val="00550612"/>
    <w:rsid w:val="005508A4"/>
    <w:rsid w:val="00550F01"/>
    <w:rsid w:val="005521F7"/>
    <w:rsid w:val="0055285B"/>
    <w:rsid w:val="00552935"/>
    <w:rsid w:val="00552F9E"/>
    <w:rsid w:val="00553000"/>
    <w:rsid w:val="0055338F"/>
    <w:rsid w:val="0055458C"/>
    <w:rsid w:val="00555BA9"/>
    <w:rsid w:val="0055643B"/>
    <w:rsid w:val="00557E9F"/>
    <w:rsid w:val="0056070F"/>
    <w:rsid w:val="00561614"/>
    <w:rsid w:val="0056191C"/>
    <w:rsid w:val="00562BD2"/>
    <w:rsid w:val="00563284"/>
    <w:rsid w:val="00563CCC"/>
    <w:rsid w:val="00564DA4"/>
    <w:rsid w:val="00565224"/>
    <w:rsid w:val="0056522B"/>
    <w:rsid w:val="00566467"/>
    <w:rsid w:val="00566CE0"/>
    <w:rsid w:val="00567A33"/>
    <w:rsid w:val="005703A3"/>
    <w:rsid w:val="00570845"/>
    <w:rsid w:val="00570A1E"/>
    <w:rsid w:val="005715F0"/>
    <w:rsid w:val="005717BB"/>
    <w:rsid w:val="005719DA"/>
    <w:rsid w:val="00572B5D"/>
    <w:rsid w:val="00573D95"/>
    <w:rsid w:val="005749DC"/>
    <w:rsid w:val="005755AF"/>
    <w:rsid w:val="00575C2E"/>
    <w:rsid w:val="0057605A"/>
    <w:rsid w:val="005801CC"/>
    <w:rsid w:val="00580207"/>
    <w:rsid w:val="00580263"/>
    <w:rsid w:val="0058196D"/>
    <w:rsid w:val="00581CB6"/>
    <w:rsid w:val="005825D0"/>
    <w:rsid w:val="0058261D"/>
    <w:rsid w:val="00583ACA"/>
    <w:rsid w:val="00583C98"/>
    <w:rsid w:val="00584AFC"/>
    <w:rsid w:val="00584C97"/>
    <w:rsid w:val="00585A1A"/>
    <w:rsid w:val="00585A5A"/>
    <w:rsid w:val="00585C90"/>
    <w:rsid w:val="00585F54"/>
    <w:rsid w:val="00587227"/>
    <w:rsid w:val="005901F2"/>
    <w:rsid w:val="005913C5"/>
    <w:rsid w:val="00591B04"/>
    <w:rsid w:val="00591EB8"/>
    <w:rsid w:val="005921B6"/>
    <w:rsid w:val="0059223F"/>
    <w:rsid w:val="00592370"/>
    <w:rsid w:val="00593BB7"/>
    <w:rsid w:val="0059489D"/>
    <w:rsid w:val="005953AE"/>
    <w:rsid w:val="00595566"/>
    <w:rsid w:val="005955C5"/>
    <w:rsid w:val="00595811"/>
    <w:rsid w:val="00595B9E"/>
    <w:rsid w:val="00595F78"/>
    <w:rsid w:val="0059628F"/>
    <w:rsid w:val="00596777"/>
    <w:rsid w:val="00597E1B"/>
    <w:rsid w:val="005A1A12"/>
    <w:rsid w:val="005A1B59"/>
    <w:rsid w:val="005A25E8"/>
    <w:rsid w:val="005A38A8"/>
    <w:rsid w:val="005A4485"/>
    <w:rsid w:val="005A462A"/>
    <w:rsid w:val="005A47E9"/>
    <w:rsid w:val="005A52F2"/>
    <w:rsid w:val="005A5416"/>
    <w:rsid w:val="005A58DE"/>
    <w:rsid w:val="005A623E"/>
    <w:rsid w:val="005A6B6A"/>
    <w:rsid w:val="005A6D6D"/>
    <w:rsid w:val="005A6E17"/>
    <w:rsid w:val="005A6EAF"/>
    <w:rsid w:val="005B006C"/>
    <w:rsid w:val="005B08A2"/>
    <w:rsid w:val="005B2E79"/>
    <w:rsid w:val="005B2EB9"/>
    <w:rsid w:val="005B2F78"/>
    <w:rsid w:val="005B30E9"/>
    <w:rsid w:val="005B3495"/>
    <w:rsid w:val="005B3D3B"/>
    <w:rsid w:val="005B4074"/>
    <w:rsid w:val="005B4C1C"/>
    <w:rsid w:val="005B5CF6"/>
    <w:rsid w:val="005B65C7"/>
    <w:rsid w:val="005B7582"/>
    <w:rsid w:val="005B7D85"/>
    <w:rsid w:val="005C0054"/>
    <w:rsid w:val="005C1005"/>
    <w:rsid w:val="005C11B4"/>
    <w:rsid w:val="005C1B8E"/>
    <w:rsid w:val="005C1F76"/>
    <w:rsid w:val="005C2498"/>
    <w:rsid w:val="005C3A85"/>
    <w:rsid w:val="005C3B1A"/>
    <w:rsid w:val="005C43A3"/>
    <w:rsid w:val="005C4637"/>
    <w:rsid w:val="005C4DFD"/>
    <w:rsid w:val="005C5C4A"/>
    <w:rsid w:val="005C5C96"/>
    <w:rsid w:val="005C6FFC"/>
    <w:rsid w:val="005D0181"/>
    <w:rsid w:val="005D0441"/>
    <w:rsid w:val="005D0C65"/>
    <w:rsid w:val="005D1190"/>
    <w:rsid w:val="005D1B05"/>
    <w:rsid w:val="005D24EC"/>
    <w:rsid w:val="005D2C6E"/>
    <w:rsid w:val="005D2E12"/>
    <w:rsid w:val="005D3B21"/>
    <w:rsid w:val="005D4CF7"/>
    <w:rsid w:val="005D5232"/>
    <w:rsid w:val="005E06D0"/>
    <w:rsid w:val="005E1695"/>
    <w:rsid w:val="005E16A1"/>
    <w:rsid w:val="005E18FB"/>
    <w:rsid w:val="005E1BD5"/>
    <w:rsid w:val="005E21A7"/>
    <w:rsid w:val="005E2B3D"/>
    <w:rsid w:val="005E2CF2"/>
    <w:rsid w:val="005E2D5A"/>
    <w:rsid w:val="005E328F"/>
    <w:rsid w:val="005E3627"/>
    <w:rsid w:val="005E3726"/>
    <w:rsid w:val="005E379F"/>
    <w:rsid w:val="005E39F2"/>
    <w:rsid w:val="005E3ADB"/>
    <w:rsid w:val="005E4E94"/>
    <w:rsid w:val="005E5468"/>
    <w:rsid w:val="005E55C2"/>
    <w:rsid w:val="005E6F21"/>
    <w:rsid w:val="005E7130"/>
    <w:rsid w:val="005E78AE"/>
    <w:rsid w:val="005E7985"/>
    <w:rsid w:val="005F0181"/>
    <w:rsid w:val="005F051D"/>
    <w:rsid w:val="005F16AA"/>
    <w:rsid w:val="005F1818"/>
    <w:rsid w:val="005F190C"/>
    <w:rsid w:val="005F2D6B"/>
    <w:rsid w:val="005F2DD9"/>
    <w:rsid w:val="005F3C7E"/>
    <w:rsid w:val="005F3DE4"/>
    <w:rsid w:val="005F4E76"/>
    <w:rsid w:val="005F5744"/>
    <w:rsid w:val="005F5AFD"/>
    <w:rsid w:val="005F6683"/>
    <w:rsid w:val="005F7C4B"/>
    <w:rsid w:val="0060075E"/>
    <w:rsid w:val="00600CBD"/>
    <w:rsid w:val="006010BC"/>
    <w:rsid w:val="006013F1"/>
    <w:rsid w:val="00601415"/>
    <w:rsid w:val="00601C45"/>
    <w:rsid w:val="00601DA4"/>
    <w:rsid w:val="00601F1C"/>
    <w:rsid w:val="00602566"/>
    <w:rsid w:val="00602753"/>
    <w:rsid w:val="00604336"/>
    <w:rsid w:val="00605812"/>
    <w:rsid w:val="006058ED"/>
    <w:rsid w:val="00605B07"/>
    <w:rsid w:val="00605DF3"/>
    <w:rsid w:val="006060E7"/>
    <w:rsid w:val="00606186"/>
    <w:rsid w:val="0060697D"/>
    <w:rsid w:val="00607181"/>
    <w:rsid w:val="0061043D"/>
    <w:rsid w:val="006111F0"/>
    <w:rsid w:val="00611CB9"/>
    <w:rsid w:val="00611EC0"/>
    <w:rsid w:val="00612222"/>
    <w:rsid w:val="0061248A"/>
    <w:rsid w:val="00612B11"/>
    <w:rsid w:val="00613143"/>
    <w:rsid w:val="00613533"/>
    <w:rsid w:val="00614121"/>
    <w:rsid w:val="00614A82"/>
    <w:rsid w:val="00615102"/>
    <w:rsid w:val="006161C7"/>
    <w:rsid w:val="006163D8"/>
    <w:rsid w:val="00616D3D"/>
    <w:rsid w:val="00620F24"/>
    <w:rsid w:val="006214F6"/>
    <w:rsid w:val="00622642"/>
    <w:rsid w:val="006237E2"/>
    <w:rsid w:val="00623C5D"/>
    <w:rsid w:val="0062545C"/>
    <w:rsid w:val="00625801"/>
    <w:rsid w:val="00630391"/>
    <w:rsid w:val="00631146"/>
    <w:rsid w:val="00631359"/>
    <w:rsid w:val="006318B5"/>
    <w:rsid w:val="00632363"/>
    <w:rsid w:val="0063279E"/>
    <w:rsid w:val="00633420"/>
    <w:rsid w:val="00633424"/>
    <w:rsid w:val="0063478C"/>
    <w:rsid w:val="00634E32"/>
    <w:rsid w:val="00634EE3"/>
    <w:rsid w:val="00634FA3"/>
    <w:rsid w:val="006351E8"/>
    <w:rsid w:val="0063592C"/>
    <w:rsid w:val="00635B53"/>
    <w:rsid w:val="006361A4"/>
    <w:rsid w:val="00636C93"/>
    <w:rsid w:val="00636DBA"/>
    <w:rsid w:val="00636EE9"/>
    <w:rsid w:val="00637E38"/>
    <w:rsid w:val="00640207"/>
    <w:rsid w:val="006408F4"/>
    <w:rsid w:val="00640EF8"/>
    <w:rsid w:val="0064137C"/>
    <w:rsid w:val="00642519"/>
    <w:rsid w:val="006431E5"/>
    <w:rsid w:val="00643356"/>
    <w:rsid w:val="00643535"/>
    <w:rsid w:val="0064373A"/>
    <w:rsid w:val="00644D64"/>
    <w:rsid w:val="0064562F"/>
    <w:rsid w:val="006458E6"/>
    <w:rsid w:val="00645949"/>
    <w:rsid w:val="00645E00"/>
    <w:rsid w:val="00645ED4"/>
    <w:rsid w:val="00647973"/>
    <w:rsid w:val="0065067D"/>
    <w:rsid w:val="00650725"/>
    <w:rsid w:val="00650915"/>
    <w:rsid w:val="006514AB"/>
    <w:rsid w:val="006519CA"/>
    <w:rsid w:val="0065351B"/>
    <w:rsid w:val="00653785"/>
    <w:rsid w:val="00654622"/>
    <w:rsid w:val="00655054"/>
    <w:rsid w:val="00655586"/>
    <w:rsid w:val="00657C74"/>
    <w:rsid w:val="00660142"/>
    <w:rsid w:val="00661151"/>
    <w:rsid w:val="0066167E"/>
    <w:rsid w:val="006618D2"/>
    <w:rsid w:val="00661D35"/>
    <w:rsid w:val="00662AF3"/>
    <w:rsid w:val="00662D4A"/>
    <w:rsid w:val="006637C7"/>
    <w:rsid w:val="00663CB2"/>
    <w:rsid w:val="006641EA"/>
    <w:rsid w:val="006646CB"/>
    <w:rsid w:val="00664F2C"/>
    <w:rsid w:val="006655DE"/>
    <w:rsid w:val="00666241"/>
    <w:rsid w:val="00667168"/>
    <w:rsid w:val="006673E0"/>
    <w:rsid w:val="00667978"/>
    <w:rsid w:val="00670376"/>
    <w:rsid w:val="00670C77"/>
    <w:rsid w:val="0067213C"/>
    <w:rsid w:val="0067214D"/>
    <w:rsid w:val="00672257"/>
    <w:rsid w:val="00672333"/>
    <w:rsid w:val="0067299F"/>
    <w:rsid w:val="006734A7"/>
    <w:rsid w:val="006748B5"/>
    <w:rsid w:val="00675304"/>
    <w:rsid w:val="00675F01"/>
    <w:rsid w:val="00676BC2"/>
    <w:rsid w:val="006771AD"/>
    <w:rsid w:val="006775B1"/>
    <w:rsid w:val="006776FE"/>
    <w:rsid w:val="00677E98"/>
    <w:rsid w:val="00677EBB"/>
    <w:rsid w:val="00681146"/>
    <w:rsid w:val="006824D7"/>
    <w:rsid w:val="0068267F"/>
    <w:rsid w:val="00682C10"/>
    <w:rsid w:val="0068387C"/>
    <w:rsid w:val="00683966"/>
    <w:rsid w:val="00683B78"/>
    <w:rsid w:val="00684331"/>
    <w:rsid w:val="0068448B"/>
    <w:rsid w:val="00685CE3"/>
    <w:rsid w:val="00685E41"/>
    <w:rsid w:val="00686517"/>
    <w:rsid w:val="00686778"/>
    <w:rsid w:val="00686FA0"/>
    <w:rsid w:val="006877D3"/>
    <w:rsid w:val="00691C5B"/>
    <w:rsid w:val="00692057"/>
    <w:rsid w:val="0069342F"/>
    <w:rsid w:val="00696295"/>
    <w:rsid w:val="00696351"/>
    <w:rsid w:val="00696537"/>
    <w:rsid w:val="00696AEF"/>
    <w:rsid w:val="00696E97"/>
    <w:rsid w:val="0069737A"/>
    <w:rsid w:val="006976AE"/>
    <w:rsid w:val="00697EAF"/>
    <w:rsid w:val="00697F76"/>
    <w:rsid w:val="006A24C9"/>
    <w:rsid w:val="006A26B8"/>
    <w:rsid w:val="006A2BC3"/>
    <w:rsid w:val="006A3A98"/>
    <w:rsid w:val="006A3BF1"/>
    <w:rsid w:val="006A48FC"/>
    <w:rsid w:val="006A4BB7"/>
    <w:rsid w:val="006A5170"/>
    <w:rsid w:val="006A5B31"/>
    <w:rsid w:val="006A5E0F"/>
    <w:rsid w:val="006A6284"/>
    <w:rsid w:val="006A6AD8"/>
    <w:rsid w:val="006A7406"/>
    <w:rsid w:val="006A7956"/>
    <w:rsid w:val="006A7AB2"/>
    <w:rsid w:val="006B034B"/>
    <w:rsid w:val="006B0D15"/>
    <w:rsid w:val="006B15BC"/>
    <w:rsid w:val="006B16BF"/>
    <w:rsid w:val="006B2E99"/>
    <w:rsid w:val="006B31A8"/>
    <w:rsid w:val="006B383C"/>
    <w:rsid w:val="006B3C13"/>
    <w:rsid w:val="006B4430"/>
    <w:rsid w:val="006B5552"/>
    <w:rsid w:val="006B6787"/>
    <w:rsid w:val="006B6DBF"/>
    <w:rsid w:val="006C0049"/>
    <w:rsid w:val="006C02B8"/>
    <w:rsid w:val="006C1FA2"/>
    <w:rsid w:val="006C228B"/>
    <w:rsid w:val="006C2C12"/>
    <w:rsid w:val="006C2C37"/>
    <w:rsid w:val="006C2D88"/>
    <w:rsid w:val="006C3148"/>
    <w:rsid w:val="006C3338"/>
    <w:rsid w:val="006C3F52"/>
    <w:rsid w:val="006C509C"/>
    <w:rsid w:val="006C5359"/>
    <w:rsid w:val="006C688E"/>
    <w:rsid w:val="006C6A57"/>
    <w:rsid w:val="006C751B"/>
    <w:rsid w:val="006C78AC"/>
    <w:rsid w:val="006C7FE8"/>
    <w:rsid w:val="006D0012"/>
    <w:rsid w:val="006D0A6A"/>
    <w:rsid w:val="006D0BEA"/>
    <w:rsid w:val="006D0DAE"/>
    <w:rsid w:val="006D1D8A"/>
    <w:rsid w:val="006D1EEA"/>
    <w:rsid w:val="006D218D"/>
    <w:rsid w:val="006D25F3"/>
    <w:rsid w:val="006D2DD2"/>
    <w:rsid w:val="006D3040"/>
    <w:rsid w:val="006D306A"/>
    <w:rsid w:val="006D39E1"/>
    <w:rsid w:val="006D4747"/>
    <w:rsid w:val="006D4902"/>
    <w:rsid w:val="006D4EEF"/>
    <w:rsid w:val="006D4FA4"/>
    <w:rsid w:val="006D5562"/>
    <w:rsid w:val="006D5B9D"/>
    <w:rsid w:val="006D624B"/>
    <w:rsid w:val="006D63F4"/>
    <w:rsid w:val="006D65A1"/>
    <w:rsid w:val="006D6A5D"/>
    <w:rsid w:val="006D73D5"/>
    <w:rsid w:val="006D79D7"/>
    <w:rsid w:val="006D7C4B"/>
    <w:rsid w:val="006D7C75"/>
    <w:rsid w:val="006E08C4"/>
    <w:rsid w:val="006E0D20"/>
    <w:rsid w:val="006E10BB"/>
    <w:rsid w:val="006E1CA6"/>
    <w:rsid w:val="006E1E6B"/>
    <w:rsid w:val="006E2919"/>
    <w:rsid w:val="006E2B84"/>
    <w:rsid w:val="006E2C4B"/>
    <w:rsid w:val="006E312A"/>
    <w:rsid w:val="006E4868"/>
    <w:rsid w:val="006E4BDB"/>
    <w:rsid w:val="006E4DB4"/>
    <w:rsid w:val="006E6C19"/>
    <w:rsid w:val="006E7571"/>
    <w:rsid w:val="006E799D"/>
    <w:rsid w:val="006E7B8D"/>
    <w:rsid w:val="006F0082"/>
    <w:rsid w:val="006F02A9"/>
    <w:rsid w:val="006F05BD"/>
    <w:rsid w:val="006F07CC"/>
    <w:rsid w:val="006F1493"/>
    <w:rsid w:val="006F15BF"/>
    <w:rsid w:val="006F1D7C"/>
    <w:rsid w:val="006F2792"/>
    <w:rsid w:val="006F282D"/>
    <w:rsid w:val="006F2A16"/>
    <w:rsid w:val="006F57E6"/>
    <w:rsid w:val="006F61CF"/>
    <w:rsid w:val="006F6592"/>
    <w:rsid w:val="006F6B91"/>
    <w:rsid w:val="006F6D96"/>
    <w:rsid w:val="006F7E2D"/>
    <w:rsid w:val="00700528"/>
    <w:rsid w:val="00701F36"/>
    <w:rsid w:val="0070215E"/>
    <w:rsid w:val="007023CD"/>
    <w:rsid w:val="00702DE4"/>
    <w:rsid w:val="00702E8E"/>
    <w:rsid w:val="00703316"/>
    <w:rsid w:val="00703523"/>
    <w:rsid w:val="00703DC7"/>
    <w:rsid w:val="0070406D"/>
    <w:rsid w:val="00704E29"/>
    <w:rsid w:val="00705209"/>
    <w:rsid w:val="007058EE"/>
    <w:rsid w:val="007060DA"/>
    <w:rsid w:val="0070687A"/>
    <w:rsid w:val="00707E69"/>
    <w:rsid w:val="00710067"/>
    <w:rsid w:val="00710394"/>
    <w:rsid w:val="00710E4D"/>
    <w:rsid w:val="00710E65"/>
    <w:rsid w:val="00711EA3"/>
    <w:rsid w:val="007131DD"/>
    <w:rsid w:val="00713535"/>
    <w:rsid w:val="00713594"/>
    <w:rsid w:val="00713662"/>
    <w:rsid w:val="00713E66"/>
    <w:rsid w:val="0071472F"/>
    <w:rsid w:val="0071481F"/>
    <w:rsid w:val="00714C63"/>
    <w:rsid w:val="00714C81"/>
    <w:rsid w:val="00714DBD"/>
    <w:rsid w:val="0071509B"/>
    <w:rsid w:val="00715996"/>
    <w:rsid w:val="00715CA7"/>
    <w:rsid w:val="00716A19"/>
    <w:rsid w:val="007171C6"/>
    <w:rsid w:val="0072016D"/>
    <w:rsid w:val="007203D1"/>
    <w:rsid w:val="007205DF"/>
    <w:rsid w:val="007220D9"/>
    <w:rsid w:val="00722DF9"/>
    <w:rsid w:val="007237A9"/>
    <w:rsid w:val="00723932"/>
    <w:rsid w:val="00725D11"/>
    <w:rsid w:val="007260AE"/>
    <w:rsid w:val="007266CB"/>
    <w:rsid w:val="007274A9"/>
    <w:rsid w:val="00730545"/>
    <w:rsid w:val="00730C7B"/>
    <w:rsid w:val="007320F8"/>
    <w:rsid w:val="00732EDC"/>
    <w:rsid w:val="00732F7E"/>
    <w:rsid w:val="00733070"/>
    <w:rsid w:val="0073374D"/>
    <w:rsid w:val="00733DE0"/>
    <w:rsid w:val="00733F83"/>
    <w:rsid w:val="007342BE"/>
    <w:rsid w:val="00735752"/>
    <w:rsid w:val="00737491"/>
    <w:rsid w:val="00737AEE"/>
    <w:rsid w:val="00737B23"/>
    <w:rsid w:val="007405AB"/>
    <w:rsid w:val="00741054"/>
    <w:rsid w:val="0074117E"/>
    <w:rsid w:val="007411EF"/>
    <w:rsid w:val="0074171E"/>
    <w:rsid w:val="00741959"/>
    <w:rsid w:val="00741C5B"/>
    <w:rsid w:val="007427F3"/>
    <w:rsid w:val="00742EAD"/>
    <w:rsid w:val="0074357B"/>
    <w:rsid w:val="00743D9C"/>
    <w:rsid w:val="00744949"/>
    <w:rsid w:val="00744FBE"/>
    <w:rsid w:val="0074538E"/>
    <w:rsid w:val="007457F2"/>
    <w:rsid w:val="00745ABC"/>
    <w:rsid w:val="00746466"/>
    <w:rsid w:val="00746AF2"/>
    <w:rsid w:val="00746E5F"/>
    <w:rsid w:val="0074754E"/>
    <w:rsid w:val="007502D6"/>
    <w:rsid w:val="007512B4"/>
    <w:rsid w:val="00751478"/>
    <w:rsid w:val="0075170C"/>
    <w:rsid w:val="00751F37"/>
    <w:rsid w:val="007524C0"/>
    <w:rsid w:val="00753A9F"/>
    <w:rsid w:val="00753B3C"/>
    <w:rsid w:val="00754383"/>
    <w:rsid w:val="00755971"/>
    <w:rsid w:val="00755FE9"/>
    <w:rsid w:val="00756090"/>
    <w:rsid w:val="007560AD"/>
    <w:rsid w:val="00757C05"/>
    <w:rsid w:val="007623ED"/>
    <w:rsid w:val="007627E0"/>
    <w:rsid w:val="00762D5B"/>
    <w:rsid w:val="007630B3"/>
    <w:rsid w:val="0076332F"/>
    <w:rsid w:val="0076349B"/>
    <w:rsid w:val="00763CD7"/>
    <w:rsid w:val="00764AC0"/>
    <w:rsid w:val="00764D6C"/>
    <w:rsid w:val="0076511E"/>
    <w:rsid w:val="007651BA"/>
    <w:rsid w:val="00765536"/>
    <w:rsid w:val="007655EC"/>
    <w:rsid w:val="00765E19"/>
    <w:rsid w:val="007660C1"/>
    <w:rsid w:val="0076619C"/>
    <w:rsid w:val="007668FB"/>
    <w:rsid w:val="007673EA"/>
    <w:rsid w:val="00767868"/>
    <w:rsid w:val="00767C3E"/>
    <w:rsid w:val="0077174E"/>
    <w:rsid w:val="007717A5"/>
    <w:rsid w:val="00771FCC"/>
    <w:rsid w:val="0077228B"/>
    <w:rsid w:val="0077269E"/>
    <w:rsid w:val="007728EB"/>
    <w:rsid w:val="00774A9C"/>
    <w:rsid w:val="00774B99"/>
    <w:rsid w:val="00774D10"/>
    <w:rsid w:val="00775496"/>
    <w:rsid w:val="00775BF0"/>
    <w:rsid w:val="007769BD"/>
    <w:rsid w:val="00776ADA"/>
    <w:rsid w:val="00777701"/>
    <w:rsid w:val="007777EE"/>
    <w:rsid w:val="00777D66"/>
    <w:rsid w:val="00777DB4"/>
    <w:rsid w:val="007802D7"/>
    <w:rsid w:val="00781792"/>
    <w:rsid w:val="00782E5B"/>
    <w:rsid w:val="00783285"/>
    <w:rsid w:val="00783F83"/>
    <w:rsid w:val="00784A05"/>
    <w:rsid w:val="00784B22"/>
    <w:rsid w:val="00784EAE"/>
    <w:rsid w:val="007851E8"/>
    <w:rsid w:val="00785236"/>
    <w:rsid w:val="00785C6E"/>
    <w:rsid w:val="00785FF2"/>
    <w:rsid w:val="007869A5"/>
    <w:rsid w:val="00790C75"/>
    <w:rsid w:val="00790CE0"/>
    <w:rsid w:val="00791154"/>
    <w:rsid w:val="00791B88"/>
    <w:rsid w:val="00791CA7"/>
    <w:rsid w:val="00791ECC"/>
    <w:rsid w:val="0079203B"/>
    <w:rsid w:val="00792521"/>
    <w:rsid w:val="00792914"/>
    <w:rsid w:val="007929E6"/>
    <w:rsid w:val="00792A2F"/>
    <w:rsid w:val="0079346C"/>
    <w:rsid w:val="007934E1"/>
    <w:rsid w:val="00794CCB"/>
    <w:rsid w:val="00795937"/>
    <w:rsid w:val="00797801"/>
    <w:rsid w:val="007A1647"/>
    <w:rsid w:val="007A1A79"/>
    <w:rsid w:val="007A2143"/>
    <w:rsid w:val="007A287F"/>
    <w:rsid w:val="007A3124"/>
    <w:rsid w:val="007A41A7"/>
    <w:rsid w:val="007A510C"/>
    <w:rsid w:val="007A52F9"/>
    <w:rsid w:val="007A64FB"/>
    <w:rsid w:val="007A673E"/>
    <w:rsid w:val="007A6B19"/>
    <w:rsid w:val="007A6DC2"/>
    <w:rsid w:val="007A7A34"/>
    <w:rsid w:val="007A7C87"/>
    <w:rsid w:val="007B0110"/>
    <w:rsid w:val="007B31A4"/>
    <w:rsid w:val="007B3382"/>
    <w:rsid w:val="007B4508"/>
    <w:rsid w:val="007B4FA2"/>
    <w:rsid w:val="007B57A1"/>
    <w:rsid w:val="007B5EF6"/>
    <w:rsid w:val="007B65C6"/>
    <w:rsid w:val="007B78B9"/>
    <w:rsid w:val="007B7A66"/>
    <w:rsid w:val="007C0A8D"/>
    <w:rsid w:val="007C0B33"/>
    <w:rsid w:val="007C12D9"/>
    <w:rsid w:val="007C2345"/>
    <w:rsid w:val="007C4794"/>
    <w:rsid w:val="007C49F1"/>
    <w:rsid w:val="007C5503"/>
    <w:rsid w:val="007C5DFA"/>
    <w:rsid w:val="007C6DD5"/>
    <w:rsid w:val="007C7016"/>
    <w:rsid w:val="007C787B"/>
    <w:rsid w:val="007D03B6"/>
    <w:rsid w:val="007D1351"/>
    <w:rsid w:val="007D15E7"/>
    <w:rsid w:val="007D2992"/>
    <w:rsid w:val="007D29CB"/>
    <w:rsid w:val="007D2F6A"/>
    <w:rsid w:val="007D3156"/>
    <w:rsid w:val="007D36B9"/>
    <w:rsid w:val="007D4032"/>
    <w:rsid w:val="007D4373"/>
    <w:rsid w:val="007D49F1"/>
    <w:rsid w:val="007D642B"/>
    <w:rsid w:val="007D669C"/>
    <w:rsid w:val="007D7E91"/>
    <w:rsid w:val="007E02E9"/>
    <w:rsid w:val="007E0B5D"/>
    <w:rsid w:val="007E1027"/>
    <w:rsid w:val="007E1388"/>
    <w:rsid w:val="007E2B6C"/>
    <w:rsid w:val="007E2BD5"/>
    <w:rsid w:val="007E2D15"/>
    <w:rsid w:val="007E356A"/>
    <w:rsid w:val="007E4154"/>
    <w:rsid w:val="007E47EF"/>
    <w:rsid w:val="007E588A"/>
    <w:rsid w:val="007E5FA4"/>
    <w:rsid w:val="007E69FC"/>
    <w:rsid w:val="007E74DC"/>
    <w:rsid w:val="007E79CE"/>
    <w:rsid w:val="007E7FC8"/>
    <w:rsid w:val="007F00FB"/>
    <w:rsid w:val="007F058E"/>
    <w:rsid w:val="007F0B1F"/>
    <w:rsid w:val="007F1243"/>
    <w:rsid w:val="007F136B"/>
    <w:rsid w:val="007F1641"/>
    <w:rsid w:val="007F178F"/>
    <w:rsid w:val="007F34AB"/>
    <w:rsid w:val="007F3ACE"/>
    <w:rsid w:val="007F43E9"/>
    <w:rsid w:val="007F59A2"/>
    <w:rsid w:val="007F5F99"/>
    <w:rsid w:val="007F60DE"/>
    <w:rsid w:val="007F637C"/>
    <w:rsid w:val="007F65AE"/>
    <w:rsid w:val="007F6814"/>
    <w:rsid w:val="007F70DE"/>
    <w:rsid w:val="00800A30"/>
    <w:rsid w:val="008034AA"/>
    <w:rsid w:val="008037F6"/>
    <w:rsid w:val="00803CBB"/>
    <w:rsid w:val="00803DA5"/>
    <w:rsid w:val="00803F4C"/>
    <w:rsid w:val="00804630"/>
    <w:rsid w:val="00804BC5"/>
    <w:rsid w:val="00805802"/>
    <w:rsid w:val="008059EE"/>
    <w:rsid w:val="00805E19"/>
    <w:rsid w:val="008066EC"/>
    <w:rsid w:val="008066FB"/>
    <w:rsid w:val="00806C34"/>
    <w:rsid w:val="0080700E"/>
    <w:rsid w:val="008071AC"/>
    <w:rsid w:val="00807B09"/>
    <w:rsid w:val="00807E7B"/>
    <w:rsid w:val="008108CB"/>
    <w:rsid w:val="00811577"/>
    <w:rsid w:val="00811E9A"/>
    <w:rsid w:val="0081247E"/>
    <w:rsid w:val="00812DD2"/>
    <w:rsid w:val="008133E9"/>
    <w:rsid w:val="008140EF"/>
    <w:rsid w:val="0081446B"/>
    <w:rsid w:val="00814B7A"/>
    <w:rsid w:val="00814F3A"/>
    <w:rsid w:val="0081630E"/>
    <w:rsid w:val="00817A04"/>
    <w:rsid w:val="00817E9E"/>
    <w:rsid w:val="008204EF"/>
    <w:rsid w:val="008208DE"/>
    <w:rsid w:val="0082217D"/>
    <w:rsid w:val="00823299"/>
    <w:rsid w:val="00823A9D"/>
    <w:rsid w:val="00824C50"/>
    <w:rsid w:val="00824D6D"/>
    <w:rsid w:val="00824D9D"/>
    <w:rsid w:val="00825109"/>
    <w:rsid w:val="00825551"/>
    <w:rsid w:val="00825948"/>
    <w:rsid w:val="00825F02"/>
    <w:rsid w:val="0082628D"/>
    <w:rsid w:val="0082638A"/>
    <w:rsid w:val="008264EB"/>
    <w:rsid w:val="00827382"/>
    <w:rsid w:val="0082788A"/>
    <w:rsid w:val="00827F65"/>
    <w:rsid w:val="00830811"/>
    <w:rsid w:val="008309AF"/>
    <w:rsid w:val="008309ED"/>
    <w:rsid w:val="00830C05"/>
    <w:rsid w:val="00831390"/>
    <w:rsid w:val="008315B2"/>
    <w:rsid w:val="00831F32"/>
    <w:rsid w:val="00832045"/>
    <w:rsid w:val="00833C60"/>
    <w:rsid w:val="008342B2"/>
    <w:rsid w:val="008343A1"/>
    <w:rsid w:val="00835456"/>
    <w:rsid w:val="00835541"/>
    <w:rsid w:val="00835D9F"/>
    <w:rsid w:val="008374C6"/>
    <w:rsid w:val="00837815"/>
    <w:rsid w:val="00837D41"/>
    <w:rsid w:val="0084061A"/>
    <w:rsid w:val="00840B1E"/>
    <w:rsid w:val="00840BAD"/>
    <w:rsid w:val="00840C6F"/>
    <w:rsid w:val="008410EF"/>
    <w:rsid w:val="00841D33"/>
    <w:rsid w:val="00842458"/>
    <w:rsid w:val="008429C7"/>
    <w:rsid w:val="00842A4F"/>
    <w:rsid w:val="008435C9"/>
    <w:rsid w:val="008435F7"/>
    <w:rsid w:val="0084368A"/>
    <w:rsid w:val="00843A5D"/>
    <w:rsid w:val="00843ED6"/>
    <w:rsid w:val="008452AC"/>
    <w:rsid w:val="008459AA"/>
    <w:rsid w:val="00847488"/>
    <w:rsid w:val="00847675"/>
    <w:rsid w:val="0084793A"/>
    <w:rsid w:val="00850E21"/>
    <w:rsid w:val="00851353"/>
    <w:rsid w:val="008516C0"/>
    <w:rsid w:val="0085231C"/>
    <w:rsid w:val="00853AAA"/>
    <w:rsid w:val="00853D82"/>
    <w:rsid w:val="00854A50"/>
    <w:rsid w:val="008552C6"/>
    <w:rsid w:val="0085559A"/>
    <w:rsid w:val="00855EAE"/>
    <w:rsid w:val="008568E7"/>
    <w:rsid w:val="008572E4"/>
    <w:rsid w:val="00857893"/>
    <w:rsid w:val="00857A32"/>
    <w:rsid w:val="00857BDF"/>
    <w:rsid w:val="0086028B"/>
    <w:rsid w:val="008606E8"/>
    <w:rsid w:val="00861063"/>
    <w:rsid w:val="008611C2"/>
    <w:rsid w:val="0086173B"/>
    <w:rsid w:val="00861DAE"/>
    <w:rsid w:val="00862022"/>
    <w:rsid w:val="00863AA6"/>
    <w:rsid w:val="00863EB5"/>
    <w:rsid w:val="008653C3"/>
    <w:rsid w:val="00865620"/>
    <w:rsid w:val="008668EE"/>
    <w:rsid w:val="00870A5E"/>
    <w:rsid w:val="00871C33"/>
    <w:rsid w:val="00872175"/>
    <w:rsid w:val="008721B9"/>
    <w:rsid w:val="0087261B"/>
    <w:rsid w:val="00873E30"/>
    <w:rsid w:val="00874222"/>
    <w:rsid w:val="008745D9"/>
    <w:rsid w:val="00876D06"/>
    <w:rsid w:val="008770AA"/>
    <w:rsid w:val="008775F2"/>
    <w:rsid w:val="00880024"/>
    <w:rsid w:val="00880178"/>
    <w:rsid w:val="00880466"/>
    <w:rsid w:val="00880820"/>
    <w:rsid w:val="008810D4"/>
    <w:rsid w:val="008811D6"/>
    <w:rsid w:val="00881532"/>
    <w:rsid w:val="00881B7D"/>
    <w:rsid w:val="00882515"/>
    <w:rsid w:val="00882C3A"/>
    <w:rsid w:val="00885022"/>
    <w:rsid w:val="00885208"/>
    <w:rsid w:val="0088561C"/>
    <w:rsid w:val="00885AEE"/>
    <w:rsid w:val="00885DB4"/>
    <w:rsid w:val="00885E8E"/>
    <w:rsid w:val="00886FC9"/>
    <w:rsid w:val="00890920"/>
    <w:rsid w:val="00890C8B"/>
    <w:rsid w:val="008912C3"/>
    <w:rsid w:val="00891863"/>
    <w:rsid w:val="00891BCC"/>
    <w:rsid w:val="00892950"/>
    <w:rsid w:val="0089315C"/>
    <w:rsid w:val="00893242"/>
    <w:rsid w:val="0089331C"/>
    <w:rsid w:val="00893447"/>
    <w:rsid w:val="00893D9A"/>
    <w:rsid w:val="00894C15"/>
    <w:rsid w:val="00894EDF"/>
    <w:rsid w:val="008958D6"/>
    <w:rsid w:val="00895B02"/>
    <w:rsid w:val="0089666D"/>
    <w:rsid w:val="00896BCD"/>
    <w:rsid w:val="00897111"/>
    <w:rsid w:val="00897B1F"/>
    <w:rsid w:val="00897EBD"/>
    <w:rsid w:val="00897EF5"/>
    <w:rsid w:val="00897F3D"/>
    <w:rsid w:val="008A00F0"/>
    <w:rsid w:val="008A020E"/>
    <w:rsid w:val="008A05B8"/>
    <w:rsid w:val="008A06C4"/>
    <w:rsid w:val="008A06D6"/>
    <w:rsid w:val="008A086A"/>
    <w:rsid w:val="008A0BC2"/>
    <w:rsid w:val="008A13AB"/>
    <w:rsid w:val="008A1730"/>
    <w:rsid w:val="008A2C6F"/>
    <w:rsid w:val="008A2D36"/>
    <w:rsid w:val="008A2FAC"/>
    <w:rsid w:val="008A34CC"/>
    <w:rsid w:val="008A34DC"/>
    <w:rsid w:val="008A375C"/>
    <w:rsid w:val="008A3E3C"/>
    <w:rsid w:val="008A44F4"/>
    <w:rsid w:val="008A44FF"/>
    <w:rsid w:val="008A49F1"/>
    <w:rsid w:val="008A4CE9"/>
    <w:rsid w:val="008A4F86"/>
    <w:rsid w:val="008A5B18"/>
    <w:rsid w:val="008A6011"/>
    <w:rsid w:val="008A6F0F"/>
    <w:rsid w:val="008A6FE6"/>
    <w:rsid w:val="008A7D3D"/>
    <w:rsid w:val="008A7F46"/>
    <w:rsid w:val="008B011D"/>
    <w:rsid w:val="008B02B4"/>
    <w:rsid w:val="008B1083"/>
    <w:rsid w:val="008B153E"/>
    <w:rsid w:val="008B1627"/>
    <w:rsid w:val="008B1A29"/>
    <w:rsid w:val="008B1C85"/>
    <w:rsid w:val="008B1FB3"/>
    <w:rsid w:val="008B29D9"/>
    <w:rsid w:val="008B2FB6"/>
    <w:rsid w:val="008B4C7C"/>
    <w:rsid w:val="008B536D"/>
    <w:rsid w:val="008B5A18"/>
    <w:rsid w:val="008B6081"/>
    <w:rsid w:val="008B688D"/>
    <w:rsid w:val="008B69C7"/>
    <w:rsid w:val="008B77B8"/>
    <w:rsid w:val="008B7D64"/>
    <w:rsid w:val="008B7ECE"/>
    <w:rsid w:val="008B7F44"/>
    <w:rsid w:val="008C0BCB"/>
    <w:rsid w:val="008C0D51"/>
    <w:rsid w:val="008C19D9"/>
    <w:rsid w:val="008C1C68"/>
    <w:rsid w:val="008C2008"/>
    <w:rsid w:val="008C2413"/>
    <w:rsid w:val="008C298B"/>
    <w:rsid w:val="008C2F36"/>
    <w:rsid w:val="008C455F"/>
    <w:rsid w:val="008C479D"/>
    <w:rsid w:val="008C48C8"/>
    <w:rsid w:val="008C6042"/>
    <w:rsid w:val="008C7145"/>
    <w:rsid w:val="008C7A6C"/>
    <w:rsid w:val="008D0B7C"/>
    <w:rsid w:val="008D1C6A"/>
    <w:rsid w:val="008D305C"/>
    <w:rsid w:val="008D35CA"/>
    <w:rsid w:val="008D5138"/>
    <w:rsid w:val="008D62E8"/>
    <w:rsid w:val="008D69EF"/>
    <w:rsid w:val="008D6D51"/>
    <w:rsid w:val="008D6DF0"/>
    <w:rsid w:val="008D6EB1"/>
    <w:rsid w:val="008D6EF9"/>
    <w:rsid w:val="008D7374"/>
    <w:rsid w:val="008E0DBE"/>
    <w:rsid w:val="008E135B"/>
    <w:rsid w:val="008E182B"/>
    <w:rsid w:val="008E2AFF"/>
    <w:rsid w:val="008E2BA5"/>
    <w:rsid w:val="008E2CBF"/>
    <w:rsid w:val="008E3373"/>
    <w:rsid w:val="008E34E5"/>
    <w:rsid w:val="008E3992"/>
    <w:rsid w:val="008E45AF"/>
    <w:rsid w:val="008E45D1"/>
    <w:rsid w:val="008E5BB3"/>
    <w:rsid w:val="008E5CD4"/>
    <w:rsid w:val="008E5DE9"/>
    <w:rsid w:val="008E5F3E"/>
    <w:rsid w:val="008E6265"/>
    <w:rsid w:val="008E6267"/>
    <w:rsid w:val="008E7B76"/>
    <w:rsid w:val="008E7F61"/>
    <w:rsid w:val="008F0798"/>
    <w:rsid w:val="008F0B2B"/>
    <w:rsid w:val="008F0C06"/>
    <w:rsid w:val="008F11EF"/>
    <w:rsid w:val="008F1656"/>
    <w:rsid w:val="008F23CC"/>
    <w:rsid w:val="008F2B47"/>
    <w:rsid w:val="008F2EA0"/>
    <w:rsid w:val="008F30CB"/>
    <w:rsid w:val="008F3378"/>
    <w:rsid w:val="008F3462"/>
    <w:rsid w:val="008F38FF"/>
    <w:rsid w:val="008F39AA"/>
    <w:rsid w:val="008F3A99"/>
    <w:rsid w:val="008F3EBA"/>
    <w:rsid w:val="008F3EBB"/>
    <w:rsid w:val="008F4119"/>
    <w:rsid w:val="008F4ADC"/>
    <w:rsid w:val="008F549A"/>
    <w:rsid w:val="008F54ED"/>
    <w:rsid w:val="008F6371"/>
    <w:rsid w:val="008F6552"/>
    <w:rsid w:val="008F6C85"/>
    <w:rsid w:val="008F6FD0"/>
    <w:rsid w:val="008F7722"/>
    <w:rsid w:val="008F7A56"/>
    <w:rsid w:val="008F7A7C"/>
    <w:rsid w:val="008F7BC9"/>
    <w:rsid w:val="008F7C32"/>
    <w:rsid w:val="008F7F39"/>
    <w:rsid w:val="009009D6"/>
    <w:rsid w:val="00901615"/>
    <w:rsid w:val="009035E7"/>
    <w:rsid w:val="009038F8"/>
    <w:rsid w:val="00903D95"/>
    <w:rsid w:val="00904033"/>
    <w:rsid w:val="009051BC"/>
    <w:rsid w:val="00905988"/>
    <w:rsid w:val="00905D09"/>
    <w:rsid w:val="00905EE9"/>
    <w:rsid w:val="00906228"/>
    <w:rsid w:val="00907139"/>
    <w:rsid w:val="009105CD"/>
    <w:rsid w:val="009109BE"/>
    <w:rsid w:val="00910E7D"/>
    <w:rsid w:val="00911855"/>
    <w:rsid w:val="009134EC"/>
    <w:rsid w:val="00913704"/>
    <w:rsid w:val="00913AA3"/>
    <w:rsid w:val="00913B3A"/>
    <w:rsid w:val="00913EA8"/>
    <w:rsid w:val="00914308"/>
    <w:rsid w:val="009144F7"/>
    <w:rsid w:val="009155BF"/>
    <w:rsid w:val="009161FF"/>
    <w:rsid w:val="009164DA"/>
    <w:rsid w:val="00916D6A"/>
    <w:rsid w:val="00916FCF"/>
    <w:rsid w:val="009200D8"/>
    <w:rsid w:val="009205CE"/>
    <w:rsid w:val="00921343"/>
    <w:rsid w:val="009218A8"/>
    <w:rsid w:val="00922481"/>
    <w:rsid w:val="0092261C"/>
    <w:rsid w:val="00923829"/>
    <w:rsid w:val="009238AF"/>
    <w:rsid w:val="009255F9"/>
    <w:rsid w:val="00925674"/>
    <w:rsid w:val="009257E1"/>
    <w:rsid w:val="00926669"/>
    <w:rsid w:val="009269B5"/>
    <w:rsid w:val="00926B56"/>
    <w:rsid w:val="00927463"/>
    <w:rsid w:val="009276ED"/>
    <w:rsid w:val="00927C34"/>
    <w:rsid w:val="00931038"/>
    <w:rsid w:val="00931BC4"/>
    <w:rsid w:val="00934174"/>
    <w:rsid w:val="00934708"/>
    <w:rsid w:val="00934FC6"/>
    <w:rsid w:val="00936307"/>
    <w:rsid w:val="0093778C"/>
    <w:rsid w:val="0093789A"/>
    <w:rsid w:val="00940ABC"/>
    <w:rsid w:val="00940EF6"/>
    <w:rsid w:val="009413D0"/>
    <w:rsid w:val="00941426"/>
    <w:rsid w:val="00941E78"/>
    <w:rsid w:val="00941F7C"/>
    <w:rsid w:val="00942A79"/>
    <w:rsid w:val="00943C8C"/>
    <w:rsid w:val="00943E9E"/>
    <w:rsid w:val="00943FB4"/>
    <w:rsid w:val="00944A96"/>
    <w:rsid w:val="00947FEF"/>
    <w:rsid w:val="009506CB"/>
    <w:rsid w:val="00953405"/>
    <w:rsid w:val="0095439D"/>
    <w:rsid w:val="00955338"/>
    <w:rsid w:val="00955D30"/>
    <w:rsid w:val="009574FF"/>
    <w:rsid w:val="00957CB3"/>
    <w:rsid w:val="00957F67"/>
    <w:rsid w:val="00957FDF"/>
    <w:rsid w:val="00960863"/>
    <w:rsid w:val="00960B35"/>
    <w:rsid w:val="00960BFE"/>
    <w:rsid w:val="00961902"/>
    <w:rsid w:val="00961DD9"/>
    <w:rsid w:val="009620AE"/>
    <w:rsid w:val="00962257"/>
    <w:rsid w:val="00962D55"/>
    <w:rsid w:val="0096360D"/>
    <w:rsid w:val="00963F67"/>
    <w:rsid w:val="0096427B"/>
    <w:rsid w:val="00964780"/>
    <w:rsid w:val="0096579B"/>
    <w:rsid w:val="00965C92"/>
    <w:rsid w:val="0096690B"/>
    <w:rsid w:val="00966933"/>
    <w:rsid w:val="009669AE"/>
    <w:rsid w:val="00967D1B"/>
    <w:rsid w:val="00970391"/>
    <w:rsid w:val="00971680"/>
    <w:rsid w:val="0097248F"/>
    <w:rsid w:val="009724E3"/>
    <w:rsid w:val="00974038"/>
    <w:rsid w:val="00974127"/>
    <w:rsid w:val="00977136"/>
    <w:rsid w:val="009778EA"/>
    <w:rsid w:val="00977EF3"/>
    <w:rsid w:val="00981051"/>
    <w:rsid w:val="00983033"/>
    <w:rsid w:val="009834B1"/>
    <w:rsid w:val="009837DB"/>
    <w:rsid w:val="00983ED8"/>
    <w:rsid w:val="00984488"/>
    <w:rsid w:val="00984BE4"/>
    <w:rsid w:val="00984BFF"/>
    <w:rsid w:val="00984F36"/>
    <w:rsid w:val="00985BE6"/>
    <w:rsid w:val="00986C5C"/>
    <w:rsid w:val="00987088"/>
    <w:rsid w:val="009904A3"/>
    <w:rsid w:val="0099085F"/>
    <w:rsid w:val="00990C93"/>
    <w:rsid w:val="00991750"/>
    <w:rsid w:val="00992A24"/>
    <w:rsid w:val="00992E2B"/>
    <w:rsid w:val="009936F3"/>
    <w:rsid w:val="00994589"/>
    <w:rsid w:val="0099709F"/>
    <w:rsid w:val="009974B3"/>
    <w:rsid w:val="009A07C4"/>
    <w:rsid w:val="009A08AF"/>
    <w:rsid w:val="009A0DC4"/>
    <w:rsid w:val="009A1898"/>
    <w:rsid w:val="009A211B"/>
    <w:rsid w:val="009A2569"/>
    <w:rsid w:val="009A3684"/>
    <w:rsid w:val="009A44BC"/>
    <w:rsid w:val="009A4D22"/>
    <w:rsid w:val="009A5A94"/>
    <w:rsid w:val="009A5E50"/>
    <w:rsid w:val="009A622D"/>
    <w:rsid w:val="009A6CA0"/>
    <w:rsid w:val="009A75FC"/>
    <w:rsid w:val="009B04B4"/>
    <w:rsid w:val="009B0EBB"/>
    <w:rsid w:val="009B156A"/>
    <w:rsid w:val="009B2C53"/>
    <w:rsid w:val="009B3221"/>
    <w:rsid w:val="009B34F1"/>
    <w:rsid w:val="009B3678"/>
    <w:rsid w:val="009B3C70"/>
    <w:rsid w:val="009B4240"/>
    <w:rsid w:val="009B5010"/>
    <w:rsid w:val="009B54FC"/>
    <w:rsid w:val="009B5671"/>
    <w:rsid w:val="009B5C97"/>
    <w:rsid w:val="009B5D61"/>
    <w:rsid w:val="009B63F5"/>
    <w:rsid w:val="009B73FD"/>
    <w:rsid w:val="009B7443"/>
    <w:rsid w:val="009B7570"/>
    <w:rsid w:val="009B75CF"/>
    <w:rsid w:val="009B7618"/>
    <w:rsid w:val="009B7FA7"/>
    <w:rsid w:val="009C02D2"/>
    <w:rsid w:val="009C10DF"/>
    <w:rsid w:val="009C1E32"/>
    <w:rsid w:val="009C3086"/>
    <w:rsid w:val="009C4001"/>
    <w:rsid w:val="009C5D84"/>
    <w:rsid w:val="009C5E85"/>
    <w:rsid w:val="009C62F9"/>
    <w:rsid w:val="009C78B5"/>
    <w:rsid w:val="009D0EED"/>
    <w:rsid w:val="009D11A6"/>
    <w:rsid w:val="009D1CB7"/>
    <w:rsid w:val="009D40D0"/>
    <w:rsid w:val="009D42A3"/>
    <w:rsid w:val="009D4807"/>
    <w:rsid w:val="009D4966"/>
    <w:rsid w:val="009D4B37"/>
    <w:rsid w:val="009D5707"/>
    <w:rsid w:val="009D58C6"/>
    <w:rsid w:val="009D594E"/>
    <w:rsid w:val="009D743C"/>
    <w:rsid w:val="009D74AB"/>
    <w:rsid w:val="009E0A63"/>
    <w:rsid w:val="009E104E"/>
    <w:rsid w:val="009E14B4"/>
    <w:rsid w:val="009E196E"/>
    <w:rsid w:val="009E1A78"/>
    <w:rsid w:val="009E2932"/>
    <w:rsid w:val="009E44AC"/>
    <w:rsid w:val="009E4B27"/>
    <w:rsid w:val="009E55D9"/>
    <w:rsid w:val="009E55F6"/>
    <w:rsid w:val="009E6AF3"/>
    <w:rsid w:val="009E6EE1"/>
    <w:rsid w:val="009F0534"/>
    <w:rsid w:val="009F095A"/>
    <w:rsid w:val="009F2552"/>
    <w:rsid w:val="009F29CF"/>
    <w:rsid w:val="009F3C66"/>
    <w:rsid w:val="009F3E64"/>
    <w:rsid w:val="009F4694"/>
    <w:rsid w:val="009F47A9"/>
    <w:rsid w:val="009F47E0"/>
    <w:rsid w:val="009F4C14"/>
    <w:rsid w:val="009F50FB"/>
    <w:rsid w:val="009F523D"/>
    <w:rsid w:val="009F58DB"/>
    <w:rsid w:val="009F5C9B"/>
    <w:rsid w:val="009F6AD3"/>
    <w:rsid w:val="009F6FE8"/>
    <w:rsid w:val="009F7F00"/>
    <w:rsid w:val="00A00387"/>
    <w:rsid w:val="00A00EED"/>
    <w:rsid w:val="00A02134"/>
    <w:rsid w:val="00A036E6"/>
    <w:rsid w:val="00A03C3F"/>
    <w:rsid w:val="00A04134"/>
    <w:rsid w:val="00A045F7"/>
    <w:rsid w:val="00A054C8"/>
    <w:rsid w:val="00A05787"/>
    <w:rsid w:val="00A05C35"/>
    <w:rsid w:val="00A05C88"/>
    <w:rsid w:val="00A060E2"/>
    <w:rsid w:val="00A06ABB"/>
    <w:rsid w:val="00A0716B"/>
    <w:rsid w:val="00A07547"/>
    <w:rsid w:val="00A07684"/>
    <w:rsid w:val="00A07B5A"/>
    <w:rsid w:val="00A07BDB"/>
    <w:rsid w:val="00A10349"/>
    <w:rsid w:val="00A10A0E"/>
    <w:rsid w:val="00A10A35"/>
    <w:rsid w:val="00A11A6D"/>
    <w:rsid w:val="00A123B4"/>
    <w:rsid w:val="00A124A8"/>
    <w:rsid w:val="00A12B82"/>
    <w:rsid w:val="00A131B1"/>
    <w:rsid w:val="00A13577"/>
    <w:rsid w:val="00A139D1"/>
    <w:rsid w:val="00A13A3C"/>
    <w:rsid w:val="00A13E71"/>
    <w:rsid w:val="00A142BC"/>
    <w:rsid w:val="00A14BE8"/>
    <w:rsid w:val="00A14D08"/>
    <w:rsid w:val="00A1504E"/>
    <w:rsid w:val="00A15A24"/>
    <w:rsid w:val="00A15F0A"/>
    <w:rsid w:val="00A17924"/>
    <w:rsid w:val="00A220E4"/>
    <w:rsid w:val="00A22251"/>
    <w:rsid w:val="00A227D5"/>
    <w:rsid w:val="00A22961"/>
    <w:rsid w:val="00A238C4"/>
    <w:rsid w:val="00A24825"/>
    <w:rsid w:val="00A24BDF"/>
    <w:rsid w:val="00A258E2"/>
    <w:rsid w:val="00A2602A"/>
    <w:rsid w:val="00A264A4"/>
    <w:rsid w:val="00A2664E"/>
    <w:rsid w:val="00A2672F"/>
    <w:rsid w:val="00A26C13"/>
    <w:rsid w:val="00A278E5"/>
    <w:rsid w:val="00A32201"/>
    <w:rsid w:val="00A3257B"/>
    <w:rsid w:val="00A33C45"/>
    <w:rsid w:val="00A3408F"/>
    <w:rsid w:val="00A3532E"/>
    <w:rsid w:val="00A3613D"/>
    <w:rsid w:val="00A36E34"/>
    <w:rsid w:val="00A3780B"/>
    <w:rsid w:val="00A403FC"/>
    <w:rsid w:val="00A40548"/>
    <w:rsid w:val="00A40942"/>
    <w:rsid w:val="00A41A93"/>
    <w:rsid w:val="00A421A7"/>
    <w:rsid w:val="00A4292D"/>
    <w:rsid w:val="00A431A9"/>
    <w:rsid w:val="00A436A7"/>
    <w:rsid w:val="00A444D1"/>
    <w:rsid w:val="00A44957"/>
    <w:rsid w:val="00A44DD3"/>
    <w:rsid w:val="00A458A5"/>
    <w:rsid w:val="00A458F0"/>
    <w:rsid w:val="00A46223"/>
    <w:rsid w:val="00A474A3"/>
    <w:rsid w:val="00A477B2"/>
    <w:rsid w:val="00A47A75"/>
    <w:rsid w:val="00A50D60"/>
    <w:rsid w:val="00A50E42"/>
    <w:rsid w:val="00A51519"/>
    <w:rsid w:val="00A5186F"/>
    <w:rsid w:val="00A522B1"/>
    <w:rsid w:val="00A535EF"/>
    <w:rsid w:val="00A53A51"/>
    <w:rsid w:val="00A53BBD"/>
    <w:rsid w:val="00A54073"/>
    <w:rsid w:val="00A54260"/>
    <w:rsid w:val="00A54423"/>
    <w:rsid w:val="00A54D9E"/>
    <w:rsid w:val="00A54DCA"/>
    <w:rsid w:val="00A55586"/>
    <w:rsid w:val="00A55818"/>
    <w:rsid w:val="00A56BA1"/>
    <w:rsid w:val="00A57B65"/>
    <w:rsid w:val="00A60598"/>
    <w:rsid w:val="00A6080D"/>
    <w:rsid w:val="00A61061"/>
    <w:rsid w:val="00A629B7"/>
    <w:rsid w:val="00A629E0"/>
    <w:rsid w:val="00A62C01"/>
    <w:rsid w:val="00A63B27"/>
    <w:rsid w:val="00A63C7F"/>
    <w:rsid w:val="00A650A3"/>
    <w:rsid w:val="00A65A53"/>
    <w:rsid w:val="00A65E61"/>
    <w:rsid w:val="00A666BE"/>
    <w:rsid w:val="00A6692E"/>
    <w:rsid w:val="00A66B73"/>
    <w:rsid w:val="00A66F52"/>
    <w:rsid w:val="00A66F54"/>
    <w:rsid w:val="00A67B85"/>
    <w:rsid w:val="00A705CE"/>
    <w:rsid w:val="00A7092E"/>
    <w:rsid w:val="00A70995"/>
    <w:rsid w:val="00A721D5"/>
    <w:rsid w:val="00A73F8C"/>
    <w:rsid w:val="00A74CA8"/>
    <w:rsid w:val="00A75368"/>
    <w:rsid w:val="00A764EE"/>
    <w:rsid w:val="00A7663E"/>
    <w:rsid w:val="00A76A8C"/>
    <w:rsid w:val="00A771C1"/>
    <w:rsid w:val="00A776BC"/>
    <w:rsid w:val="00A77B0E"/>
    <w:rsid w:val="00A80493"/>
    <w:rsid w:val="00A81878"/>
    <w:rsid w:val="00A81DF1"/>
    <w:rsid w:val="00A81F14"/>
    <w:rsid w:val="00A82D1D"/>
    <w:rsid w:val="00A8370E"/>
    <w:rsid w:val="00A83C08"/>
    <w:rsid w:val="00A84213"/>
    <w:rsid w:val="00A844B4"/>
    <w:rsid w:val="00A8492E"/>
    <w:rsid w:val="00A84E01"/>
    <w:rsid w:val="00A8574C"/>
    <w:rsid w:val="00A86B37"/>
    <w:rsid w:val="00A874C4"/>
    <w:rsid w:val="00A87A21"/>
    <w:rsid w:val="00A87E9D"/>
    <w:rsid w:val="00A908EE"/>
    <w:rsid w:val="00A91510"/>
    <w:rsid w:val="00A925A7"/>
    <w:rsid w:val="00A9291A"/>
    <w:rsid w:val="00A932C0"/>
    <w:rsid w:val="00A93E8C"/>
    <w:rsid w:val="00A94BF6"/>
    <w:rsid w:val="00A94CA2"/>
    <w:rsid w:val="00A94D08"/>
    <w:rsid w:val="00A9543E"/>
    <w:rsid w:val="00A95927"/>
    <w:rsid w:val="00A95BB9"/>
    <w:rsid w:val="00A968C7"/>
    <w:rsid w:val="00A96BC1"/>
    <w:rsid w:val="00A96C69"/>
    <w:rsid w:val="00A9711F"/>
    <w:rsid w:val="00A9748C"/>
    <w:rsid w:val="00A97632"/>
    <w:rsid w:val="00AA22FA"/>
    <w:rsid w:val="00AA2CA4"/>
    <w:rsid w:val="00AA33B9"/>
    <w:rsid w:val="00AA37FF"/>
    <w:rsid w:val="00AA448A"/>
    <w:rsid w:val="00AA47FF"/>
    <w:rsid w:val="00AA57AC"/>
    <w:rsid w:val="00AA7F29"/>
    <w:rsid w:val="00AB0D64"/>
    <w:rsid w:val="00AB10FF"/>
    <w:rsid w:val="00AB3003"/>
    <w:rsid w:val="00AB425A"/>
    <w:rsid w:val="00AB47CE"/>
    <w:rsid w:val="00AB4A94"/>
    <w:rsid w:val="00AB4F71"/>
    <w:rsid w:val="00AB626B"/>
    <w:rsid w:val="00AB6963"/>
    <w:rsid w:val="00AB6B35"/>
    <w:rsid w:val="00AB755D"/>
    <w:rsid w:val="00AB75EB"/>
    <w:rsid w:val="00AC01F0"/>
    <w:rsid w:val="00AC02A4"/>
    <w:rsid w:val="00AC04EA"/>
    <w:rsid w:val="00AC0E98"/>
    <w:rsid w:val="00AC1913"/>
    <w:rsid w:val="00AC2DAE"/>
    <w:rsid w:val="00AC49DB"/>
    <w:rsid w:val="00AC586F"/>
    <w:rsid w:val="00AC58CE"/>
    <w:rsid w:val="00AC70AF"/>
    <w:rsid w:val="00AC78FF"/>
    <w:rsid w:val="00AC7B3F"/>
    <w:rsid w:val="00AC7CE1"/>
    <w:rsid w:val="00AD08E4"/>
    <w:rsid w:val="00AD135B"/>
    <w:rsid w:val="00AD231E"/>
    <w:rsid w:val="00AD3B55"/>
    <w:rsid w:val="00AD4331"/>
    <w:rsid w:val="00AD50EA"/>
    <w:rsid w:val="00AD5464"/>
    <w:rsid w:val="00AD5AD7"/>
    <w:rsid w:val="00AD64D3"/>
    <w:rsid w:val="00AD6D4B"/>
    <w:rsid w:val="00AE066B"/>
    <w:rsid w:val="00AE07D5"/>
    <w:rsid w:val="00AE0B4C"/>
    <w:rsid w:val="00AE0D45"/>
    <w:rsid w:val="00AE112B"/>
    <w:rsid w:val="00AE1A40"/>
    <w:rsid w:val="00AE2319"/>
    <w:rsid w:val="00AE2340"/>
    <w:rsid w:val="00AE2637"/>
    <w:rsid w:val="00AE2918"/>
    <w:rsid w:val="00AE2DDA"/>
    <w:rsid w:val="00AE2F8A"/>
    <w:rsid w:val="00AE3203"/>
    <w:rsid w:val="00AE385C"/>
    <w:rsid w:val="00AE3E09"/>
    <w:rsid w:val="00AE3E7C"/>
    <w:rsid w:val="00AE5197"/>
    <w:rsid w:val="00AE5BA9"/>
    <w:rsid w:val="00AE69AC"/>
    <w:rsid w:val="00AE70E3"/>
    <w:rsid w:val="00AE7424"/>
    <w:rsid w:val="00AE7561"/>
    <w:rsid w:val="00AF127F"/>
    <w:rsid w:val="00AF1799"/>
    <w:rsid w:val="00AF1AD0"/>
    <w:rsid w:val="00AF1CB0"/>
    <w:rsid w:val="00AF21E7"/>
    <w:rsid w:val="00AF306D"/>
    <w:rsid w:val="00AF3788"/>
    <w:rsid w:val="00AF38C6"/>
    <w:rsid w:val="00AF3B5D"/>
    <w:rsid w:val="00AF4007"/>
    <w:rsid w:val="00AF4746"/>
    <w:rsid w:val="00AF4A98"/>
    <w:rsid w:val="00AF78EC"/>
    <w:rsid w:val="00B001E1"/>
    <w:rsid w:val="00B00B0E"/>
    <w:rsid w:val="00B00D2F"/>
    <w:rsid w:val="00B010CF"/>
    <w:rsid w:val="00B01949"/>
    <w:rsid w:val="00B0275C"/>
    <w:rsid w:val="00B028C5"/>
    <w:rsid w:val="00B02A29"/>
    <w:rsid w:val="00B03886"/>
    <w:rsid w:val="00B042BE"/>
    <w:rsid w:val="00B048E5"/>
    <w:rsid w:val="00B04A5D"/>
    <w:rsid w:val="00B04D68"/>
    <w:rsid w:val="00B04DBB"/>
    <w:rsid w:val="00B056C0"/>
    <w:rsid w:val="00B05CDF"/>
    <w:rsid w:val="00B05E6E"/>
    <w:rsid w:val="00B05FC9"/>
    <w:rsid w:val="00B06138"/>
    <w:rsid w:val="00B063DE"/>
    <w:rsid w:val="00B06965"/>
    <w:rsid w:val="00B06970"/>
    <w:rsid w:val="00B06F3E"/>
    <w:rsid w:val="00B06F73"/>
    <w:rsid w:val="00B079FF"/>
    <w:rsid w:val="00B12310"/>
    <w:rsid w:val="00B12EC5"/>
    <w:rsid w:val="00B14528"/>
    <w:rsid w:val="00B158C8"/>
    <w:rsid w:val="00B15962"/>
    <w:rsid w:val="00B15F35"/>
    <w:rsid w:val="00B16069"/>
    <w:rsid w:val="00B1613D"/>
    <w:rsid w:val="00B16CF2"/>
    <w:rsid w:val="00B16FA4"/>
    <w:rsid w:val="00B20A72"/>
    <w:rsid w:val="00B214E2"/>
    <w:rsid w:val="00B21590"/>
    <w:rsid w:val="00B2187A"/>
    <w:rsid w:val="00B219CC"/>
    <w:rsid w:val="00B22CEC"/>
    <w:rsid w:val="00B23133"/>
    <w:rsid w:val="00B238D9"/>
    <w:rsid w:val="00B23F69"/>
    <w:rsid w:val="00B25C3C"/>
    <w:rsid w:val="00B25F9F"/>
    <w:rsid w:val="00B26719"/>
    <w:rsid w:val="00B26DC6"/>
    <w:rsid w:val="00B270E2"/>
    <w:rsid w:val="00B2737F"/>
    <w:rsid w:val="00B27C41"/>
    <w:rsid w:val="00B31AF5"/>
    <w:rsid w:val="00B31FD6"/>
    <w:rsid w:val="00B32323"/>
    <w:rsid w:val="00B33615"/>
    <w:rsid w:val="00B34008"/>
    <w:rsid w:val="00B3465E"/>
    <w:rsid w:val="00B34C66"/>
    <w:rsid w:val="00B35A36"/>
    <w:rsid w:val="00B365F6"/>
    <w:rsid w:val="00B36B81"/>
    <w:rsid w:val="00B378D5"/>
    <w:rsid w:val="00B37A22"/>
    <w:rsid w:val="00B40829"/>
    <w:rsid w:val="00B41592"/>
    <w:rsid w:val="00B4171E"/>
    <w:rsid w:val="00B41781"/>
    <w:rsid w:val="00B42851"/>
    <w:rsid w:val="00B45329"/>
    <w:rsid w:val="00B4585C"/>
    <w:rsid w:val="00B45DFF"/>
    <w:rsid w:val="00B462CC"/>
    <w:rsid w:val="00B468D9"/>
    <w:rsid w:val="00B46BCD"/>
    <w:rsid w:val="00B50F00"/>
    <w:rsid w:val="00B51979"/>
    <w:rsid w:val="00B51BE0"/>
    <w:rsid w:val="00B51DD8"/>
    <w:rsid w:val="00B52AC5"/>
    <w:rsid w:val="00B532A0"/>
    <w:rsid w:val="00B55000"/>
    <w:rsid w:val="00B56411"/>
    <w:rsid w:val="00B56612"/>
    <w:rsid w:val="00B57FBD"/>
    <w:rsid w:val="00B6036B"/>
    <w:rsid w:val="00B610CD"/>
    <w:rsid w:val="00B618B6"/>
    <w:rsid w:val="00B62FF8"/>
    <w:rsid w:val="00B63371"/>
    <w:rsid w:val="00B637A1"/>
    <w:rsid w:val="00B63B4B"/>
    <w:rsid w:val="00B63B54"/>
    <w:rsid w:val="00B64518"/>
    <w:rsid w:val="00B64ED3"/>
    <w:rsid w:val="00B6569C"/>
    <w:rsid w:val="00B65AAE"/>
    <w:rsid w:val="00B66245"/>
    <w:rsid w:val="00B66EB2"/>
    <w:rsid w:val="00B67B47"/>
    <w:rsid w:val="00B67C79"/>
    <w:rsid w:val="00B712FD"/>
    <w:rsid w:val="00B728E1"/>
    <w:rsid w:val="00B75853"/>
    <w:rsid w:val="00B766C6"/>
    <w:rsid w:val="00B76E12"/>
    <w:rsid w:val="00B76F43"/>
    <w:rsid w:val="00B77015"/>
    <w:rsid w:val="00B77743"/>
    <w:rsid w:val="00B800D5"/>
    <w:rsid w:val="00B812A8"/>
    <w:rsid w:val="00B81798"/>
    <w:rsid w:val="00B81A4D"/>
    <w:rsid w:val="00B8219B"/>
    <w:rsid w:val="00B82C1B"/>
    <w:rsid w:val="00B830F8"/>
    <w:rsid w:val="00B83773"/>
    <w:rsid w:val="00B8389D"/>
    <w:rsid w:val="00B838EB"/>
    <w:rsid w:val="00B83E4D"/>
    <w:rsid w:val="00B84517"/>
    <w:rsid w:val="00B84DBA"/>
    <w:rsid w:val="00B84E2A"/>
    <w:rsid w:val="00B86E92"/>
    <w:rsid w:val="00B86F9F"/>
    <w:rsid w:val="00B86FB9"/>
    <w:rsid w:val="00B871A5"/>
    <w:rsid w:val="00B90041"/>
    <w:rsid w:val="00B90986"/>
    <w:rsid w:val="00B9124C"/>
    <w:rsid w:val="00B913F6"/>
    <w:rsid w:val="00B914CC"/>
    <w:rsid w:val="00B9160A"/>
    <w:rsid w:val="00B9169A"/>
    <w:rsid w:val="00B91897"/>
    <w:rsid w:val="00B92132"/>
    <w:rsid w:val="00B92EB8"/>
    <w:rsid w:val="00B93419"/>
    <w:rsid w:val="00B93BAF"/>
    <w:rsid w:val="00B94179"/>
    <w:rsid w:val="00B9445F"/>
    <w:rsid w:val="00B9558A"/>
    <w:rsid w:val="00B9570C"/>
    <w:rsid w:val="00B95F30"/>
    <w:rsid w:val="00B962EC"/>
    <w:rsid w:val="00B964DD"/>
    <w:rsid w:val="00B9770B"/>
    <w:rsid w:val="00B97B76"/>
    <w:rsid w:val="00B97C10"/>
    <w:rsid w:val="00B97ECB"/>
    <w:rsid w:val="00BA05B4"/>
    <w:rsid w:val="00BA075B"/>
    <w:rsid w:val="00BA0B9A"/>
    <w:rsid w:val="00BA1621"/>
    <w:rsid w:val="00BA189B"/>
    <w:rsid w:val="00BA2755"/>
    <w:rsid w:val="00BA361F"/>
    <w:rsid w:val="00BA3F0C"/>
    <w:rsid w:val="00BA4A55"/>
    <w:rsid w:val="00BA4D9B"/>
    <w:rsid w:val="00BA4E11"/>
    <w:rsid w:val="00BA6A00"/>
    <w:rsid w:val="00BA7415"/>
    <w:rsid w:val="00BA7E18"/>
    <w:rsid w:val="00BB01CC"/>
    <w:rsid w:val="00BB0CD7"/>
    <w:rsid w:val="00BB13C7"/>
    <w:rsid w:val="00BB2271"/>
    <w:rsid w:val="00BB22D8"/>
    <w:rsid w:val="00BB3C7D"/>
    <w:rsid w:val="00BB4881"/>
    <w:rsid w:val="00BB4919"/>
    <w:rsid w:val="00BB4EFA"/>
    <w:rsid w:val="00BB514E"/>
    <w:rsid w:val="00BB5ECA"/>
    <w:rsid w:val="00BB69EC"/>
    <w:rsid w:val="00BB6E50"/>
    <w:rsid w:val="00BB6FDC"/>
    <w:rsid w:val="00BC0C1D"/>
    <w:rsid w:val="00BC0E7C"/>
    <w:rsid w:val="00BC1241"/>
    <w:rsid w:val="00BC1374"/>
    <w:rsid w:val="00BC14DA"/>
    <w:rsid w:val="00BC1747"/>
    <w:rsid w:val="00BC209F"/>
    <w:rsid w:val="00BC2920"/>
    <w:rsid w:val="00BC339C"/>
    <w:rsid w:val="00BC478B"/>
    <w:rsid w:val="00BC4FD0"/>
    <w:rsid w:val="00BC5AE0"/>
    <w:rsid w:val="00BC6531"/>
    <w:rsid w:val="00BC669B"/>
    <w:rsid w:val="00BC6937"/>
    <w:rsid w:val="00BC715C"/>
    <w:rsid w:val="00BC7F4F"/>
    <w:rsid w:val="00BD172F"/>
    <w:rsid w:val="00BD21CA"/>
    <w:rsid w:val="00BD3C3A"/>
    <w:rsid w:val="00BD4FEC"/>
    <w:rsid w:val="00BD5456"/>
    <w:rsid w:val="00BD570B"/>
    <w:rsid w:val="00BD5B35"/>
    <w:rsid w:val="00BD5C51"/>
    <w:rsid w:val="00BD5FD3"/>
    <w:rsid w:val="00BD6486"/>
    <w:rsid w:val="00BD7AB1"/>
    <w:rsid w:val="00BD7AF2"/>
    <w:rsid w:val="00BD7EE7"/>
    <w:rsid w:val="00BE118A"/>
    <w:rsid w:val="00BE151A"/>
    <w:rsid w:val="00BE1658"/>
    <w:rsid w:val="00BE2BF4"/>
    <w:rsid w:val="00BE3771"/>
    <w:rsid w:val="00BE39AE"/>
    <w:rsid w:val="00BE5527"/>
    <w:rsid w:val="00BE5FCF"/>
    <w:rsid w:val="00BE62DE"/>
    <w:rsid w:val="00BE63C7"/>
    <w:rsid w:val="00BE67C1"/>
    <w:rsid w:val="00BE6DAC"/>
    <w:rsid w:val="00BE6F03"/>
    <w:rsid w:val="00BE71B4"/>
    <w:rsid w:val="00BE742A"/>
    <w:rsid w:val="00BF0E4D"/>
    <w:rsid w:val="00BF0F88"/>
    <w:rsid w:val="00BF3CB8"/>
    <w:rsid w:val="00BF3D48"/>
    <w:rsid w:val="00BF5208"/>
    <w:rsid w:val="00BF58D5"/>
    <w:rsid w:val="00BF682D"/>
    <w:rsid w:val="00BF7113"/>
    <w:rsid w:val="00BF746B"/>
    <w:rsid w:val="00C01B17"/>
    <w:rsid w:val="00C01DBC"/>
    <w:rsid w:val="00C026B8"/>
    <w:rsid w:val="00C02DC8"/>
    <w:rsid w:val="00C0506F"/>
    <w:rsid w:val="00C052A6"/>
    <w:rsid w:val="00C052AF"/>
    <w:rsid w:val="00C05302"/>
    <w:rsid w:val="00C0550A"/>
    <w:rsid w:val="00C069D4"/>
    <w:rsid w:val="00C072AB"/>
    <w:rsid w:val="00C076CA"/>
    <w:rsid w:val="00C07B75"/>
    <w:rsid w:val="00C100FB"/>
    <w:rsid w:val="00C1199D"/>
    <w:rsid w:val="00C11F5A"/>
    <w:rsid w:val="00C126AE"/>
    <w:rsid w:val="00C127DA"/>
    <w:rsid w:val="00C12862"/>
    <w:rsid w:val="00C12CE5"/>
    <w:rsid w:val="00C14752"/>
    <w:rsid w:val="00C160B2"/>
    <w:rsid w:val="00C1610A"/>
    <w:rsid w:val="00C172DC"/>
    <w:rsid w:val="00C17978"/>
    <w:rsid w:val="00C2043B"/>
    <w:rsid w:val="00C21442"/>
    <w:rsid w:val="00C21485"/>
    <w:rsid w:val="00C221B9"/>
    <w:rsid w:val="00C222A1"/>
    <w:rsid w:val="00C2233F"/>
    <w:rsid w:val="00C225D2"/>
    <w:rsid w:val="00C22709"/>
    <w:rsid w:val="00C233FF"/>
    <w:rsid w:val="00C23694"/>
    <w:rsid w:val="00C23923"/>
    <w:rsid w:val="00C23B5A"/>
    <w:rsid w:val="00C23C1D"/>
    <w:rsid w:val="00C24060"/>
    <w:rsid w:val="00C2481B"/>
    <w:rsid w:val="00C24897"/>
    <w:rsid w:val="00C24933"/>
    <w:rsid w:val="00C25432"/>
    <w:rsid w:val="00C260E5"/>
    <w:rsid w:val="00C30340"/>
    <w:rsid w:val="00C311F0"/>
    <w:rsid w:val="00C313DD"/>
    <w:rsid w:val="00C31410"/>
    <w:rsid w:val="00C31AF4"/>
    <w:rsid w:val="00C32C5F"/>
    <w:rsid w:val="00C33A00"/>
    <w:rsid w:val="00C344C9"/>
    <w:rsid w:val="00C35BB3"/>
    <w:rsid w:val="00C35D19"/>
    <w:rsid w:val="00C365BC"/>
    <w:rsid w:val="00C36771"/>
    <w:rsid w:val="00C36A4C"/>
    <w:rsid w:val="00C36DD1"/>
    <w:rsid w:val="00C37227"/>
    <w:rsid w:val="00C374DB"/>
    <w:rsid w:val="00C37DE8"/>
    <w:rsid w:val="00C40520"/>
    <w:rsid w:val="00C40A4A"/>
    <w:rsid w:val="00C40BE7"/>
    <w:rsid w:val="00C411DE"/>
    <w:rsid w:val="00C42EFA"/>
    <w:rsid w:val="00C43CD8"/>
    <w:rsid w:val="00C440BC"/>
    <w:rsid w:val="00C44417"/>
    <w:rsid w:val="00C4507E"/>
    <w:rsid w:val="00C46156"/>
    <w:rsid w:val="00C47D6C"/>
    <w:rsid w:val="00C5084B"/>
    <w:rsid w:val="00C50AC0"/>
    <w:rsid w:val="00C50B0E"/>
    <w:rsid w:val="00C51E67"/>
    <w:rsid w:val="00C5212E"/>
    <w:rsid w:val="00C52368"/>
    <w:rsid w:val="00C52657"/>
    <w:rsid w:val="00C52786"/>
    <w:rsid w:val="00C53A92"/>
    <w:rsid w:val="00C53E01"/>
    <w:rsid w:val="00C53F26"/>
    <w:rsid w:val="00C546C4"/>
    <w:rsid w:val="00C548D0"/>
    <w:rsid w:val="00C55B70"/>
    <w:rsid w:val="00C55BBF"/>
    <w:rsid w:val="00C5696D"/>
    <w:rsid w:val="00C569E2"/>
    <w:rsid w:val="00C56D96"/>
    <w:rsid w:val="00C56DF9"/>
    <w:rsid w:val="00C56EAB"/>
    <w:rsid w:val="00C57C6A"/>
    <w:rsid w:val="00C60857"/>
    <w:rsid w:val="00C60D93"/>
    <w:rsid w:val="00C61149"/>
    <w:rsid w:val="00C61DE9"/>
    <w:rsid w:val="00C627B1"/>
    <w:rsid w:val="00C62E46"/>
    <w:rsid w:val="00C635A8"/>
    <w:rsid w:val="00C639C8"/>
    <w:rsid w:val="00C63BD1"/>
    <w:rsid w:val="00C64174"/>
    <w:rsid w:val="00C64F77"/>
    <w:rsid w:val="00C65670"/>
    <w:rsid w:val="00C6642D"/>
    <w:rsid w:val="00C6692D"/>
    <w:rsid w:val="00C66AF5"/>
    <w:rsid w:val="00C70845"/>
    <w:rsid w:val="00C70E55"/>
    <w:rsid w:val="00C71194"/>
    <w:rsid w:val="00C7191E"/>
    <w:rsid w:val="00C71B13"/>
    <w:rsid w:val="00C71C59"/>
    <w:rsid w:val="00C71DCD"/>
    <w:rsid w:val="00C727A8"/>
    <w:rsid w:val="00C72869"/>
    <w:rsid w:val="00C733C8"/>
    <w:rsid w:val="00C7379F"/>
    <w:rsid w:val="00C74CDD"/>
    <w:rsid w:val="00C75AFF"/>
    <w:rsid w:val="00C7683D"/>
    <w:rsid w:val="00C76A58"/>
    <w:rsid w:val="00C76BE8"/>
    <w:rsid w:val="00C775AB"/>
    <w:rsid w:val="00C800ED"/>
    <w:rsid w:val="00C80CC5"/>
    <w:rsid w:val="00C81211"/>
    <w:rsid w:val="00C812B0"/>
    <w:rsid w:val="00C8198B"/>
    <w:rsid w:val="00C82065"/>
    <w:rsid w:val="00C82112"/>
    <w:rsid w:val="00C827A6"/>
    <w:rsid w:val="00C83A7C"/>
    <w:rsid w:val="00C8560D"/>
    <w:rsid w:val="00C87E83"/>
    <w:rsid w:val="00C87F79"/>
    <w:rsid w:val="00C916EF"/>
    <w:rsid w:val="00C9194B"/>
    <w:rsid w:val="00C91AB0"/>
    <w:rsid w:val="00C92003"/>
    <w:rsid w:val="00C92234"/>
    <w:rsid w:val="00C925B7"/>
    <w:rsid w:val="00C93A12"/>
    <w:rsid w:val="00C958D4"/>
    <w:rsid w:val="00C95CBF"/>
    <w:rsid w:val="00C96A5A"/>
    <w:rsid w:val="00C96B5F"/>
    <w:rsid w:val="00C96C8F"/>
    <w:rsid w:val="00C96D9A"/>
    <w:rsid w:val="00C976DA"/>
    <w:rsid w:val="00CA0008"/>
    <w:rsid w:val="00CA027C"/>
    <w:rsid w:val="00CA07D0"/>
    <w:rsid w:val="00CA0EDB"/>
    <w:rsid w:val="00CA17FD"/>
    <w:rsid w:val="00CA2A25"/>
    <w:rsid w:val="00CA2C99"/>
    <w:rsid w:val="00CA2D15"/>
    <w:rsid w:val="00CA30DC"/>
    <w:rsid w:val="00CA3500"/>
    <w:rsid w:val="00CA461B"/>
    <w:rsid w:val="00CA47CB"/>
    <w:rsid w:val="00CA4C2B"/>
    <w:rsid w:val="00CA52CF"/>
    <w:rsid w:val="00CA5B2A"/>
    <w:rsid w:val="00CA6263"/>
    <w:rsid w:val="00CA6426"/>
    <w:rsid w:val="00CA6BB7"/>
    <w:rsid w:val="00CA74B7"/>
    <w:rsid w:val="00CA74BA"/>
    <w:rsid w:val="00CA780C"/>
    <w:rsid w:val="00CB078E"/>
    <w:rsid w:val="00CB228E"/>
    <w:rsid w:val="00CB257F"/>
    <w:rsid w:val="00CB2F80"/>
    <w:rsid w:val="00CB3B18"/>
    <w:rsid w:val="00CB3F39"/>
    <w:rsid w:val="00CB462C"/>
    <w:rsid w:val="00CB52D4"/>
    <w:rsid w:val="00CB5570"/>
    <w:rsid w:val="00CB5B1A"/>
    <w:rsid w:val="00CB61CF"/>
    <w:rsid w:val="00CB6E2A"/>
    <w:rsid w:val="00CB7689"/>
    <w:rsid w:val="00CB77CF"/>
    <w:rsid w:val="00CC12BC"/>
    <w:rsid w:val="00CC1C86"/>
    <w:rsid w:val="00CC2025"/>
    <w:rsid w:val="00CC260D"/>
    <w:rsid w:val="00CC2A09"/>
    <w:rsid w:val="00CC33E0"/>
    <w:rsid w:val="00CC3504"/>
    <w:rsid w:val="00CC3ADA"/>
    <w:rsid w:val="00CC4A9B"/>
    <w:rsid w:val="00CC4E66"/>
    <w:rsid w:val="00CC5791"/>
    <w:rsid w:val="00CC6BC9"/>
    <w:rsid w:val="00CD03FD"/>
    <w:rsid w:val="00CD049D"/>
    <w:rsid w:val="00CD1177"/>
    <w:rsid w:val="00CD1B21"/>
    <w:rsid w:val="00CD263A"/>
    <w:rsid w:val="00CD2948"/>
    <w:rsid w:val="00CD2964"/>
    <w:rsid w:val="00CD2B20"/>
    <w:rsid w:val="00CD2B97"/>
    <w:rsid w:val="00CD2BB5"/>
    <w:rsid w:val="00CD3E1E"/>
    <w:rsid w:val="00CD40A2"/>
    <w:rsid w:val="00CD412F"/>
    <w:rsid w:val="00CD4146"/>
    <w:rsid w:val="00CD545C"/>
    <w:rsid w:val="00CD5E02"/>
    <w:rsid w:val="00CD5F84"/>
    <w:rsid w:val="00CD65BA"/>
    <w:rsid w:val="00CD6F63"/>
    <w:rsid w:val="00CD700F"/>
    <w:rsid w:val="00CD75F2"/>
    <w:rsid w:val="00CD75FB"/>
    <w:rsid w:val="00CD7DEB"/>
    <w:rsid w:val="00CE07D1"/>
    <w:rsid w:val="00CE0E68"/>
    <w:rsid w:val="00CE1022"/>
    <w:rsid w:val="00CE118E"/>
    <w:rsid w:val="00CE1453"/>
    <w:rsid w:val="00CE1D83"/>
    <w:rsid w:val="00CE22F2"/>
    <w:rsid w:val="00CE284B"/>
    <w:rsid w:val="00CE2C06"/>
    <w:rsid w:val="00CE4491"/>
    <w:rsid w:val="00CE4B31"/>
    <w:rsid w:val="00CE4D00"/>
    <w:rsid w:val="00CE4E0D"/>
    <w:rsid w:val="00CE4E66"/>
    <w:rsid w:val="00CE55ED"/>
    <w:rsid w:val="00CE5614"/>
    <w:rsid w:val="00CE59AE"/>
    <w:rsid w:val="00CE5DBC"/>
    <w:rsid w:val="00CE62A9"/>
    <w:rsid w:val="00CE72C4"/>
    <w:rsid w:val="00CE7A79"/>
    <w:rsid w:val="00CF1342"/>
    <w:rsid w:val="00CF1E64"/>
    <w:rsid w:val="00CF39F6"/>
    <w:rsid w:val="00CF3A42"/>
    <w:rsid w:val="00CF3BD3"/>
    <w:rsid w:val="00CF4741"/>
    <w:rsid w:val="00CF522D"/>
    <w:rsid w:val="00CF584E"/>
    <w:rsid w:val="00CF6073"/>
    <w:rsid w:val="00CF65A1"/>
    <w:rsid w:val="00CF7668"/>
    <w:rsid w:val="00CF7CBD"/>
    <w:rsid w:val="00D000CB"/>
    <w:rsid w:val="00D00205"/>
    <w:rsid w:val="00D014E4"/>
    <w:rsid w:val="00D0377A"/>
    <w:rsid w:val="00D03E5F"/>
    <w:rsid w:val="00D04243"/>
    <w:rsid w:val="00D045EB"/>
    <w:rsid w:val="00D049FB"/>
    <w:rsid w:val="00D05157"/>
    <w:rsid w:val="00D059C5"/>
    <w:rsid w:val="00D063EB"/>
    <w:rsid w:val="00D07A3B"/>
    <w:rsid w:val="00D07CF7"/>
    <w:rsid w:val="00D07D24"/>
    <w:rsid w:val="00D07D5F"/>
    <w:rsid w:val="00D1056D"/>
    <w:rsid w:val="00D112A3"/>
    <w:rsid w:val="00D11ABF"/>
    <w:rsid w:val="00D11D80"/>
    <w:rsid w:val="00D12052"/>
    <w:rsid w:val="00D124F1"/>
    <w:rsid w:val="00D134D3"/>
    <w:rsid w:val="00D14986"/>
    <w:rsid w:val="00D1576B"/>
    <w:rsid w:val="00D160BB"/>
    <w:rsid w:val="00D168B6"/>
    <w:rsid w:val="00D169E5"/>
    <w:rsid w:val="00D2036F"/>
    <w:rsid w:val="00D21E79"/>
    <w:rsid w:val="00D231A6"/>
    <w:rsid w:val="00D237B1"/>
    <w:rsid w:val="00D2492F"/>
    <w:rsid w:val="00D2599A"/>
    <w:rsid w:val="00D266B5"/>
    <w:rsid w:val="00D26C6F"/>
    <w:rsid w:val="00D26E77"/>
    <w:rsid w:val="00D26F50"/>
    <w:rsid w:val="00D274D9"/>
    <w:rsid w:val="00D27978"/>
    <w:rsid w:val="00D27A5D"/>
    <w:rsid w:val="00D27EFC"/>
    <w:rsid w:val="00D31932"/>
    <w:rsid w:val="00D31B6B"/>
    <w:rsid w:val="00D327B2"/>
    <w:rsid w:val="00D328FA"/>
    <w:rsid w:val="00D3493C"/>
    <w:rsid w:val="00D355A5"/>
    <w:rsid w:val="00D36EA6"/>
    <w:rsid w:val="00D3792D"/>
    <w:rsid w:val="00D37A80"/>
    <w:rsid w:val="00D40B6B"/>
    <w:rsid w:val="00D42B5C"/>
    <w:rsid w:val="00D42F26"/>
    <w:rsid w:val="00D42FB0"/>
    <w:rsid w:val="00D43403"/>
    <w:rsid w:val="00D4365D"/>
    <w:rsid w:val="00D44690"/>
    <w:rsid w:val="00D474F9"/>
    <w:rsid w:val="00D4773F"/>
    <w:rsid w:val="00D47A26"/>
    <w:rsid w:val="00D47E23"/>
    <w:rsid w:val="00D505B9"/>
    <w:rsid w:val="00D50E91"/>
    <w:rsid w:val="00D50FAC"/>
    <w:rsid w:val="00D51BF3"/>
    <w:rsid w:val="00D51E7F"/>
    <w:rsid w:val="00D52624"/>
    <w:rsid w:val="00D530FE"/>
    <w:rsid w:val="00D53234"/>
    <w:rsid w:val="00D53AF2"/>
    <w:rsid w:val="00D54593"/>
    <w:rsid w:val="00D56A62"/>
    <w:rsid w:val="00D56BBF"/>
    <w:rsid w:val="00D56F93"/>
    <w:rsid w:val="00D5751F"/>
    <w:rsid w:val="00D575A9"/>
    <w:rsid w:val="00D57793"/>
    <w:rsid w:val="00D5799B"/>
    <w:rsid w:val="00D6052F"/>
    <w:rsid w:val="00D61B7E"/>
    <w:rsid w:val="00D62CC5"/>
    <w:rsid w:val="00D63537"/>
    <w:rsid w:val="00D64073"/>
    <w:rsid w:val="00D641B6"/>
    <w:rsid w:val="00D647C2"/>
    <w:rsid w:val="00D6498F"/>
    <w:rsid w:val="00D6526B"/>
    <w:rsid w:val="00D65CC9"/>
    <w:rsid w:val="00D65EA7"/>
    <w:rsid w:val="00D65EFF"/>
    <w:rsid w:val="00D66E89"/>
    <w:rsid w:val="00D66FEC"/>
    <w:rsid w:val="00D67AC0"/>
    <w:rsid w:val="00D705EC"/>
    <w:rsid w:val="00D70F17"/>
    <w:rsid w:val="00D71E2C"/>
    <w:rsid w:val="00D71EE3"/>
    <w:rsid w:val="00D7333E"/>
    <w:rsid w:val="00D73FC2"/>
    <w:rsid w:val="00D74397"/>
    <w:rsid w:val="00D74415"/>
    <w:rsid w:val="00D744EE"/>
    <w:rsid w:val="00D74580"/>
    <w:rsid w:val="00D765A7"/>
    <w:rsid w:val="00D7711C"/>
    <w:rsid w:val="00D77149"/>
    <w:rsid w:val="00D800A9"/>
    <w:rsid w:val="00D80258"/>
    <w:rsid w:val="00D80E78"/>
    <w:rsid w:val="00D8120A"/>
    <w:rsid w:val="00D81B43"/>
    <w:rsid w:val="00D81DC6"/>
    <w:rsid w:val="00D81EEF"/>
    <w:rsid w:val="00D8261A"/>
    <w:rsid w:val="00D82664"/>
    <w:rsid w:val="00D826BE"/>
    <w:rsid w:val="00D82D2D"/>
    <w:rsid w:val="00D83327"/>
    <w:rsid w:val="00D8332E"/>
    <w:rsid w:val="00D83D36"/>
    <w:rsid w:val="00D84272"/>
    <w:rsid w:val="00D84597"/>
    <w:rsid w:val="00D85BC0"/>
    <w:rsid w:val="00D861C5"/>
    <w:rsid w:val="00D8622A"/>
    <w:rsid w:val="00D86941"/>
    <w:rsid w:val="00D86FE4"/>
    <w:rsid w:val="00D8706D"/>
    <w:rsid w:val="00D871F1"/>
    <w:rsid w:val="00D874EC"/>
    <w:rsid w:val="00D87B34"/>
    <w:rsid w:val="00D87B61"/>
    <w:rsid w:val="00D913B2"/>
    <w:rsid w:val="00D92F49"/>
    <w:rsid w:val="00D937FC"/>
    <w:rsid w:val="00D93A69"/>
    <w:rsid w:val="00D93CF8"/>
    <w:rsid w:val="00D95278"/>
    <w:rsid w:val="00D96EDC"/>
    <w:rsid w:val="00D97389"/>
    <w:rsid w:val="00DA0337"/>
    <w:rsid w:val="00DA07F9"/>
    <w:rsid w:val="00DA16AE"/>
    <w:rsid w:val="00DA2B53"/>
    <w:rsid w:val="00DA2C66"/>
    <w:rsid w:val="00DA393D"/>
    <w:rsid w:val="00DA4E59"/>
    <w:rsid w:val="00DA5B19"/>
    <w:rsid w:val="00DA5BBC"/>
    <w:rsid w:val="00DA5C11"/>
    <w:rsid w:val="00DA5E04"/>
    <w:rsid w:val="00DA6394"/>
    <w:rsid w:val="00DA6737"/>
    <w:rsid w:val="00DA7BF2"/>
    <w:rsid w:val="00DB0EC4"/>
    <w:rsid w:val="00DB1CED"/>
    <w:rsid w:val="00DB280E"/>
    <w:rsid w:val="00DB2DF5"/>
    <w:rsid w:val="00DB3145"/>
    <w:rsid w:val="00DB3BE4"/>
    <w:rsid w:val="00DB403D"/>
    <w:rsid w:val="00DB57E0"/>
    <w:rsid w:val="00DB5E33"/>
    <w:rsid w:val="00DC0D4A"/>
    <w:rsid w:val="00DC0FA6"/>
    <w:rsid w:val="00DC130C"/>
    <w:rsid w:val="00DC2292"/>
    <w:rsid w:val="00DC29AA"/>
    <w:rsid w:val="00DC459C"/>
    <w:rsid w:val="00DC4992"/>
    <w:rsid w:val="00DC4BB8"/>
    <w:rsid w:val="00DC508E"/>
    <w:rsid w:val="00DC5487"/>
    <w:rsid w:val="00DC5DC9"/>
    <w:rsid w:val="00DC6B2C"/>
    <w:rsid w:val="00DC714C"/>
    <w:rsid w:val="00DC7F60"/>
    <w:rsid w:val="00DC7F96"/>
    <w:rsid w:val="00DD0342"/>
    <w:rsid w:val="00DD112E"/>
    <w:rsid w:val="00DD119F"/>
    <w:rsid w:val="00DD2A19"/>
    <w:rsid w:val="00DD2F7B"/>
    <w:rsid w:val="00DD4A2C"/>
    <w:rsid w:val="00DD4C42"/>
    <w:rsid w:val="00DD6A4B"/>
    <w:rsid w:val="00DD6A85"/>
    <w:rsid w:val="00DD6E24"/>
    <w:rsid w:val="00DD77BD"/>
    <w:rsid w:val="00DE03DD"/>
    <w:rsid w:val="00DE04FA"/>
    <w:rsid w:val="00DE0C23"/>
    <w:rsid w:val="00DE14A2"/>
    <w:rsid w:val="00DE23C8"/>
    <w:rsid w:val="00DE25AF"/>
    <w:rsid w:val="00DE29BA"/>
    <w:rsid w:val="00DE2D18"/>
    <w:rsid w:val="00DE2E79"/>
    <w:rsid w:val="00DE30DF"/>
    <w:rsid w:val="00DE31BD"/>
    <w:rsid w:val="00DE34B7"/>
    <w:rsid w:val="00DE3801"/>
    <w:rsid w:val="00DE38F1"/>
    <w:rsid w:val="00DE3939"/>
    <w:rsid w:val="00DE418C"/>
    <w:rsid w:val="00DE4A58"/>
    <w:rsid w:val="00DE5060"/>
    <w:rsid w:val="00DE52B0"/>
    <w:rsid w:val="00DE588D"/>
    <w:rsid w:val="00DE74B8"/>
    <w:rsid w:val="00DE7BE0"/>
    <w:rsid w:val="00DF1623"/>
    <w:rsid w:val="00DF16CC"/>
    <w:rsid w:val="00DF2610"/>
    <w:rsid w:val="00DF2D3E"/>
    <w:rsid w:val="00DF2D9E"/>
    <w:rsid w:val="00DF2DFE"/>
    <w:rsid w:val="00DF364D"/>
    <w:rsid w:val="00DF36FD"/>
    <w:rsid w:val="00DF3A06"/>
    <w:rsid w:val="00DF3A8E"/>
    <w:rsid w:val="00DF3BB9"/>
    <w:rsid w:val="00DF3F89"/>
    <w:rsid w:val="00DF4216"/>
    <w:rsid w:val="00DF46C4"/>
    <w:rsid w:val="00DF4E88"/>
    <w:rsid w:val="00DF4FDF"/>
    <w:rsid w:val="00DF5F48"/>
    <w:rsid w:val="00DF6A92"/>
    <w:rsid w:val="00E027FF"/>
    <w:rsid w:val="00E038C5"/>
    <w:rsid w:val="00E03A22"/>
    <w:rsid w:val="00E03E3B"/>
    <w:rsid w:val="00E04589"/>
    <w:rsid w:val="00E06B38"/>
    <w:rsid w:val="00E07340"/>
    <w:rsid w:val="00E0747D"/>
    <w:rsid w:val="00E079A1"/>
    <w:rsid w:val="00E11878"/>
    <w:rsid w:val="00E1266C"/>
    <w:rsid w:val="00E128D8"/>
    <w:rsid w:val="00E12C42"/>
    <w:rsid w:val="00E132D9"/>
    <w:rsid w:val="00E155A9"/>
    <w:rsid w:val="00E15E54"/>
    <w:rsid w:val="00E165B5"/>
    <w:rsid w:val="00E1688A"/>
    <w:rsid w:val="00E170B3"/>
    <w:rsid w:val="00E1728C"/>
    <w:rsid w:val="00E172E7"/>
    <w:rsid w:val="00E17A0A"/>
    <w:rsid w:val="00E17ED6"/>
    <w:rsid w:val="00E20EEF"/>
    <w:rsid w:val="00E2179F"/>
    <w:rsid w:val="00E219DF"/>
    <w:rsid w:val="00E227DA"/>
    <w:rsid w:val="00E232AF"/>
    <w:rsid w:val="00E232B1"/>
    <w:rsid w:val="00E232BB"/>
    <w:rsid w:val="00E2333B"/>
    <w:rsid w:val="00E24145"/>
    <w:rsid w:val="00E24353"/>
    <w:rsid w:val="00E243C9"/>
    <w:rsid w:val="00E2464D"/>
    <w:rsid w:val="00E24902"/>
    <w:rsid w:val="00E25107"/>
    <w:rsid w:val="00E251ED"/>
    <w:rsid w:val="00E25B33"/>
    <w:rsid w:val="00E25C60"/>
    <w:rsid w:val="00E26053"/>
    <w:rsid w:val="00E26758"/>
    <w:rsid w:val="00E300E3"/>
    <w:rsid w:val="00E30324"/>
    <w:rsid w:val="00E30D9B"/>
    <w:rsid w:val="00E3128A"/>
    <w:rsid w:val="00E324C1"/>
    <w:rsid w:val="00E32AD7"/>
    <w:rsid w:val="00E3309F"/>
    <w:rsid w:val="00E3560E"/>
    <w:rsid w:val="00E359E9"/>
    <w:rsid w:val="00E37140"/>
    <w:rsid w:val="00E37193"/>
    <w:rsid w:val="00E37CBC"/>
    <w:rsid w:val="00E37CC1"/>
    <w:rsid w:val="00E409C1"/>
    <w:rsid w:val="00E40F5E"/>
    <w:rsid w:val="00E415E8"/>
    <w:rsid w:val="00E416FC"/>
    <w:rsid w:val="00E41CE7"/>
    <w:rsid w:val="00E42214"/>
    <w:rsid w:val="00E422FF"/>
    <w:rsid w:val="00E42848"/>
    <w:rsid w:val="00E42CF8"/>
    <w:rsid w:val="00E42D4A"/>
    <w:rsid w:val="00E432AF"/>
    <w:rsid w:val="00E43692"/>
    <w:rsid w:val="00E43AC4"/>
    <w:rsid w:val="00E44494"/>
    <w:rsid w:val="00E44920"/>
    <w:rsid w:val="00E45B37"/>
    <w:rsid w:val="00E45E54"/>
    <w:rsid w:val="00E463D5"/>
    <w:rsid w:val="00E4669C"/>
    <w:rsid w:val="00E46FDA"/>
    <w:rsid w:val="00E47078"/>
    <w:rsid w:val="00E47A1E"/>
    <w:rsid w:val="00E50262"/>
    <w:rsid w:val="00E50712"/>
    <w:rsid w:val="00E51F1C"/>
    <w:rsid w:val="00E52598"/>
    <w:rsid w:val="00E525AB"/>
    <w:rsid w:val="00E52BC8"/>
    <w:rsid w:val="00E52FA6"/>
    <w:rsid w:val="00E54034"/>
    <w:rsid w:val="00E553A5"/>
    <w:rsid w:val="00E55F34"/>
    <w:rsid w:val="00E56454"/>
    <w:rsid w:val="00E56D39"/>
    <w:rsid w:val="00E57EEC"/>
    <w:rsid w:val="00E601E9"/>
    <w:rsid w:val="00E60AF7"/>
    <w:rsid w:val="00E61181"/>
    <w:rsid w:val="00E615DE"/>
    <w:rsid w:val="00E615FD"/>
    <w:rsid w:val="00E61678"/>
    <w:rsid w:val="00E6194E"/>
    <w:rsid w:val="00E61D87"/>
    <w:rsid w:val="00E62D84"/>
    <w:rsid w:val="00E63C7B"/>
    <w:rsid w:val="00E64099"/>
    <w:rsid w:val="00E64120"/>
    <w:rsid w:val="00E65A79"/>
    <w:rsid w:val="00E65C68"/>
    <w:rsid w:val="00E700D9"/>
    <w:rsid w:val="00E70A3C"/>
    <w:rsid w:val="00E70C63"/>
    <w:rsid w:val="00E72680"/>
    <w:rsid w:val="00E72694"/>
    <w:rsid w:val="00E72B34"/>
    <w:rsid w:val="00E736CD"/>
    <w:rsid w:val="00E7391A"/>
    <w:rsid w:val="00E745B7"/>
    <w:rsid w:val="00E74CB1"/>
    <w:rsid w:val="00E750EC"/>
    <w:rsid w:val="00E75A44"/>
    <w:rsid w:val="00E76018"/>
    <w:rsid w:val="00E76852"/>
    <w:rsid w:val="00E768C2"/>
    <w:rsid w:val="00E80E78"/>
    <w:rsid w:val="00E82938"/>
    <w:rsid w:val="00E844D0"/>
    <w:rsid w:val="00E84DA3"/>
    <w:rsid w:val="00E8524B"/>
    <w:rsid w:val="00E85EF5"/>
    <w:rsid w:val="00E85F04"/>
    <w:rsid w:val="00E86AA6"/>
    <w:rsid w:val="00E86C0D"/>
    <w:rsid w:val="00E871B1"/>
    <w:rsid w:val="00E876DE"/>
    <w:rsid w:val="00E877F8"/>
    <w:rsid w:val="00E87967"/>
    <w:rsid w:val="00E87DF8"/>
    <w:rsid w:val="00E90059"/>
    <w:rsid w:val="00E90C0F"/>
    <w:rsid w:val="00E9147D"/>
    <w:rsid w:val="00E918DD"/>
    <w:rsid w:val="00E919BA"/>
    <w:rsid w:val="00E9258F"/>
    <w:rsid w:val="00E93869"/>
    <w:rsid w:val="00E9398C"/>
    <w:rsid w:val="00E93BA0"/>
    <w:rsid w:val="00E9419C"/>
    <w:rsid w:val="00E9479E"/>
    <w:rsid w:val="00E94A47"/>
    <w:rsid w:val="00E95CD4"/>
    <w:rsid w:val="00E96004"/>
    <w:rsid w:val="00E9695E"/>
    <w:rsid w:val="00E96B47"/>
    <w:rsid w:val="00E9716A"/>
    <w:rsid w:val="00E9791F"/>
    <w:rsid w:val="00E97B6F"/>
    <w:rsid w:val="00E97DDD"/>
    <w:rsid w:val="00EA0A9F"/>
    <w:rsid w:val="00EA1022"/>
    <w:rsid w:val="00EA104A"/>
    <w:rsid w:val="00EA1099"/>
    <w:rsid w:val="00EA16D9"/>
    <w:rsid w:val="00EA1AA2"/>
    <w:rsid w:val="00EA1B94"/>
    <w:rsid w:val="00EA25B4"/>
    <w:rsid w:val="00EA2BE7"/>
    <w:rsid w:val="00EA2D6F"/>
    <w:rsid w:val="00EA3D4E"/>
    <w:rsid w:val="00EA4658"/>
    <w:rsid w:val="00EA55D0"/>
    <w:rsid w:val="00EA5FC2"/>
    <w:rsid w:val="00EA7863"/>
    <w:rsid w:val="00EA7928"/>
    <w:rsid w:val="00EA7C92"/>
    <w:rsid w:val="00EB01FC"/>
    <w:rsid w:val="00EB1808"/>
    <w:rsid w:val="00EB2648"/>
    <w:rsid w:val="00EB2703"/>
    <w:rsid w:val="00EB3AD2"/>
    <w:rsid w:val="00EB3EAF"/>
    <w:rsid w:val="00EB4B76"/>
    <w:rsid w:val="00EB4DF4"/>
    <w:rsid w:val="00EB5466"/>
    <w:rsid w:val="00EB5AB0"/>
    <w:rsid w:val="00EB5BE2"/>
    <w:rsid w:val="00EB5EA3"/>
    <w:rsid w:val="00EB5FB8"/>
    <w:rsid w:val="00EB6655"/>
    <w:rsid w:val="00EB6F96"/>
    <w:rsid w:val="00EB71F8"/>
    <w:rsid w:val="00EC2575"/>
    <w:rsid w:val="00EC276B"/>
    <w:rsid w:val="00EC2805"/>
    <w:rsid w:val="00EC2B54"/>
    <w:rsid w:val="00EC2F3C"/>
    <w:rsid w:val="00EC32CA"/>
    <w:rsid w:val="00EC38DD"/>
    <w:rsid w:val="00EC4184"/>
    <w:rsid w:val="00EC44FB"/>
    <w:rsid w:val="00EC5495"/>
    <w:rsid w:val="00EC5882"/>
    <w:rsid w:val="00EC5AAE"/>
    <w:rsid w:val="00EC5D6D"/>
    <w:rsid w:val="00EC72E6"/>
    <w:rsid w:val="00EC78C3"/>
    <w:rsid w:val="00EC7EB9"/>
    <w:rsid w:val="00ED0B2F"/>
    <w:rsid w:val="00ED0D10"/>
    <w:rsid w:val="00ED1A48"/>
    <w:rsid w:val="00ED1AC3"/>
    <w:rsid w:val="00ED2C70"/>
    <w:rsid w:val="00ED2CA6"/>
    <w:rsid w:val="00ED323D"/>
    <w:rsid w:val="00ED46D4"/>
    <w:rsid w:val="00ED4E0B"/>
    <w:rsid w:val="00ED61B9"/>
    <w:rsid w:val="00ED6303"/>
    <w:rsid w:val="00ED65C1"/>
    <w:rsid w:val="00ED69D0"/>
    <w:rsid w:val="00ED7217"/>
    <w:rsid w:val="00EE1D4E"/>
    <w:rsid w:val="00EE2F90"/>
    <w:rsid w:val="00EE3070"/>
    <w:rsid w:val="00EE3563"/>
    <w:rsid w:val="00EE3C7E"/>
    <w:rsid w:val="00EE3CA8"/>
    <w:rsid w:val="00EE3CFE"/>
    <w:rsid w:val="00EE6F77"/>
    <w:rsid w:val="00EE704A"/>
    <w:rsid w:val="00EF1063"/>
    <w:rsid w:val="00EF1852"/>
    <w:rsid w:val="00EF19DF"/>
    <w:rsid w:val="00EF2424"/>
    <w:rsid w:val="00EF2E86"/>
    <w:rsid w:val="00EF3067"/>
    <w:rsid w:val="00EF37C6"/>
    <w:rsid w:val="00EF40B5"/>
    <w:rsid w:val="00EF4A69"/>
    <w:rsid w:val="00EF56F5"/>
    <w:rsid w:val="00EF59A1"/>
    <w:rsid w:val="00EF5A5C"/>
    <w:rsid w:val="00EF616C"/>
    <w:rsid w:val="00EF65CE"/>
    <w:rsid w:val="00EF7738"/>
    <w:rsid w:val="00EF78A5"/>
    <w:rsid w:val="00EF7E31"/>
    <w:rsid w:val="00EF7FE0"/>
    <w:rsid w:val="00F00159"/>
    <w:rsid w:val="00F03092"/>
    <w:rsid w:val="00F03930"/>
    <w:rsid w:val="00F04792"/>
    <w:rsid w:val="00F04924"/>
    <w:rsid w:val="00F06BC8"/>
    <w:rsid w:val="00F06CE3"/>
    <w:rsid w:val="00F110B3"/>
    <w:rsid w:val="00F11BEC"/>
    <w:rsid w:val="00F12329"/>
    <w:rsid w:val="00F126D9"/>
    <w:rsid w:val="00F12760"/>
    <w:rsid w:val="00F12EA2"/>
    <w:rsid w:val="00F145D2"/>
    <w:rsid w:val="00F1467F"/>
    <w:rsid w:val="00F1477A"/>
    <w:rsid w:val="00F15D21"/>
    <w:rsid w:val="00F165D1"/>
    <w:rsid w:val="00F168B3"/>
    <w:rsid w:val="00F16905"/>
    <w:rsid w:val="00F16ECB"/>
    <w:rsid w:val="00F175FB"/>
    <w:rsid w:val="00F17F69"/>
    <w:rsid w:val="00F209DE"/>
    <w:rsid w:val="00F20F9A"/>
    <w:rsid w:val="00F2203C"/>
    <w:rsid w:val="00F22529"/>
    <w:rsid w:val="00F226DD"/>
    <w:rsid w:val="00F227B3"/>
    <w:rsid w:val="00F22B98"/>
    <w:rsid w:val="00F2327B"/>
    <w:rsid w:val="00F2368F"/>
    <w:rsid w:val="00F2369A"/>
    <w:rsid w:val="00F239F1"/>
    <w:rsid w:val="00F23C3D"/>
    <w:rsid w:val="00F23ECB"/>
    <w:rsid w:val="00F249F7"/>
    <w:rsid w:val="00F24F0D"/>
    <w:rsid w:val="00F2524B"/>
    <w:rsid w:val="00F26056"/>
    <w:rsid w:val="00F2657C"/>
    <w:rsid w:val="00F26807"/>
    <w:rsid w:val="00F268B1"/>
    <w:rsid w:val="00F26C10"/>
    <w:rsid w:val="00F26F67"/>
    <w:rsid w:val="00F304A5"/>
    <w:rsid w:val="00F30509"/>
    <w:rsid w:val="00F306B5"/>
    <w:rsid w:val="00F30888"/>
    <w:rsid w:val="00F30ABD"/>
    <w:rsid w:val="00F30D6A"/>
    <w:rsid w:val="00F30F55"/>
    <w:rsid w:val="00F31FF4"/>
    <w:rsid w:val="00F32185"/>
    <w:rsid w:val="00F322C3"/>
    <w:rsid w:val="00F32BD9"/>
    <w:rsid w:val="00F334B7"/>
    <w:rsid w:val="00F33FCE"/>
    <w:rsid w:val="00F341F6"/>
    <w:rsid w:val="00F34483"/>
    <w:rsid w:val="00F347A4"/>
    <w:rsid w:val="00F3485F"/>
    <w:rsid w:val="00F35627"/>
    <w:rsid w:val="00F359B3"/>
    <w:rsid w:val="00F37139"/>
    <w:rsid w:val="00F37832"/>
    <w:rsid w:val="00F401D5"/>
    <w:rsid w:val="00F401FA"/>
    <w:rsid w:val="00F40CD8"/>
    <w:rsid w:val="00F41459"/>
    <w:rsid w:val="00F417F4"/>
    <w:rsid w:val="00F41AB2"/>
    <w:rsid w:val="00F41ADB"/>
    <w:rsid w:val="00F42A00"/>
    <w:rsid w:val="00F42F6A"/>
    <w:rsid w:val="00F42FEE"/>
    <w:rsid w:val="00F438FE"/>
    <w:rsid w:val="00F43DE6"/>
    <w:rsid w:val="00F43E18"/>
    <w:rsid w:val="00F45065"/>
    <w:rsid w:val="00F45FF8"/>
    <w:rsid w:val="00F460FA"/>
    <w:rsid w:val="00F4631D"/>
    <w:rsid w:val="00F5086A"/>
    <w:rsid w:val="00F51121"/>
    <w:rsid w:val="00F51405"/>
    <w:rsid w:val="00F51C9D"/>
    <w:rsid w:val="00F52F5B"/>
    <w:rsid w:val="00F52FB1"/>
    <w:rsid w:val="00F5342F"/>
    <w:rsid w:val="00F536BE"/>
    <w:rsid w:val="00F53CEE"/>
    <w:rsid w:val="00F5447B"/>
    <w:rsid w:val="00F54549"/>
    <w:rsid w:val="00F5626C"/>
    <w:rsid w:val="00F5628B"/>
    <w:rsid w:val="00F56D5F"/>
    <w:rsid w:val="00F56E64"/>
    <w:rsid w:val="00F6025D"/>
    <w:rsid w:val="00F6068B"/>
    <w:rsid w:val="00F614AD"/>
    <w:rsid w:val="00F61588"/>
    <w:rsid w:val="00F61591"/>
    <w:rsid w:val="00F61657"/>
    <w:rsid w:val="00F619E2"/>
    <w:rsid w:val="00F61AEB"/>
    <w:rsid w:val="00F630C5"/>
    <w:rsid w:val="00F63723"/>
    <w:rsid w:val="00F637C3"/>
    <w:rsid w:val="00F6386A"/>
    <w:rsid w:val="00F638BF"/>
    <w:rsid w:val="00F63D92"/>
    <w:rsid w:val="00F64150"/>
    <w:rsid w:val="00F648DD"/>
    <w:rsid w:val="00F66AFB"/>
    <w:rsid w:val="00F6710C"/>
    <w:rsid w:val="00F678B6"/>
    <w:rsid w:val="00F67F82"/>
    <w:rsid w:val="00F7058B"/>
    <w:rsid w:val="00F71753"/>
    <w:rsid w:val="00F72045"/>
    <w:rsid w:val="00F7303D"/>
    <w:rsid w:val="00F73773"/>
    <w:rsid w:val="00F74125"/>
    <w:rsid w:val="00F751E0"/>
    <w:rsid w:val="00F753F8"/>
    <w:rsid w:val="00F75546"/>
    <w:rsid w:val="00F76364"/>
    <w:rsid w:val="00F7689F"/>
    <w:rsid w:val="00F7755E"/>
    <w:rsid w:val="00F77DB4"/>
    <w:rsid w:val="00F8271B"/>
    <w:rsid w:val="00F83821"/>
    <w:rsid w:val="00F83854"/>
    <w:rsid w:val="00F838F8"/>
    <w:rsid w:val="00F83D8B"/>
    <w:rsid w:val="00F85057"/>
    <w:rsid w:val="00F85147"/>
    <w:rsid w:val="00F86B7D"/>
    <w:rsid w:val="00F87096"/>
    <w:rsid w:val="00F90EA1"/>
    <w:rsid w:val="00F91893"/>
    <w:rsid w:val="00F91DF3"/>
    <w:rsid w:val="00F91E13"/>
    <w:rsid w:val="00F9213E"/>
    <w:rsid w:val="00F92E88"/>
    <w:rsid w:val="00F93D47"/>
    <w:rsid w:val="00F94293"/>
    <w:rsid w:val="00F94E76"/>
    <w:rsid w:val="00F971B5"/>
    <w:rsid w:val="00F973B3"/>
    <w:rsid w:val="00F9779A"/>
    <w:rsid w:val="00F97CBD"/>
    <w:rsid w:val="00FA0B99"/>
    <w:rsid w:val="00FA1975"/>
    <w:rsid w:val="00FA1CB9"/>
    <w:rsid w:val="00FA24DF"/>
    <w:rsid w:val="00FA250B"/>
    <w:rsid w:val="00FA2B97"/>
    <w:rsid w:val="00FA2D3A"/>
    <w:rsid w:val="00FA3786"/>
    <w:rsid w:val="00FA3DB2"/>
    <w:rsid w:val="00FA3E39"/>
    <w:rsid w:val="00FA42FC"/>
    <w:rsid w:val="00FA4670"/>
    <w:rsid w:val="00FA4840"/>
    <w:rsid w:val="00FA48FD"/>
    <w:rsid w:val="00FA525B"/>
    <w:rsid w:val="00FA5765"/>
    <w:rsid w:val="00FA57C3"/>
    <w:rsid w:val="00FA6357"/>
    <w:rsid w:val="00FA67F4"/>
    <w:rsid w:val="00FA68E4"/>
    <w:rsid w:val="00FA75C8"/>
    <w:rsid w:val="00FA7EC2"/>
    <w:rsid w:val="00FB09E2"/>
    <w:rsid w:val="00FB11A7"/>
    <w:rsid w:val="00FB16DE"/>
    <w:rsid w:val="00FB21EE"/>
    <w:rsid w:val="00FB2B6E"/>
    <w:rsid w:val="00FB32E5"/>
    <w:rsid w:val="00FB34AE"/>
    <w:rsid w:val="00FB3604"/>
    <w:rsid w:val="00FB3EE7"/>
    <w:rsid w:val="00FB40AE"/>
    <w:rsid w:val="00FB467E"/>
    <w:rsid w:val="00FB59AE"/>
    <w:rsid w:val="00FB64A3"/>
    <w:rsid w:val="00FB69AB"/>
    <w:rsid w:val="00FB70FC"/>
    <w:rsid w:val="00FB7BAA"/>
    <w:rsid w:val="00FC0267"/>
    <w:rsid w:val="00FC04C9"/>
    <w:rsid w:val="00FC0C9F"/>
    <w:rsid w:val="00FC0D7F"/>
    <w:rsid w:val="00FC17F7"/>
    <w:rsid w:val="00FC1E45"/>
    <w:rsid w:val="00FC3592"/>
    <w:rsid w:val="00FC39DF"/>
    <w:rsid w:val="00FC3D55"/>
    <w:rsid w:val="00FC44A0"/>
    <w:rsid w:val="00FC44E2"/>
    <w:rsid w:val="00FC49BA"/>
    <w:rsid w:val="00FC4B99"/>
    <w:rsid w:val="00FC5119"/>
    <w:rsid w:val="00FC53C1"/>
    <w:rsid w:val="00FC54D0"/>
    <w:rsid w:val="00FC6871"/>
    <w:rsid w:val="00FC6ADB"/>
    <w:rsid w:val="00FC75AC"/>
    <w:rsid w:val="00FC77CF"/>
    <w:rsid w:val="00FC77D1"/>
    <w:rsid w:val="00FD1000"/>
    <w:rsid w:val="00FD195E"/>
    <w:rsid w:val="00FD1FDD"/>
    <w:rsid w:val="00FD30FB"/>
    <w:rsid w:val="00FD326D"/>
    <w:rsid w:val="00FD44D9"/>
    <w:rsid w:val="00FD5BC3"/>
    <w:rsid w:val="00FD5BF3"/>
    <w:rsid w:val="00FD5F7A"/>
    <w:rsid w:val="00FD657C"/>
    <w:rsid w:val="00FD6D15"/>
    <w:rsid w:val="00FD72EF"/>
    <w:rsid w:val="00FD7609"/>
    <w:rsid w:val="00FE0180"/>
    <w:rsid w:val="00FE088C"/>
    <w:rsid w:val="00FE08C4"/>
    <w:rsid w:val="00FE2379"/>
    <w:rsid w:val="00FE2A0B"/>
    <w:rsid w:val="00FE3A56"/>
    <w:rsid w:val="00FE5321"/>
    <w:rsid w:val="00FE5B59"/>
    <w:rsid w:val="00FE60E9"/>
    <w:rsid w:val="00FE6404"/>
    <w:rsid w:val="00FE6651"/>
    <w:rsid w:val="00FE6F32"/>
    <w:rsid w:val="00FE7163"/>
    <w:rsid w:val="00FE71EF"/>
    <w:rsid w:val="00FE77C6"/>
    <w:rsid w:val="00FF0018"/>
    <w:rsid w:val="00FF03CA"/>
    <w:rsid w:val="00FF0DE2"/>
    <w:rsid w:val="00FF23A7"/>
    <w:rsid w:val="00FF24DD"/>
    <w:rsid w:val="00FF2899"/>
    <w:rsid w:val="00FF30E3"/>
    <w:rsid w:val="00FF4A69"/>
    <w:rsid w:val="00FF5283"/>
    <w:rsid w:val="00FF669C"/>
    <w:rsid w:val="00FF67C8"/>
    <w:rsid w:val="00FF6892"/>
    <w:rsid w:val="00FF6AB5"/>
    <w:rsid w:val="00FF7D9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8F2C29"/>
  <w15:docId w15:val="{D60C3193-0238-4EBB-80C2-7DBB55B8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D9B"/>
    <w:pPr>
      <w:spacing w:before="180" w:after="60" w:line="312" w:lineRule="auto"/>
    </w:pPr>
    <w:rPr>
      <w:rFonts w:asciiTheme="minorHAnsi" w:hAnsiTheme="minorHAnsi"/>
      <w:sz w:val="22"/>
    </w:rPr>
  </w:style>
  <w:style w:type="paragraph" w:styleId="Heading1">
    <w:name w:val="heading 1"/>
    <w:basedOn w:val="Normal"/>
    <w:next w:val="Normal"/>
    <w:link w:val="Heading1Char"/>
    <w:uiPriority w:val="9"/>
    <w:qFormat/>
    <w:rsid w:val="003D74C9"/>
    <w:pPr>
      <w:keepNext/>
      <w:numPr>
        <w:numId w:val="3"/>
      </w:numPr>
      <w:spacing w:before="120" w:after="0"/>
      <w:ind w:left="567" w:hanging="567"/>
      <w:outlineLvl w:val="0"/>
    </w:pPr>
    <w:rPr>
      <w:rFonts w:eastAsiaTheme="minorHAnsi" w:cs="Arial"/>
      <w:b/>
      <w:bCs/>
      <w:color w:val="01653F"/>
      <w:kern w:val="32"/>
      <w:sz w:val="32"/>
      <w:szCs w:val="28"/>
      <w:lang w:val="en-US" w:eastAsia="en-US"/>
    </w:rPr>
  </w:style>
  <w:style w:type="paragraph" w:styleId="Heading2">
    <w:name w:val="heading 2"/>
    <w:basedOn w:val="Normal"/>
    <w:next w:val="Normal"/>
    <w:link w:val="Heading2Char"/>
    <w:uiPriority w:val="9"/>
    <w:qFormat/>
    <w:rsid w:val="002C1E62"/>
    <w:pPr>
      <w:keepNext/>
      <w:numPr>
        <w:ilvl w:val="1"/>
        <w:numId w:val="3"/>
      </w:numPr>
      <w:spacing w:before="120"/>
      <w:ind w:left="578" w:right="-46" w:hanging="578"/>
      <w:outlineLvl w:val="1"/>
    </w:pPr>
    <w:rPr>
      <w:rFonts w:eastAsiaTheme="minorHAnsi" w:cs="Arial"/>
      <w:b/>
      <w:bCs/>
      <w:iCs/>
      <w:color w:val="01653F"/>
      <w:sz w:val="26"/>
      <w:szCs w:val="22"/>
      <w:lang w:val="en-US" w:eastAsia="en-US"/>
    </w:rPr>
  </w:style>
  <w:style w:type="paragraph" w:styleId="Heading3">
    <w:name w:val="heading 3"/>
    <w:basedOn w:val="Normal"/>
    <w:next w:val="Normal"/>
    <w:link w:val="Heading3Char"/>
    <w:uiPriority w:val="9"/>
    <w:qFormat/>
    <w:rsid w:val="00D744EE"/>
    <w:pPr>
      <w:keepNext/>
      <w:spacing w:before="240" w:line="240" w:lineRule="auto"/>
      <w:outlineLvl w:val="2"/>
    </w:pPr>
    <w:rPr>
      <w:rFonts w:eastAsiaTheme="minorHAnsi" w:cs="Arial"/>
      <w:b/>
      <w:bCs/>
      <w:i/>
      <w:color w:val="B56012"/>
      <w:sz w:val="24"/>
      <w:szCs w:val="26"/>
      <w:lang w:val="en-US" w:eastAsia="en-US"/>
    </w:rPr>
  </w:style>
  <w:style w:type="paragraph" w:styleId="Heading4">
    <w:name w:val="heading 4"/>
    <w:basedOn w:val="Heading3"/>
    <w:next w:val="Normal"/>
    <w:link w:val="Heading4Char"/>
    <w:uiPriority w:val="9"/>
    <w:qFormat/>
    <w:rsid w:val="00F637C3"/>
    <w:pPr>
      <w:outlineLvl w:val="3"/>
    </w:pPr>
    <w:rPr>
      <w:b w:val="0"/>
      <w:sz w:val="22"/>
    </w:rPr>
  </w:style>
  <w:style w:type="paragraph" w:styleId="Heading5">
    <w:name w:val="heading 5"/>
    <w:basedOn w:val="Normal"/>
    <w:next w:val="Normal"/>
    <w:link w:val="Heading5Char"/>
    <w:uiPriority w:val="9"/>
    <w:qFormat/>
    <w:rsid w:val="006E7571"/>
    <w:pPr>
      <w:spacing w:before="120" w:after="0"/>
      <w:ind w:left="454" w:hanging="454"/>
      <w:outlineLvl w:val="4"/>
    </w:pPr>
    <w:rPr>
      <w:rFonts w:eastAsiaTheme="minorHAnsi" w:cs="Arial"/>
      <w:bCs/>
      <w:i/>
      <w:iCs/>
      <w:color w:val="016500"/>
      <w:szCs w:val="26"/>
      <w:lang w:val="en-US" w:eastAsia="en-US"/>
    </w:rPr>
  </w:style>
  <w:style w:type="paragraph" w:styleId="Heading6">
    <w:name w:val="heading 6"/>
    <w:basedOn w:val="Normal"/>
    <w:next w:val="Normal"/>
    <w:link w:val="Heading6Char"/>
    <w:uiPriority w:val="9"/>
    <w:qFormat/>
    <w:rsid w:val="003D74C9"/>
    <w:pPr>
      <w:numPr>
        <w:ilvl w:val="5"/>
        <w:numId w:val="3"/>
      </w:numPr>
      <w:spacing w:before="240"/>
      <w:outlineLvl w:val="5"/>
    </w:pPr>
    <w:rPr>
      <w:rFonts w:eastAsiaTheme="minorHAnsi" w:cs="Arial"/>
      <w:b/>
      <w:bCs/>
      <w:i/>
      <w:szCs w:val="22"/>
      <w:lang w:val="en-US" w:eastAsia="en-US"/>
    </w:rPr>
  </w:style>
  <w:style w:type="paragraph" w:styleId="Heading7">
    <w:name w:val="heading 7"/>
    <w:aliases w:val="App Lvl 1"/>
    <w:basedOn w:val="Normal"/>
    <w:next w:val="Normal"/>
    <w:link w:val="Heading7Char"/>
    <w:uiPriority w:val="9"/>
    <w:unhideWhenUsed/>
    <w:qFormat/>
    <w:rsid w:val="003D74C9"/>
    <w:pPr>
      <w:keepNext/>
      <w:keepLines/>
      <w:numPr>
        <w:ilvl w:val="6"/>
        <w:numId w:val="3"/>
      </w:numPr>
      <w:spacing w:before="200"/>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aliases w:val="App Lvl 2"/>
    <w:basedOn w:val="Normal"/>
    <w:next w:val="Normal"/>
    <w:link w:val="Heading8Char"/>
    <w:uiPriority w:val="9"/>
    <w:unhideWhenUsed/>
    <w:qFormat/>
    <w:rsid w:val="003D74C9"/>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aliases w:val="App Lvl 3"/>
    <w:basedOn w:val="Normal"/>
    <w:next w:val="Normal"/>
    <w:link w:val="Heading9Char"/>
    <w:uiPriority w:val="9"/>
    <w:unhideWhenUsed/>
    <w:qFormat/>
    <w:rsid w:val="003D74C9"/>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127F"/>
    <w:rPr>
      <w:i/>
      <w:iCs/>
    </w:rPr>
  </w:style>
  <w:style w:type="paragraph" w:styleId="TOC1">
    <w:name w:val="toc 1"/>
    <w:basedOn w:val="Normal"/>
    <w:next w:val="Normal"/>
    <w:autoRedefine/>
    <w:uiPriority w:val="39"/>
    <w:unhideWhenUsed/>
    <w:qFormat/>
    <w:rsid w:val="0075170C"/>
    <w:pPr>
      <w:spacing w:before="120" w:after="0"/>
      <w:ind w:left="567" w:hanging="567"/>
    </w:pPr>
    <w:rPr>
      <w:b/>
      <w:szCs w:val="22"/>
    </w:rPr>
  </w:style>
  <w:style w:type="paragraph" w:styleId="Subtitle">
    <w:name w:val="Subtitle"/>
    <w:basedOn w:val="Normal"/>
    <w:next w:val="Normal"/>
    <w:link w:val="SubtitleChar"/>
    <w:rsid w:val="00E74CB1"/>
    <w:pPr>
      <w:pBdr>
        <w:top w:val="double" w:sz="12" w:space="31" w:color="B66113"/>
        <w:bottom w:val="double" w:sz="12" w:space="1" w:color="B66113"/>
      </w:pBdr>
      <w:spacing w:before="120" w:after="120"/>
      <w:jc w:val="center"/>
    </w:pPr>
    <w:rPr>
      <w:rFonts w:cs="Arial"/>
      <w:b/>
      <w:color w:val="01653F"/>
      <w:spacing w:val="5"/>
      <w:sz w:val="48"/>
      <w:szCs w:val="48"/>
    </w:rPr>
  </w:style>
  <w:style w:type="character" w:customStyle="1" w:styleId="SubtitleChar">
    <w:name w:val="Subtitle Char"/>
    <w:basedOn w:val="DefaultParagraphFont"/>
    <w:link w:val="Subtitle"/>
    <w:rsid w:val="00E74CB1"/>
    <w:rPr>
      <w:rFonts w:asciiTheme="minorHAnsi" w:hAnsiTheme="minorHAnsi" w:cs="Arial"/>
      <w:b/>
      <w:color w:val="01653F"/>
      <w:spacing w:val="5"/>
      <w:sz w:val="48"/>
      <w:szCs w:val="48"/>
    </w:rPr>
  </w:style>
  <w:style w:type="paragraph" w:styleId="Title">
    <w:name w:val="Title"/>
    <w:basedOn w:val="Normal"/>
    <w:next w:val="Normal"/>
    <w:link w:val="TitleChar"/>
    <w:rsid w:val="00E74CB1"/>
    <w:pPr>
      <w:pBdr>
        <w:top w:val="double" w:sz="12" w:space="31" w:color="B66113"/>
        <w:bottom w:val="double" w:sz="12" w:space="1" w:color="B66113"/>
      </w:pBdr>
      <w:spacing w:before="840" w:after="360"/>
      <w:contextualSpacing/>
      <w:jc w:val="center"/>
    </w:pPr>
    <w:rPr>
      <w:rFonts w:cs="Arial"/>
      <w:b/>
      <w:spacing w:val="5"/>
      <w:sz w:val="72"/>
      <w:szCs w:val="72"/>
    </w:rPr>
  </w:style>
  <w:style w:type="character" w:customStyle="1" w:styleId="TitleChar">
    <w:name w:val="Title Char"/>
    <w:basedOn w:val="DefaultParagraphFont"/>
    <w:link w:val="Title"/>
    <w:rsid w:val="00E74CB1"/>
    <w:rPr>
      <w:rFonts w:asciiTheme="minorHAnsi" w:hAnsiTheme="minorHAnsi" w:cs="Arial"/>
      <w:b/>
      <w:spacing w:val="5"/>
      <w:sz w:val="72"/>
      <w:szCs w:val="72"/>
    </w:rPr>
  </w:style>
  <w:style w:type="paragraph" w:customStyle="1" w:styleId="NormalBulletedrom">
    <w:name w:val="Normal Bulleted rom"/>
    <w:basedOn w:val="Normal"/>
    <w:rsid w:val="00287716"/>
    <w:pPr>
      <w:tabs>
        <w:tab w:val="left" w:pos="357"/>
      </w:tabs>
      <w:spacing w:before="0" w:after="0" w:line="276" w:lineRule="auto"/>
      <w:ind w:left="908" w:hanging="454"/>
    </w:pPr>
    <w:rPr>
      <w:szCs w:val="20"/>
    </w:rPr>
  </w:style>
  <w:style w:type="paragraph" w:styleId="TOC2">
    <w:name w:val="toc 2"/>
    <w:basedOn w:val="Normal"/>
    <w:next w:val="Normal"/>
    <w:autoRedefine/>
    <w:uiPriority w:val="39"/>
    <w:unhideWhenUsed/>
    <w:qFormat/>
    <w:rsid w:val="00926B56"/>
    <w:pPr>
      <w:tabs>
        <w:tab w:val="left" w:pos="1760"/>
        <w:tab w:val="right" w:leader="dot" w:pos="9016"/>
      </w:tabs>
      <w:spacing w:before="0" w:after="0"/>
      <w:ind w:left="1134" w:hanging="567"/>
    </w:pPr>
    <w:rPr>
      <w:szCs w:val="22"/>
    </w:rPr>
  </w:style>
  <w:style w:type="paragraph" w:styleId="Quote">
    <w:name w:val="Quote"/>
    <w:basedOn w:val="Normal"/>
    <w:next w:val="Normal"/>
    <w:link w:val="QuoteChar"/>
    <w:uiPriority w:val="29"/>
    <w:qFormat/>
    <w:rsid w:val="00AA7F29"/>
    <w:pPr>
      <w:ind w:left="567"/>
    </w:pPr>
    <w:rPr>
      <w:rFonts w:eastAsiaTheme="minorHAnsi" w:cs="Arial"/>
      <w:i/>
      <w:iCs/>
      <w:color w:val="000000" w:themeColor="text1"/>
      <w:szCs w:val="20"/>
      <w:lang w:val="en-US"/>
    </w:rPr>
  </w:style>
  <w:style w:type="character" w:customStyle="1" w:styleId="QuoteChar">
    <w:name w:val="Quote Char"/>
    <w:basedOn w:val="DefaultParagraphFont"/>
    <w:link w:val="Quote"/>
    <w:uiPriority w:val="29"/>
    <w:rsid w:val="00AA7F29"/>
    <w:rPr>
      <w:rFonts w:asciiTheme="minorHAnsi" w:eastAsiaTheme="minorHAnsi" w:hAnsiTheme="minorHAnsi" w:cs="Arial"/>
      <w:i/>
      <w:iCs/>
      <w:color w:val="000000" w:themeColor="text1"/>
      <w:sz w:val="22"/>
      <w:lang w:val="en-US"/>
    </w:rPr>
  </w:style>
  <w:style w:type="character" w:styleId="SubtleReference">
    <w:name w:val="Subtle Reference"/>
    <w:basedOn w:val="DefaultParagraphFont"/>
    <w:uiPriority w:val="31"/>
    <w:qFormat/>
    <w:rsid w:val="00AF127F"/>
    <w:rPr>
      <w:smallCaps/>
      <w:color w:val="C0504D" w:themeColor="accent2"/>
      <w:u w:val="single"/>
    </w:rPr>
  </w:style>
  <w:style w:type="character" w:styleId="BookTitle">
    <w:name w:val="Book Title"/>
    <w:basedOn w:val="DefaultParagraphFont"/>
    <w:uiPriority w:val="33"/>
    <w:qFormat/>
    <w:rsid w:val="00AF127F"/>
    <w:rPr>
      <w:b/>
      <w:bCs/>
      <w:smallCaps/>
      <w:spacing w:val="5"/>
    </w:rPr>
  </w:style>
  <w:style w:type="table" w:styleId="TableGrid">
    <w:name w:val="Table Grid"/>
    <w:basedOn w:val="TableNormal"/>
    <w:uiPriority w:val="39"/>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D74C9"/>
    <w:pPr>
      <w:keepLines/>
      <w:pBdr>
        <w:bottom w:val="single" w:sz="4" w:space="1" w:color="auto"/>
      </w:pBdr>
      <w:spacing w:before="480" w:line="276" w:lineRule="auto"/>
      <w:outlineLvl w:val="9"/>
    </w:pPr>
    <w:rPr>
      <w:rFonts w:asciiTheme="majorHAnsi" w:eastAsiaTheme="majorEastAsia" w:hAnsiTheme="majorHAnsi" w:cstheme="majorBidi"/>
      <w:color w:val="365F91" w:themeColor="accent1" w:themeShade="BF"/>
      <w:kern w:val="0"/>
      <w:sz w:val="24"/>
      <w:lang w:eastAsia="ja-JP"/>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uiPriority w:val="99"/>
    <w:rsid w:val="00AF127F"/>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AF127F"/>
    <w:rPr>
      <w:rFonts w:ascii="Tahoma" w:hAnsi="Tahoma" w:cs="Tahoma"/>
      <w:sz w:val="16"/>
      <w:szCs w:val="16"/>
    </w:rPr>
  </w:style>
  <w:style w:type="paragraph" w:styleId="Header">
    <w:name w:val="header"/>
    <w:basedOn w:val="Normal"/>
    <w:link w:val="HeaderChar"/>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link w:val="CaptionChar"/>
    <w:uiPriority w:val="35"/>
    <w:unhideWhenUsed/>
    <w:qFormat/>
    <w:rsid w:val="00B76E12"/>
    <w:pPr>
      <w:keepNext/>
      <w:spacing w:before="240" w:after="0"/>
    </w:pPr>
    <w:rPr>
      <w:rFonts w:eastAsiaTheme="minorHAnsi" w:cs="Arial"/>
      <w:i/>
      <w:sz w:val="20"/>
      <w:szCs w:val="22"/>
      <w:lang w:eastAsia="en-US"/>
    </w:rPr>
  </w:style>
  <w:style w:type="paragraph" w:customStyle="1" w:styleId="Default">
    <w:name w:val="Default"/>
    <w:rsid w:val="00AF127F"/>
    <w:pPr>
      <w:autoSpaceDE w:val="0"/>
      <w:autoSpaceDN w:val="0"/>
      <w:adjustRightInd w:val="0"/>
    </w:pPr>
    <w:rPr>
      <w:rFonts w:ascii="Calibri" w:hAnsi="Calibri" w:cs="Calibri"/>
      <w:color w:val="000000"/>
    </w:rPr>
  </w:style>
  <w:style w:type="paragraph" w:styleId="TOC3">
    <w:name w:val="toc 3"/>
    <w:basedOn w:val="Normal"/>
    <w:next w:val="Normal"/>
    <w:autoRedefine/>
    <w:uiPriority w:val="39"/>
    <w:qFormat/>
    <w:rsid w:val="00253B22"/>
    <w:pPr>
      <w:tabs>
        <w:tab w:val="right" w:leader="dot" w:pos="9016"/>
      </w:tabs>
      <w:spacing w:before="0" w:after="0"/>
      <w:ind w:left="567"/>
    </w:pPr>
    <w:rPr>
      <w:i/>
      <w:szCs w:val="22"/>
    </w:rPr>
  </w:style>
  <w:style w:type="character" w:styleId="PageNumber">
    <w:name w:val="page number"/>
    <w:basedOn w:val="DefaultParagraphFont"/>
    <w:rsid w:val="006C0049"/>
  </w:style>
  <w:style w:type="paragraph" w:styleId="BodyText">
    <w:name w:val="Body Text"/>
    <w:basedOn w:val="Normal"/>
    <w:link w:val="BodyTextChar"/>
    <w:uiPriority w:val="99"/>
    <w:rsid w:val="006C0049"/>
    <w:pPr>
      <w:spacing w:after="120"/>
    </w:pPr>
    <w:rPr>
      <w:rFonts w:eastAsiaTheme="minorHAnsi" w:cs="Arial"/>
      <w:szCs w:val="20"/>
    </w:rPr>
  </w:style>
  <w:style w:type="character" w:customStyle="1" w:styleId="BodyTextChar">
    <w:name w:val="Body Text Char"/>
    <w:basedOn w:val="DefaultParagraphFont"/>
    <w:link w:val="BodyText"/>
    <w:uiPriority w:val="99"/>
    <w:rsid w:val="006C0049"/>
    <w:rPr>
      <w:rFonts w:ascii="Arial" w:hAnsi="Arial"/>
      <w:sz w:val="24"/>
    </w:rPr>
  </w:style>
  <w:style w:type="paragraph" w:customStyle="1" w:styleId="departmentalnormal">
    <w:name w:val="departmentalnormal"/>
    <w:basedOn w:val="Normal"/>
    <w:rsid w:val="006C0049"/>
    <w:pPr>
      <w:spacing w:before="100" w:beforeAutospacing="1" w:after="100" w:afterAutospacing="1"/>
    </w:pPr>
    <w:rPr>
      <w:rFonts w:eastAsiaTheme="minorHAnsi" w:cs="Arial"/>
      <w:szCs w:val="22"/>
    </w:rPr>
  </w:style>
  <w:style w:type="paragraph" w:styleId="BodyText3">
    <w:name w:val="Body Text 3"/>
    <w:basedOn w:val="Normal"/>
    <w:link w:val="BodyText3Char"/>
    <w:rsid w:val="006C0049"/>
    <w:pPr>
      <w:spacing w:after="120"/>
    </w:pPr>
    <w:rPr>
      <w:rFonts w:eastAsiaTheme="minorHAnsi" w:cs="Arial"/>
      <w:sz w:val="16"/>
      <w:szCs w:val="16"/>
    </w:rPr>
  </w:style>
  <w:style w:type="character" w:customStyle="1" w:styleId="BodyText3Char">
    <w:name w:val="Body Text 3 Char"/>
    <w:basedOn w:val="DefaultParagraphFont"/>
    <w:link w:val="BodyText3"/>
    <w:rsid w:val="006C0049"/>
    <w:rPr>
      <w:rFonts w:ascii="Arial" w:hAnsi="Arial"/>
      <w:sz w:val="16"/>
      <w:szCs w:val="16"/>
    </w:rPr>
  </w:style>
  <w:style w:type="paragraph" w:styleId="BodyTextIndent">
    <w:name w:val="Body Text Indent"/>
    <w:basedOn w:val="Normal"/>
    <w:link w:val="BodyTextIndentChar"/>
    <w:rsid w:val="006C0049"/>
    <w:pPr>
      <w:spacing w:after="120"/>
      <w:ind w:left="283"/>
    </w:pPr>
    <w:rPr>
      <w:rFonts w:eastAsiaTheme="minorHAnsi" w:cs="Arial"/>
      <w:szCs w:val="20"/>
    </w:rPr>
  </w:style>
  <w:style w:type="character" w:customStyle="1" w:styleId="BodyTextIndentChar">
    <w:name w:val="Body Text Indent Char"/>
    <w:basedOn w:val="DefaultParagraphFont"/>
    <w:link w:val="BodyTextIndent"/>
    <w:rsid w:val="006C0049"/>
    <w:rPr>
      <w:rFonts w:ascii="Arial" w:hAnsi="Arial"/>
      <w:sz w:val="24"/>
    </w:rPr>
  </w:style>
  <w:style w:type="paragraph" w:customStyle="1" w:styleId="DepartmentalNormal0">
    <w:name w:val="Departmental Normal"/>
    <w:basedOn w:val="Normal"/>
    <w:rsid w:val="006C0049"/>
    <w:rPr>
      <w:rFonts w:eastAsiaTheme="minorHAnsi" w:cs="Arial"/>
      <w:szCs w:val="20"/>
    </w:rPr>
  </w:style>
  <w:style w:type="paragraph" w:customStyle="1" w:styleId="CharCharChar">
    <w:name w:val="Char Char Char"/>
    <w:basedOn w:val="Normal"/>
    <w:rsid w:val="006C0049"/>
    <w:rPr>
      <w:rFonts w:eastAsiaTheme="minorHAnsi" w:cs="Arial"/>
      <w:szCs w:val="22"/>
      <w:lang w:eastAsia="en-US"/>
    </w:rPr>
  </w:style>
  <w:style w:type="paragraph" w:customStyle="1" w:styleId="NormalBulleteddash">
    <w:name w:val="Normal Bulleted dash"/>
    <w:basedOn w:val="Normal"/>
    <w:rsid w:val="00F20F9A"/>
    <w:pPr>
      <w:numPr>
        <w:ilvl w:val="1"/>
        <w:numId w:val="32"/>
      </w:numPr>
      <w:spacing w:before="0" w:after="0"/>
      <w:ind w:left="714" w:hanging="357"/>
      <w:contextualSpacing/>
    </w:pPr>
    <w:rPr>
      <w:rFonts w:eastAsiaTheme="minorHAnsi" w:cs="Arial"/>
      <w:color w:val="000000" w:themeColor="text1"/>
      <w:szCs w:val="22"/>
    </w:rPr>
  </w:style>
  <w:style w:type="character" w:customStyle="1" w:styleId="source-copyright1">
    <w:name w:val="source-copyright1"/>
    <w:basedOn w:val="DefaultParagraphFont"/>
    <w:rsid w:val="006C0049"/>
    <w:rPr>
      <w:sz w:val="20"/>
      <w:szCs w:val="20"/>
    </w:rPr>
  </w:style>
  <w:style w:type="paragraph" w:customStyle="1" w:styleId="NormalBulleted">
    <w:name w:val="Normal Bulleted"/>
    <w:basedOn w:val="Normal"/>
    <w:link w:val="NormalBulletedChar"/>
    <w:qFormat/>
    <w:rsid w:val="00DA5B19"/>
    <w:pPr>
      <w:numPr>
        <w:numId w:val="5"/>
      </w:numPr>
      <w:spacing w:before="60"/>
      <w:contextualSpacing/>
    </w:pPr>
    <w:rPr>
      <w:rFonts w:eastAsiaTheme="minorHAnsi" w:cs="Arial"/>
      <w:color w:val="000000" w:themeColor="text1"/>
      <w:szCs w:val="22"/>
    </w:rPr>
  </w:style>
  <w:style w:type="character" w:customStyle="1" w:styleId="NormalBulletedChar">
    <w:name w:val="Normal Bulleted Char"/>
    <w:basedOn w:val="DefaultParagraphFont"/>
    <w:link w:val="NormalBulleted"/>
    <w:rsid w:val="00DA5B19"/>
    <w:rPr>
      <w:rFonts w:asciiTheme="minorHAnsi" w:eastAsiaTheme="minorHAnsi" w:hAnsiTheme="minorHAnsi" w:cs="Arial"/>
      <w:color w:val="000000" w:themeColor="text1"/>
      <w:sz w:val="22"/>
      <w:szCs w:val="22"/>
    </w:rPr>
  </w:style>
  <w:style w:type="character" w:customStyle="1" w:styleId="Heading7Char">
    <w:name w:val="Heading 7 Char"/>
    <w:aliases w:val="App Lvl 1 Char"/>
    <w:basedOn w:val="DefaultParagraphFont"/>
    <w:link w:val="Heading7"/>
    <w:uiPriority w:val="9"/>
    <w:rsid w:val="003D74C9"/>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aliases w:val="App Lvl 2 Char"/>
    <w:basedOn w:val="DefaultParagraphFont"/>
    <w:link w:val="Heading8"/>
    <w:uiPriority w:val="9"/>
    <w:rsid w:val="003D74C9"/>
    <w:rPr>
      <w:rFonts w:asciiTheme="majorHAnsi" w:eastAsiaTheme="majorEastAsia" w:hAnsiTheme="majorHAnsi" w:cstheme="majorBidi"/>
      <w:color w:val="404040" w:themeColor="text1" w:themeTint="BF"/>
      <w:sz w:val="20"/>
      <w:szCs w:val="20"/>
      <w:lang w:val="en-US" w:eastAsia="en-US"/>
    </w:rPr>
  </w:style>
  <w:style w:type="character" w:customStyle="1" w:styleId="Heading9Char">
    <w:name w:val="Heading 9 Char"/>
    <w:aliases w:val="App Lvl 3 Char"/>
    <w:basedOn w:val="DefaultParagraphFont"/>
    <w:link w:val="Heading9"/>
    <w:uiPriority w:val="9"/>
    <w:rsid w:val="003D74C9"/>
    <w:rPr>
      <w:rFonts w:asciiTheme="majorHAnsi" w:eastAsiaTheme="majorEastAsia" w:hAnsiTheme="majorHAnsi" w:cstheme="majorBidi"/>
      <w:i/>
      <w:iCs/>
      <w:color w:val="404040" w:themeColor="text1" w:themeTint="BF"/>
      <w:sz w:val="20"/>
      <w:szCs w:val="20"/>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rsid w:val="003C2F8E"/>
    <w:pPr>
      <w:spacing w:after="120"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rsid w:val="003C2F8E"/>
    <w:rPr>
      <w:sz w:val="24"/>
      <w:szCs w:val="24"/>
      <w:lang w:val="en-US" w:eastAsia="en-US"/>
    </w:rPr>
  </w:style>
  <w:style w:type="paragraph" w:customStyle="1" w:styleId="Tabletext">
    <w:name w:val="Table text"/>
    <w:basedOn w:val="Normal"/>
    <w:next w:val="Normal"/>
    <w:link w:val="TabletextChar"/>
    <w:qFormat/>
    <w:rsid w:val="009669AE"/>
    <w:pPr>
      <w:spacing w:before="40" w:after="0" w:line="264" w:lineRule="auto"/>
    </w:pPr>
    <w:rPr>
      <w:sz w:val="20"/>
    </w:rPr>
  </w:style>
  <w:style w:type="character" w:customStyle="1" w:styleId="TabletextChar">
    <w:name w:val="Table text Char"/>
    <w:basedOn w:val="DefaultParagraphFont"/>
    <w:link w:val="Tabletext"/>
    <w:rsid w:val="009669AE"/>
    <w:rPr>
      <w:rFonts w:asciiTheme="minorHAnsi" w:hAnsiTheme="minorHAnsi"/>
      <w:sz w:val="20"/>
    </w:rPr>
  </w:style>
  <w:style w:type="paragraph" w:customStyle="1" w:styleId="01Tableheaderrow">
    <w:name w:val="01. Table header row"/>
    <w:link w:val="01TableheaderrowChar"/>
    <w:qFormat/>
    <w:rsid w:val="00386D66"/>
    <w:pPr>
      <w:keepNext/>
      <w:spacing w:before="40"/>
    </w:pPr>
    <w:rPr>
      <w:rFonts w:ascii="Arial" w:eastAsiaTheme="minorHAnsi" w:hAnsi="Arial"/>
      <w:b/>
      <w:sz w:val="18"/>
      <w:szCs w:val="22"/>
      <w:lang w:eastAsia="en-US"/>
    </w:rPr>
  </w:style>
  <w:style w:type="character" w:customStyle="1" w:styleId="01TableheaderrowChar">
    <w:name w:val="01. Table header row Char"/>
    <w:basedOn w:val="TabletextChar"/>
    <w:link w:val="01Tableheaderrow"/>
    <w:rsid w:val="00386D66"/>
    <w:rPr>
      <w:rFonts w:ascii="Arial" w:eastAsiaTheme="minorHAnsi" w:hAnsi="Arial"/>
      <w:b/>
      <w:sz w:val="18"/>
      <w:szCs w:val="22"/>
      <w:lang w:eastAsia="en-US"/>
    </w:rPr>
  </w:style>
  <w:style w:type="character" w:styleId="FollowedHyperlink">
    <w:name w:val="FollowedHyperlink"/>
    <w:basedOn w:val="DefaultParagraphFont"/>
    <w:uiPriority w:val="99"/>
    <w:rsid w:val="009B5C97"/>
    <w:rPr>
      <w:color w:val="800080" w:themeColor="followedHyperlink"/>
      <w:u w:val="single"/>
    </w:rPr>
  </w:style>
  <w:style w:type="table" w:customStyle="1" w:styleId="TableGrid1">
    <w:name w:val="Table Grid1"/>
    <w:basedOn w:val="TableNormal"/>
    <w:next w:val="TableGrid"/>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Bulleted"/>
    <w:autoRedefine/>
    <w:rsid w:val="003D74C9"/>
    <w:pPr>
      <w:spacing w:before="0" w:after="0" w:line="240" w:lineRule="auto"/>
    </w:pPr>
    <w:rPr>
      <w:rFonts w:eastAsia="Times New Roman"/>
      <w:szCs w:val="24"/>
    </w:rPr>
  </w:style>
  <w:style w:type="paragraph" w:customStyle="1" w:styleId="Bullet2">
    <w:name w:val="Bullet 2"/>
    <w:basedOn w:val="Normal"/>
    <w:rsid w:val="001D1C52"/>
    <w:pPr>
      <w:spacing w:before="120"/>
    </w:pPr>
    <w:rPr>
      <w:rFonts w:eastAsiaTheme="minorHAnsi" w:cs="Arial"/>
      <w:szCs w:val="22"/>
    </w:rPr>
  </w:style>
  <w:style w:type="paragraph" w:customStyle="1" w:styleId="Bullet3">
    <w:name w:val="Bullet 3"/>
    <w:basedOn w:val="Normal"/>
    <w:rsid w:val="001D1C52"/>
    <w:pPr>
      <w:numPr>
        <w:ilvl w:val="2"/>
        <w:numId w:val="1"/>
      </w:numPr>
      <w:spacing w:before="120"/>
      <w:ind w:left="1797" w:hanging="357"/>
    </w:pPr>
    <w:rPr>
      <w:rFonts w:eastAsiaTheme="minorHAnsi" w:cs="Arial"/>
      <w:szCs w:val="22"/>
    </w:rPr>
  </w:style>
  <w:style w:type="paragraph" w:styleId="TOC4">
    <w:name w:val="toc 4"/>
    <w:basedOn w:val="Normal"/>
    <w:next w:val="Normal"/>
    <w:autoRedefine/>
    <w:uiPriority w:val="39"/>
    <w:unhideWhenUsed/>
    <w:rsid w:val="00C56DF9"/>
    <w:pPr>
      <w:spacing w:before="0" w:after="0"/>
      <w:ind w:left="660"/>
    </w:pPr>
    <w:rPr>
      <w:sz w:val="18"/>
      <w:szCs w:val="18"/>
    </w:rPr>
  </w:style>
  <w:style w:type="paragraph" w:styleId="TOC5">
    <w:name w:val="toc 5"/>
    <w:basedOn w:val="Normal"/>
    <w:next w:val="Normal"/>
    <w:autoRedefine/>
    <w:uiPriority w:val="39"/>
    <w:unhideWhenUsed/>
    <w:rsid w:val="00C56DF9"/>
    <w:pPr>
      <w:spacing w:before="0" w:after="0"/>
      <w:ind w:left="880"/>
    </w:pPr>
    <w:rPr>
      <w:sz w:val="18"/>
      <w:szCs w:val="18"/>
    </w:rPr>
  </w:style>
  <w:style w:type="paragraph" w:styleId="TOC6">
    <w:name w:val="toc 6"/>
    <w:basedOn w:val="Normal"/>
    <w:next w:val="Normal"/>
    <w:autoRedefine/>
    <w:uiPriority w:val="39"/>
    <w:unhideWhenUsed/>
    <w:rsid w:val="00C56DF9"/>
    <w:pPr>
      <w:spacing w:before="0" w:after="0"/>
      <w:ind w:left="1100"/>
    </w:pPr>
    <w:rPr>
      <w:sz w:val="18"/>
      <w:szCs w:val="18"/>
    </w:rPr>
  </w:style>
  <w:style w:type="paragraph" w:styleId="TOC7">
    <w:name w:val="toc 7"/>
    <w:basedOn w:val="Normal"/>
    <w:next w:val="Normal"/>
    <w:autoRedefine/>
    <w:uiPriority w:val="39"/>
    <w:unhideWhenUsed/>
    <w:rsid w:val="00C56DF9"/>
    <w:pPr>
      <w:spacing w:before="0" w:after="0"/>
      <w:ind w:left="1320"/>
    </w:pPr>
    <w:rPr>
      <w:sz w:val="18"/>
      <w:szCs w:val="18"/>
    </w:rPr>
  </w:style>
  <w:style w:type="paragraph" w:styleId="TOC8">
    <w:name w:val="toc 8"/>
    <w:basedOn w:val="Normal"/>
    <w:next w:val="Normal"/>
    <w:autoRedefine/>
    <w:uiPriority w:val="39"/>
    <w:unhideWhenUsed/>
    <w:rsid w:val="00C56DF9"/>
    <w:pPr>
      <w:spacing w:before="0" w:after="0"/>
      <w:ind w:left="1540"/>
    </w:pPr>
    <w:rPr>
      <w:sz w:val="18"/>
      <w:szCs w:val="18"/>
    </w:rPr>
  </w:style>
  <w:style w:type="paragraph" w:styleId="TOC9">
    <w:name w:val="toc 9"/>
    <w:basedOn w:val="Normal"/>
    <w:next w:val="Normal"/>
    <w:autoRedefine/>
    <w:uiPriority w:val="39"/>
    <w:unhideWhenUsed/>
    <w:rsid w:val="00C56DF9"/>
    <w:pPr>
      <w:spacing w:before="0" w:after="0"/>
      <w:ind w:left="1760"/>
    </w:pPr>
    <w:rPr>
      <w:sz w:val="18"/>
      <w:szCs w:val="18"/>
    </w:rPr>
  </w:style>
  <w:style w:type="character" w:styleId="CommentReference">
    <w:name w:val="annotation reference"/>
    <w:basedOn w:val="DefaultParagraphFont"/>
    <w:uiPriority w:val="99"/>
    <w:unhideWhenUsed/>
    <w:rsid w:val="000337EF"/>
    <w:rPr>
      <w:sz w:val="16"/>
      <w:szCs w:val="16"/>
    </w:rPr>
  </w:style>
  <w:style w:type="paragraph" w:styleId="CommentText">
    <w:name w:val="annotation text"/>
    <w:basedOn w:val="Normal"/>
    <w:link w:val="CommentTextChar"/>
    <w:uiPriority w:val="99"/>
    <w:unhideWhenUsed/>
    <w:rsid w:val="000337EF"/>
    <w:rPr>
      <w:sz w:val="20"/>
      <w:szCs w:val="20"/>
    </w:rPr>
  </w:style>
  <w:style w:type="character" w:customStyle="1" w:styleId="CommentTextChar">
    <w:name w:val="Comment Text Char"/>
    <w:basedOn w:val="DefaultParagraphFont"/>
    <w:link w:val="CommentText"/>
    <w:uiPriority w:val="99"/>
    <w:rsid w:val="000337EF"/>
    <w:rPr>
      <w:rFonts w:ascii="Arial" w:hAnsi="Arial"/>
    </w:rPr>
  </w:style>
  <w:style w:type="paragraph" w:customStyle="1" w:styleId="03undertabletext">
    <w:name w:val="03. under table text"/>
    <w:basedOn w:val="Heading1"/>
    <w:rsid w:val="00A32201"/>
    <w:pPr>
      <w:numPr>
        <w:numId w:val="0"/>
      </w:numPr>
      <w:spacing w:before="0"/>
    </w:pPr>
    <w:rPr>
      <w:b w:val="0"/>
      <w:color w:val="000000" w:themeColor="text1"/>
      <w:sz w:val="18"/>
      <w:szCs w:val="18"/>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Smallcaps">
    <w:name w:val="00 Small caps"/>
    <w:basedOn w:val="Normal"/>
    <w:uiPriority w:val="6"/>
    <w:qFormat/>
    <w:rsid w:val="001D1C52"/>
    <w:pPr>
      <w:keepNext/>
      <w:spacing w:before="120" w:line="240" w:lineRule="auto"/>
      <w:outlineLvl w:val="0"/>
    </w:pPr>
    <w:rPr>
      <w:rFonts w:ascii="Arial Bold" w:hAnsi="Arial Bold" w:cs="Arial"/>
      <w:b/>
      <w:smallCaps/>
      <w:kern w:val="32"/>
      <w:szCs w:val="22"/>
    </w:r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qFormat/>
    <w:rsid w:val="003D74C9"/>
  </w:style>
  <w:style w:type="character" w:customStyle="1" w:styleId="Heading2ReportChar">
    <w:name w:val="Heading 2 Report Char"/>
    <w:basedOn w:val="DefaultParagraphFont"/>
    <w:link w:val="Heading2Report"/>
    <w:rsid w:val="003D74C9"/>
    <w:rPr>
      <w:rFonts w:asciiTheme="minorHAnsi" w:eastAsiaTheme="minorHAnsi" w:hAnsiTheme="minorHAnsi" w:cs="Arial"/>
      <w:b/>
      <w:bCs/>
      <w:iCs/>
      <w:color w:val="01653F"/>
      <w:sz w:val="26"/>
      <w:szCs w:val="22"/>
      <w:lang w:val="en-US" w:eastAsia="en-US"/>
    </w:rPr>
  </w:style>
  <w:style w:type="paragraph" w:customStyle="1" w:styleId="AppendixStyle1">
    <w:name w:val="Appendix Style 1"/>
    <w:basedOn w:val="Normal"/>
    <w:next w:val="Normal"/>
    <w:qFormat/>
    <w:rsid w:val="00B83773"/>
    <w:pPr>
      <w:numPr>
        <w:numId w:val="2"/>
      </w:numPr>
      <w:spacing w:before="0" w:after="0"/>
      <w:outlineLvl w:val="0"/>
    </w:pPr>
    <w:rPr>
      <w:rFonts w:cs="Arial"/>
      <w:b/>
      <w:color w:val="01653F"/>
      <w:sz w:val="32"/>
      <w:lang w:val="en-US" w:eastAsia="en-US"/>
    </w:rPr>
  </w:style>
  <w:style w:type="table" w:customStyle="1" w:styleId="TableGrid3">
    <w:name w:val="Table Grid3"/>
    <w:basedOn w:val="TableNormal"/>
    <w:next w:val="TableGrid"/>
    <w:rsid w:val="0053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abel">
    <w:name w:val="ref-label"/>
    <w:basedOn w:val="DefaultParagraphFont"/>
    <w:rsid w:val="00F417F4"/>
  </w:style>
  <w:style w:type="paragraph" w:customStyle="1" w:styleId="bulletindent1">
    <w:name w:val="bulletindent1"/>
    <w:basedOn w:val="Normal"/>
    <w:rsid w:val="00F417F4"/>
    <w:pPr>
      <w:spacing w:before="100" w:beforeAutospacing="1" w:after="100" w:afterAutospacing="1"/>
    </w:pPr>
    <w:rPr>
      <w:rFonts w:ascii="Times New Roman" w:hAnsi="Times New Roman"/>
      <w:sz w:val="24"/>
    </w:rPr>
  </w:style>
  <w:style w:type="paragraph" w:customStyle="1" w:styleId="Numbering">
    <w:name w:val="Numbering"/>
    <w:basedOn w:val="NormalBulleted"/>
    <w:link w:val="NumberingChar"/>
    <w:qFormat/>
    <w:rsid w:val="004C7889"/>
    <w:pPr>
      <w:numPr>
        <w:numId w:val="0"/>
      </w:numPr>
      <w:tabs>
        <w:tab w:val="left" w:pos="357"/>
      </w:tabs>
      <w:spacing w:before="120" w:after="120"/>
      <w:ind w:left="425" w:hanging="425"/>
    </w:pPr>
    <w:rPr>
      <w:lang w:val="en-US" w:eastAsia="en-US"/>
    </w:rPr>
  </w:style>
  <w:style w:type="character" w:customStyle="1" w:styleId="NumberingChar">
    <w:name w:val="Numbering Char"/>
    <w:basedOn w:val="DefaultParagraphFont"/>
    <w:link w:val="Numbering"/>
    <w:rsid w:val="004C7889"/>
    <w:rPr>
      <w:rFonts w:asciiTheme="minorHAnsi" w:eastAsiaTheme="minorHAnsi" w:hAnsiTheme="minorHAnsi" w:cs="Arial"/>
      <w:color w:val="000000" w:themeColor="text1"/>
      <w:sz w:val="22"/>
      <w:szCs w:val="22"/>
      <w:lang w:val="en-US" w:eastAsia="en-US"/>
    </w:rPr>
  </w:style>
  <w:style w:type="paragraph" w:styleId="DocumentMap">
    <w:name w:val="Document Map"/>
    <w:basedOn w:val="Normal"/>
    <w:link w:val="DocumentMapChar"/>
    <w:semiHidden/>
    <w:unhideWhenUsed/>
    <w:rsid w:val="0060697D"/>
    <w:pPr>
      <w:spacing w:before="0" w:after="0" w:line="240" w:lineRule="auto"/>
    </w:pPr>
    <w:rPr>
      <w:rFonts w:ascii="Times New Roman" w:hAnsi="Times New Roman"/>
      <w:sz w:val="24"/>
    </w:rPr>
  </w:style>
  <w:style w:type="character" w:customStyle="1" w:styleId="DocumentMapChar">
    <w:name w:val="Document Map Char"/>
    <w:basedOn w:val="DefaultParagraphFont"/>
    <w:link w:val="DocumentMap"/>
    <w:semiHidden/>
    <w:rsid w:val="0060697D"/>
    <w:rPr>
      <w:sz w:val="24"/>
      <w:szCs w:val="24"/>
    </w:rPr>
  </w:style>
  <w:style w:type="paragraph" w:styleId="EndnoteText">
    <w:name w:val="endnote text"/>
    <w:basedOn w:val="Normal"/>
    <w:link w:val="EndnoteTextChar"/>
    <w:unhideWhenUsed/>
    <w:rsid w:val="00303AE1"/>
    <w:pPr>
      <w:spacing w:before="0" w:after="0" w:line="240" w:lineRule="auto"/>
    </w:pPr>
    <w:rPr>
      <w:sz w:val="24"/>
    </w:rPr>
  </w:style>
  <w:style w:type="character" w:customStyle="1" w:styleId="EndnoteTextChar">
    <w:name w:val="Endnote Text Char"/>
    <w:basedOn w:val="DefaultParagraphFont"/>
    <w:link w:val="EndnoteText"/>
    <w:rsid w:val="00303AE1"/>
    <w:rPr>
      <w:rFonts w:asciiTheme="minorHAnsi" w:hAnsiTheme="minorHAnsi"/>
      <w:sz w:val="24"/>
      <w:szCs w:val="24"/>
    </w:rPr>
  </w:style>
  <w:style w:type="character" w:styleId="EndnoteReference">
    <w:name w:val="endnote reference"/>
    <w:basedOn w:val="DefaultParagraphFont"/>
    <w:unhideWhenUsed/>
    <w:rsid w:val="00303AE1"/>
    <w:rPr>
      <w:vertAlign w:val="superscript"/>
    </w:rPr>
  </w:style>
  <w:style w:type="paragraph" w:customStyle="1" w:styleId="Rec">
    <w:name w:val="Rec"/>
    <w:basedOn w:val="Normal"/>
    <w:link w:val="RecChar"/>
    <w:qFormat/>
    <w:rsid w:val="00700528"/>
    <w:pPr>
      <w:numPr>
        <w:numId w:val="4"/>
      </w:numPr>
      <w:spacing w:before="120" w:after="120"/>
    </w:pPr>
    <w:rPr>
      <w:rFonts w:cs="Arial"/>
      <w:b/>
      <w:i/>
      <w:color w:val="01653F"/>
      <w:sz w:val="24"/>
      <w:szCs w:val="22"/>
    </w:rPr>
  </w:style>
  <w:style w:type="character" w:customStyle="1" w:styleId="CaptionChar">
    <w:name w:val="Caption Char"/>
    <w:basedOn w:val="DefaultParagraphFont"/>
    <w:link w:val="Caption"/>
    <w:uiPriority w:val="35"/>
    <w:rsid w:val="00B76E12"/>
    <w:rPr>
      <w:rFonts w:asciiTheme="minorHAnsi" w:eastAsiaTheme="minorHAnsi" w:hAnsiTheme="minorHAnsi" w:cs="Arial"/>
      <w:i/>
      <w:sz w:val="20"/>
      <w:szCs w:val="22"/>
      <w:lang w:eastAsia="en-US"/>
    </w:rPr>
  </w:style>
  <w:style w:type="paragraph" w:customStyle="1" w:styleId="Caption2">
    <w:name w:val="Caption 2"/>
    <w:basedOn w:val="Caption"/>
    <w:link w:val="Caption2Char"/>
    <w:qFormat/>
    <w:rsid w:val="00BC209F"/>
    <w:pPr>
      <w:spacing w:line="240" w:lineRule="auto"/>
    </w:pPr>
    <w:rPr>
      <w:rFonts w:ascii="Arial" w:hAnsi="Arial"/>
      <w:b/>
      <w:bCs/>
      <w:i w:val="0"/>
      <w:sz w:val="24"/>
      <w:szCs w:val="24"/>
    </w:rPr>
  </w:style>
  <w:style w:type="character" w:customStyle="1" w:styleId="Caption2Char">
    <w:name w:val="Caption 2 Char"/>
    <w:basedOn w:val="CaptionChar"/>
    <w:link w:val="Caption2"/>
    <w:rsid w:val="00BC209F"/>
    <w:rPr>
      <w:rFonts w:ascii="Arial" w:eastAsiaTheme="minorHAnsi" w:hAnsi="Arial" w:cs="Arial"/>
      <w:b/>
      <w:bCs/>
      <w:i w:val="0"/>
      <w:sz w:val="24"/>
      <w:szCs w:val="24"/>
      <w:lang w:eastAsia="en-US"/>
    </w:rPr>
  </w:style>
  <w:style w:type="paragraph" w:styleId="PlainText">
    <w:name w:val="Plain Text"/>
    <w:basedOn w:val="Normal"/>
    <w:link w:val="PlainTextChar"/>
    <w:uiPriority w:val="99"/>
    <w:unhideWhenUsed/>
    <w:rsid w:val="00BC209F"/>
    <w:pPr>
      <w:spacing w:before="0"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BC209F"/>
    <w:rPr>
      <w:rFonts w:ascii="Calibri" w:eastAsiaTheme="minorHAnsi" w:hAnsi="Calibri"/>
      <w:sz w:val="22"/>
      <w:szCs w:val="21"/>
    </w:rPr>
  </w:style>
  <w:style w:type="paragraph" w:customStyle="1" w:styleId="xmsonormal">
    <w:name w:val="x_msonormal"/>
    <w:basedOn w:val="Normal"/>
    <w:rsid w:val="00BC209F"/>
    <w:pPr>
      <w:spacing w:before="100" w:beforeAutospacing="1" w:after="100" w:afterAutospacing="1" w:line="240" w:lineRule="auto"/>
    </w:pPr>
    <w:rPr>
      <w:rFonts w:ascii="Times" w:eastAsiaTheme="minorEastAsia" w:hAnsi="Times" w:cstheme="minorBidi"/>
      <w:sz w:val="20"/>
      <w:szCs w:val="20"/>
      <w:lang w:eastAsia="en-US"/>
    </w:rPr>
  </w:style>
  <w:style w:type="paragraph" w:customStyle="1" w:styleId="EndNoteBibliography">
    <w:name w:val="EndNote Bibliography"/>
    <w:basedOn w:val="Normal"/>
    <w:link w:val="EndNoteBibliographyChar"/>
    <w:rsid w:val="00BC209F"/>
    <w:pPr>
      <w:spacing w:before="0" w:after="0" w:line="240" w:lineRule="auto"/>
    </w:pPr>
    <w:rPr>
      <w:rFonts w:ascii="Cambria" w:eastAsiaTheme="minorEastAsia" w:hAnsi="Cambria" w:cstheme="minorBidi"/>
      <w:sz w:val="24"/>
      <w:lang w:val="en-US" w:eastAsia="en-US"/>
    </w:rPr>
  </w:style>
  <w:style w:type="paragraph" w:customStyle="1" w:styleId="SubGroupHeader">
    <w:name w:val="SubGroupHeader"/>
    <w:basedOn w:val="Normal"/>
    <w:rsid w:val="00BC209F"/>
    <w:pPr>
      <w:spacing w:before="0" w:after="0" w:line="240" w:lineRule="auto"/>
      <w:jc w:val="right"/>
    </w:pPr>
    <w:rPr>
      <w:rFonts w:ascii="Times New Roman" w:hAnsi="Times New Roman"/>
      <w:b/>
      <w:caps/>
      <w:sz w:val="18"/>
      <w:szCs w:val="20"/>
    </w:rPr>
  </w:style>
  <w:style w:type="paragraph" w:customStyle="1" w:styleId="GroupHeader">
    <w:name w:val="GroupHeader"/>
    <w:basedOn w:val="Normal"/>
    <w:rsid w:val="00BC209F"/>
    <w:pPr>
      <w:spacing w:before="0" w:after="0" w:line="240" w:lineRule="auto"/>
    </w:pPr>
    <w:rPr>
      <w:rFonts w:ascii="Times New Roman" w:hAnsi="Times New Roman"/>
      <w:b/>
      <w:caps/>
      <w:sz w:val="18"/>
      <w:szCs w:val="20"/>
    </w:rPr>
  </w:style>
  <w:style w:type="paragraph" w:customStyle="1" w:styleId="Bulleted">
    <w:name w:val="Bulleted"/>
    <w:basedOn w:val="Normal"/>
    <w:link w:val="BulletedChar"/>
    <w:rsid w:val="00F85147"/>
    <w:pPr>
      <w:autoSpaceDE w:val="0"/>
      <w:autoSpaceDN w:val="0"/>
      <w:adjustRightInd w:val="0"/>
      <w:spacing w:after="200" w:line="300" w:lineRule="auto"/>
    </w:pPr>
    <w:rPr>
      <w:rFonts w:ascii="Arial" w:eastAsia="MS Mincho" w:hAnsi="Arial" w:cs="Arial"/>
      <w:szCs w:val="22"/>
      <w:lang w:eastAsia="en-US"/>
    </w:rPr>
  </w:style>
  <w:style w:type="character" w:customStyle="1" w:styleId="BulletedChar">
    <w:name w:val="Bulleted Char"/>
    <w:basedOn w:val="DefaultParagraphFont"/>
    <w:link w:val="Bulleted"/>
    <w:rsid w:val="00F85147"/>
    <w:rPr>
      <w:rFonts w:ascii="Arial" w:eastAsia="MS Mincho" w:hAnsi="Arial" w:cs="Arial"/>
      <w:sz w:val="22"/>
      <w:szCs w:val="22"/>
      <w:lang w:eastAsia="en-US"/>
    </w:rPr>
  </w:style>
  <w:style w:type="paragraph" w:customStyle="1" w:styleId="AppendixHeading">
    <w:name w:val="Appendix Heading"/>
    <w:basedOn w:val="Normal"/>
    <w:qFormat/>
    <w:rsid w:val="00893447"/>
    <w:pPr>
      <w:spacing w:line="360" w:lineRule="auto"/>
    </w:pPr>
    <w:rPr>
      <w:rFonts w:cs="Arial"/>
      <w:b/>
      <w:color w:val="016500"/>
      <w:sz w:val="32"/>
      <w:szCs w:val="32"/>
    </w:rPr>
  </w:style>
  <w:style w:type="paragraph" w:customStyle="1" w:styleId="Undertable">
    <w:name w:val="Under table"/>
    <w:basedOn w:val="Heading1"/>
    <w:qFormat/>
    <w:rsid w:val="00A32201"/>
    <w:pPr>
      <w:numPr>
        <w:numId w:val="0"/>
      </w:numPr>
      <w:spacing w:before="0"/>
    </w:pPr>
    <w:rPr>
      <w:b w:val="0"/>
      <w:color w:val="000000" w:themeColor="text1"/>
      <w:sz w:val="18"/>
      <w:szCs w:val="18"/>
    </w:rPr>
  </w:style>
  <w:style w:type="paragraph" w:styleId="CommentSubject">
    <w:name w:val="annotation subject"/>
    <w:basedOn w:val="CommentText"/>
    <w:next w:val="CommentText"/>
    <w:link w:val="CommentSubjectChar"/>
    <w:uiPriority w:val="99"/>
    <w:unhideWhenUsed/>
    <w:rsid w:val="00A444D1"/>
    <w:pPr>
      <w:spacing w:line="240" w:lineRule="auto"/>
    </w:pPr>
    <w:rPr>
      <w:b/>
      <w:bCs/>
    </w:rPr>
  </w:style>
  <w:style w:type="paragraph" w:customStyle="1" w:styleId="TableUnderLast">
    <w:name w:val="Table Under Last"/>
    <w:basedOn w:val="Normal"/>
    <w:qFormat/>
    <w:rsid w:val="00D66E89"/>
    <w:pPr>
      <w:spacing w:before="0" w:after="240" w:line="240" w:lineRule="auto"/>
    </w:pPr>
    <w:rPr>
      <w:sz w:val="18"/>
      <w:szCs w:val="16"/>
    </w:rPr>
  </w:style>
  <w:style w:type="character" w:customStyle="1" w:styleId="CommentSubjectChar">
    <w:name w:val="Comment Subject Char"/>
    <w:basedOn w:val="CommentTextChar"/>
    <w:link w:val="CommentSubject"/>
    <w:uiPriority w:val="99"/>
    <w:rsid w:val="00A444D1"/>
    <w:rPr>
      <w:rFonts w:asciiTheme="minorHAnsi" w:hAnsiTheme="minorHAnsi"/>
      <w:b/>
      <w:bCs/>
    </w:rPr>
  </w:style>
  <w:style w:type="paragraph" w:styleId="ListParagraph">
    <w:name w:val="List Paragraph"/>
    <w:basedOn w:val="Normal"/>
    <w:link w:val="ListParagraphChar"/>
    <w:uiPriority w:val="34"/>
    <w:qFormat/>
    <w:rsid w:val="006060E7"/>
    <w:pPr>
      <w:ind w:left="720"/>
      <w:contextualSpacing/>
    </w:pPr>
  </w:style>
  <w:style w:type="paragraph" w:styleId="Revision">
    <w:name w:val="Revision"/>
    <w:hidden/>
    <w:uiPriority w:val="99"/>
    <w:semiHidden/>
    <w:rsid w:val="00226A36"/>
    <w:rPr>
      <w:rFonts w:asciiTheme="minorHAnsi" w:hAnsiTheme="minorHAnsi"/>
      <w:sz w:val="22"/>
    </w:rPr>
  </w:style>
  <w:style w:type="paragraph" w:styleId="TableofFigures">
    <w:name w:val="table of figures"/>
    <w:basedOn w:val="Normal"/>
    <w:next w:val="Normal"/>
    <w:uiPriority w:val="99"/>
    <w:unhideWhenUsed/>
    <w:rsid w:val="0075170C"/>
    <w:pPr>
      <w:spacing w:before="0" w:after="0"/>
      <w:ind w:left="440" w:hanging="440"/>
    </w:pPr>
    <w:rPr>
      <w:sz w:val="20"/>
      <w:szCs w:val="20"/>
    </w:rPr>
  </w:style>
  <w:style w:type="paragraph" w:customStyle="1" w:styleId="Bullettext">
    <w:name w:val="Bullet text"/>
    <w:basedOn w:val="BodyText"/>
    <w:autoRedefine/>
    <w:qFormat/>
    <w:rsid w:val="00B50F00"/>
    <w:pPr>
      <w:numPr>
        <w:numId w:val="15"/>
      </w:numPr>
      <w:spacing w:before="60" w:after="0" w:line="240" w:lineRule="auto"/>
      <w:contextualSpacing/>
    </w:pPr>
    <w:rPr>
      <w:rFonts w:ascii="Calibri" w:hAnsi="Calibri" w:cstheme="minorBidi"/>
      <w:sz w:val="24"/>
      <w:szCs w:val="22"/>
      <w:lang w:eastAsia="en-US"/>
    </w:rPr>
  </w:style>
  <w:style w:type="character" w:customStyle="1" w:styleId="ListParagraphChar">
    <w:name w:val="List Paragraph Char"/>
    <w:basedOn w:val="DefaultParagraphFont"/>
    <w:link w:val="ListParagraph"/>
    <w:uiPriority w:val="34"/>
    <w:rsid w:val="00466F2A"/>
    <w:rPr>
      <w:rFonts w:asciiTheme="minorHAnsi" w:hAnsiTheme="minorHAnsi"/>
      <w:sz w:val="22"/>
      <w:szCs w:val="24"/>
    </w:rPr>
  </w:style>
  <w:style w:type="paragraph" w:styleId="FootnoteText">
    <w:name w:val="footnote text"/>
    <w:basedOn w:val="Normal"/>
    <w:link w:val="FootnoteTextChar"/>
    <w:rsid w:val="00B40829"/>
    <w:pPr>
      <w:spacing w:before="0" w:after="0" w:line="240" w:lineRule="auto"/>
    </w:pPr>
    <w:rPr>
      <w:sz w:val="20"/>
      <w:szCs w:val="20"/>
    </w:rPr>
  </w:style>
  <w:style w:type="character" w:customStyle="1" w:styleId="FootnoteTextChar">
    <w:name w:val="Footnote Text Char"/>
    <w:basedOn w:val="DefaultParagraphFont"/>
    <w:link w:val="FootnoteText"/>
    <w:rsid w:val="00B40829"/>
    <w:rPr>
      <w:rFonts w:asciiTheme="minorHAnsi" w:hAnsiTheme="minorHAnsi"/>
    </w:rPr>
  </w:style>
  <w:style w:type="character" w:styleId="FootnoteReference">
    <w:name w:val="footnote reference"/>
    <w:rsid w:val="00B40829"/>
    <w:rPr>
      <w:vertAlign w:val="superscript"/>
    </w:rPr>
  </w:style>
  <w:style w:type="character" w:styleId="SubtleEmphasis">
    <w:name w:val="Subtle Emphasis"/>
    <w:basedOn w:val="DefaultParagraphFont"/>
    <w:uiPriority w:val="19"/>
    <w:qFormat/>
    <w:rsid w:val="0014338B"/>
    <w:rPr>
      <w:i/>
      <w:iCs/>
      <w:color w:val="808080" w:themeColor="text1" w:themeTint="7F"/>
    </w:rPr>
  </w:style>
  <w:style w:type="paragraph" w:customStyle="1" w:styleId="default0">
    <w:name w:val="default"/>
    <w:basedOn w:val="Normal"/>
    <w:rsid w:val="0014338B"/>
    <w:pPr>
      <w:tabs>
        <w:tab w:val="left" w:pos="3440"/>
      </w:tabs>
      <w:spacing w:before="100" w:beforeAutospacing="1" w:after="100" w:afterAutospacing="1" w:line="240" w:lineRule="auto"/>
      <w:contextualSpacing/>
    </w:pPr>
    <w:rPr>
      <w:rFonts w:cs="Arial"/>
      <w:sz w:val="24"/>
      <w:lang w:eastAsia="en-US"/>
    </w:rPr>
  </w:style>
  <w:style w:type="character" w:styleId="IntenseReference">
    <w:name w:val="Intense Reference"/>
    <w:basedOn w:val="DefaultParagraphFont"/>
    <w:uiPriority w:val="32"/>
    <w:qFormat/>
    <w:rsid w:val="00CF3BD3"/>
    <w:rPr>
      <w:b/>
      <w:bCs/>
      <w:i/>
      <w:smallCaps/>
      <w:color w:val="C0504D" w:themeColor="accent2"/>
      <w:spacing w:val="5"/>
      <w:u w:val="none"/>
    </w:rPr>
  </w:style>
  <w:style w:type="paragraph" w:customStyle="1" w:styleId="AttHeading4">
    <w:name w:val="Att Heading 4"/>
    <w:basedOn w:val="BodyText"/>
    <w:qFormat/>
    <w:rsid w:val="00134608"/>
    <w:pPr>
      <w:keepNext/>
    </w:pPr>
    <w:rPr>
      <w:b/>
    </w:rPr>
  </w:style>
  <w:style w:type="paragraph" w:customStyle="1" w:styleId="FigureCaption">
    <w:name w:val="Figure Caption"/>
    <w:basedOn w:val="Caption"/>
    <w:link w:val="FigureCaptionChar"/>
    <w:qFormat/>
    <w:rsid w:val="00330A53"/>
    <w:pPr>
      <w:numPr>
        <w:numId w:val="6"/>
      </w:numPr>
    </w:pPr>
    <w:rPr>
      <w:lang w:val="en-US"/>
    </w:rPr>
  </w:style>
  <w:style w:type="character" w:customStyle="1" w:styleId="FigureCaptionChar">
    <w:name w:val="Figure Caption Char"/>
    <w:basedOn w:val="CaptionChar"/>
    <w:link w:val="FigureCaption"/>
    <w:rsid w:val="00330A53"/>
    <w:rPr>
      <w:rFonts w:asciiTheme="minorHAnsi" w:eastAsiaTheme="minorHAnsi" w:hAnsiTheme="minorHAnsi" w:cs="Arial"/>
      <w:i/>
      <w:sz w:val="20"/>
      <w:szCs w:val="22"/>
      <w:lang w:val="en-US" w:eastAsia="en-US"/>
    </w:rPr>
  </w:style>
  <w:style w:type="paragraph" w:customStyle="1" w:styleId="Rec2">
    <w:name w:val="Rec 2"/>
    <w:basedOn w:val="Rec"/>
    <w:link w:val="Rec2Char"/>
    <w:qFormat/>
    <w:rsid w:val="00226919"/>
    <w:pPr>
      <w:numPr>
        <w:numId w:val="7"/>
      </w:numPr>
      <w:ind w:left="0" w:firstLine="0"/>
    </w:pPr>
  </w:style>
  <w:style w:type="character" w:customStyle="1" w:styleId="RecChar">
    <w:name w:val="Rec Char"/>
    <w:basedOn w:val="DefaultParagraphFont"/>
    <w:link w:val="Rec"/>
    <w:rsid w:val="00226919"/>
    <w:rPr>
      <w:rFonts w:asciiTheme="minorHAnsi" w:hAnsiTheme="minorHAnsi" w:cs="Arial"/>
      <w:b/>
      <w:i/>
      <w:color w:val="01653F"/>
      <w:szCs w:val="22"/>
    </w:rPr>
  </w:style>
  <w:style w:type="character" w:customStyle="1" w:styleId="Rec2Char">
    <w:name w:val="Rec 2 Char"/>
    <w:basedOn w:val="RecChar"/>
    <w:link w:val="Rec2"/>
    <w:rsid w:val="00226919"/>
    <w:rPr>
      <w:rFonts w:asciiTheme="minorHAnsi" w:hAnsiTheme="minorHAnsi" w:cs="Arial"/>
      <w:b/>
      <w:i/>
      <w:color w:val="01653F"/>
      <w:szCs w:val="22"/>
    </w:rPr>
  </w:style>
  <w:style w:type="character" w:styleId="Strong">
    <w:name w:val="Strong"/>
    <w:basedOn w:val="DefaultParagraphFont"/>
    <w:uiPriority w:val="22"/>
    <w:qFormat/>
    <w:rsid w:val="005A6E17"/>
    <w:rPr>
      <w:b/>
      <w:bCs/>
    </w:rPr>
  </w:style>
  <w:style w:type="character" w:styleId="IntenseEmphasis">
    <w:name w:val="Intense Emphasis"/>
    <w:basedOn w:val="DefaultParagraphFont"/>
    <w:uiPriority w:val="21"/>
    <w:qFormat/>
    <w:rsid w:val="005A6E17"/>
    <w:rPr>
      <w:b/>
      <w:bCs/>
      <w:i/>
      <w:iCs/>
      <w:color w:val="4F81BD" w:themeColor="accent1"/>
    </w:rPr>
  </w:style>
  <w:style w:type="paragraph" w:styleId="IntenseQuote">
    <w:name w:val="Intense Quote"/>
    <w:basedOn w:val="Normal"/>
    <w:next w:val="Normal"/>
    <w:link w:val="IntenseQuoteChar"/>
    <w:uiPriority w:val="30"/>
    <w:qFormat/>
    <w:rsid w:val="005A6E17"/>
    <w:pPr>
      <w:pBdr>
        <w:bottom w:val="single" w:sz="4" w:space="4" w:color="4F81BD" w:themeColor="accent1"/>
      </w:pBdr>
      <w:spacing w:before="200" w:after="280" w:line="240" w:lineRule="auto"/>
      <w:ind w:left="936" w:right="936"/>
    </w:pPr>
    <w:rPr>
      <w:b/>
      <w:bCs/>
      <w:i/>
      <w:iCs/>
      <w:color w:val="4F81BD" w:themeColor="accent1"/>
      <w:sz w:val="24"/>
      <w:szCs w:val="20"/>
    </w:rPr>
  </w:style>
  <w:style w:type="character" w:customStyle="1" w:styleId="IntenseQuoteChar">
    <w:name w:val="Intense Quote Char"/>
    <w:basedOn w:val="DefaultParagraphFont"/>
    <w:link w:val="IntenseQuote"/>
    <w:uiPriority w:val="30"/>
    <w:rsid w:val="005A6E17"/>
    <w:rPr>
      <w:rFonts w:asciiTheme="minorHAnsi" w:hAnsiTheme="minorHAnsi"/>
      <w:b/>
      <w:bCs/>
      <w:i/>
      <w:iCs/>
      <w:color w:val="4F81BD" w:themeColor="accent1"/>
      <w:szCs w:val="20"/>
    </w:rPr>
  </w:style>
  <w:style w:type="character" w:customStyle="1" w:styleId="Heading1Char">
    <w:name w:val="Heading 1 Char"/>
    <w:basedOn w:val="DefaultParagraphFont"/>
    <w:link w:val="Heading1"/>
    <w:uiPriority w:val="9"/>
    <w:rsid w:val="005A6E17"/>
    <w:rPr>
      <w:rFonts w:asciiTheme="minorHAnsi" w:eastAsiaTheme="minorHAnsi" w:hAnsiTheme="minorHAnsi" w:cs="Arial"/>
      <w:b/>
      <w:bCs/>
      <w:color w:val="01653F"/>
      <w:kern w:val="32"/>
      <w:sz w:val="32"/>
      <w:szCs w:val="28"/>
      <w:lang w:val="en-US" w:eastAsia="en-US"/>
    </w:rPr>
  </w:style>
  <w:style w:type="character" w:customStyle="1" w:styleId="Heading2Char">
    <w:name w:val="Heading 2 Char"/>
    <w:basedOn w:val="DefaultParagraphFont"/>
    <w:link w:val="Heading2"/>
    <w:uiPriority w:val="9"/>
    <w:rsid w:val="005A6E17"/>
    <w:rPr>
      <w:rFonts w:asciiTheme="minorHAnsi" w:eastAsiaTheme="minorHAnsi" w:hAnsiTheme="minorHAnsi" w:cs="Arial"/>
      <w:b/>
      <w:bCs/>
      <w:iCs/>
      <w:color w:val="01653F"/>
      <w:sz w:val="26"/>
      <w:szCs w:val="22"/>
      <w:lang w:val="en-US" w:eastAsia="en-US"/>
    </w:rPr>
  </w:style>
  <w:style w:type="character" w:customStyle="1" w:styleId="Heading3Char">
    <w:name w:val="Heading 3 Char"/>
    <w:basedOn w:val="DefaultParagraphFont"/>
    <w:link w:val="Heading3"/>
    <w:uiPriority w:val="9"/>
    <w:rsid w:val="005A6E17"/>
    <w:rPr>
      <w:rFonts w:asciiTheme="minorHAnsi" w:eastAsiaTheme="minorHAnsi" w:hAnsiTheme="minorHAnsi" w:cs="Arial"/>
      <w:b/>
      <w:bCs/>
      <w:i/>
      <w:color w:val="B56012"/>
      <w:szCs w:val="26"/>
      <w:lang w:val="en-US" w:eastAsia="en-US"/>
    </w:rPr>
  </w:style>
  <w:style w:type="character" w:customStyle="1" w:styleId="Heading4Char">
    <w:name w:val="Heading 4 Char"/>
    <w:basedOn w:val="DefaultParagraphFont"/>
    <w:link w:val="Heading4"/>
    <w:uiPriority w:val="9"/>
    <w:rsid w:val="005A6E17"/>
    <w:rPr>
      <w:rFonts w:asciiTheme="minorHAnsi" w:eastAsiaTheme="minorHAnsi" w:hAnsiTheme="minorHAnsi" w:cs="Arial"/>
      <w:bCs/>
      <w:i/>
      <w:color w:val="B56012"/>
      <w:sz w:val="22"/>
      <w:szCs w:val="26"/>
      <w:lang w:val="en-US" w:eastAsia="en-US"/>
    </w:rPr>
  </w:style>
  <w:style w:type="character" w:customStyle="1" w:styleId="Heading5Char">
    <w:name w:val="Heading 5 Char"/>
    <w:basedOn w:val="DefaultParagraphFont"/>
    <w:link w:val="Heading5"/>
    <w:uiPriority w:val="9"/>
    <w:rsid w:val="006E7571"/>
    <w:rPr>
      <w:rFonts w:asciiTheme="minorHAnsi" w:eastAsiaTheme="minorHAnsi" w:hAnsiTheme="minorHAnsi" w:cs="Arial"/>
      <w:bCs/>
      <w:i/>
      <w:iCs/>
      <w:color w:val="016500"/>
      <w:sz w:val="22"/>
      <w:szCs w:val="26"/>
      <w:lang w:val="en-US" w:eastAsia="en-US"/>
    </w:rPr>
  </w:style>
  <w:style w:type="character" w:customStyle="1" w:styleId="Heading6Char">
    <w:name w:val="Heading 6 Char"/>
    <w:basedOn w:val="DefaultParagraphFont"/>
    <w:link w:val="Heading6"/>
    <w:uiPriority w:val="9"/>
    <w:rsid w:val="005A6E17"/>
    <w:rPr>
      <w:rFonts w:asciiTheme="minorHAnsi" w:eastAsiaTheme="minorHAnsi" w:hAnsiTheme="minorHAnsi" w:cs="Arial"/>
      <w:b/>
      <w:bCs/>
      <w:i/>
      <w:sz w:val="22"/>
      <w:szCs w:val="22"/>
      <w:lang w:val="en-US" w:eastAsia="en-US"/>
    </w:rPr>
  </w:style>
  <w:style w:type="paragraph" w:customStyle="1" w:styleId="SubGroupDescription">
    <w:name w:val="SubGroupDescription"/>
    <w:basedOn w:val="Heading2"/>
    <w:autoRedefine/>
    <w:rsid w:val="005A6E17"/>
    <w:pPr>
      <w:numPr>
        <w:ilvl w:val="0"/>
        <w:numId w:val="0"/>
      </w:numPr>
      <w:spacing w:line="240" w:lineRule="auto"/>
      <w:ind w:right="0"/>
      <w:jc w:val="center"/>
    </w:pPr>
    <w:rPr>
      <w:rFonts w:ascii="Calibri" w:eastAsia="Times New Roman" w:hAnsi="Calibri"/>
      <w:b w:val="0"/>
      <w:i/>
      <w:color w:val="auto"/>
      <w:sz w:val="20"/>
      <w:szCs w:val="24"/>
      <w:lang w:eastAsia="en-AU"/>
    </w:rPr>
  </w:style>
  <w:style w:type="paragraph" w:customStyle="1" w:styleId="GroupDescription">
    <w:name w:val="GroupDescription"/>
    <w:basedOn w:val="Heading1"/>
    <w:link w:val="GroupDescriptionChar"/>
    <w:autoRedefine/>
    <w:rsid w:val="005A6E17"/>
    <w:pPr>
      <w:numPr>
        <w:numId w:val="0"/>
      </w:numPr>
      <w:pBdr>
        <w:bottom w:val="single" w:sz="12" w:space="1" w:color="365F91" w:themeColor="accent1" w:themeShade="BF"/>
      </w:pBdr>
      <w:spacing w:line="240" w:lineRule="auto"/>
    </w:pPr>
    <w:rPr>
      <w:rFonts w:ascii="Arial Bold" w:eastAsia="Times New Roman" w:hAnsi="Arial Bold"/>
      <w:b w:val="0"/>
      <w:bCs w:val="0"/>
      <w:smallCaps/>
      <w:color w:val="auto"/>
      <w:sz w:val="22"/>
      <w:szCs w:val="22"/>
      <w:lang w:val="en-AU" w:eastAsia="en-AU"/>
    </w:rPr>
  </w:style>
  <w:style w:type="character" w:customStyle="1" w:styleId="GroupDescriptionChar">
    <w:name w:val="GroupDescription Char"/>
    <w:link w:val="GroupDescription"/>
    <w:locked/>
    <w:rsid w:val="005A6E17"/>
    <w:rPr>
      <w:rFonts w:ascii="Arial Bold" w:hAnsi="Arial Bold" w:cs="Arial"/>
      <w:smallCaps/>
      <w:kern w:val="32"/>
      <w:sz w:val="22"/>
      <w:szCs w:val="22"/>
    </w:rPr>
  </w:style>
  <w:style w:type="character" w:customStyle="1" w:styleId="slug-pub-date3">
    <w:name w:val="slug-pub-date3"/>
    <w:basedOn w:val="DefaultParagraphFont"/>
    <w:rsid w:val="005A6E17"/>
    <w:rPr>
      <w:b/>
      <w:bCs/>
    </w:rPr>
  </w:style>
  <w:style w:type="character" w:customStyle="1" w:styleId="slug-vol">
    <w:name w:val="slug-vol"/>
    <w:basedOn w:val="DefaultParagraphFont"/>
    <w:rsid w:val="005A6E17"/>
  </w:style>
  <w:style w:type="character" w:customStyle="1" w:styleId="slug-issue">
    <w:name w:val="slug-issue"/>
    <w:basedOn w:val="DefaultParagraphFont"/>
    <w:rsid w:val="005A6E17"/>
  </w:style>
  <w:style w:type="character" w:customStyle="1" w:styleId="slug-pages3">
    <w:name w:val="slug-pages3"/>
    <w:basedOn w:val="DefaultParagraphFont"/>
    <w:rsid w:val="005A6E17"/>
    <w:rPr>
      <w:b/>
      <w:bCs/>
    </w:rPr>
  </w:style>
  <w:style w:type="character" w:customStyle="1" w:styleId="slug-doi">
    <w:name w:val="slug-doi"/>
    <w:basedOn w:val="DefaultParagraphFont"/>
    <w:rsid w:val="005A6E17"/>
  </w:style>
  <w:style w:type="character" w:customStyle="1" w:styleId="link-text">
    <w:name w:val="link-text"/>
    <w:basedOn w:val="DefaultParagraphFont"/>
    <w:rsid w:val="005A6E17"/>
  </w:style>
  <w:style w:type="paragraph" w:customStyle="1" w:styleId="Bulletpointlist">
    <w:name w:val="Bullet point list"/>
    <w:basedOn w:val="ListParagraph"/>
    <w:link w:val="BulletpointlistChar"/>
    <w:qFormat/>
    <w:rsid w:val="005A6E17"/>
    <w:pPr>
      <w:spacing w:before="120" w:after="120" w:line="240" w:lineRule="auto"/>
      <w:ind w:left="0" w:hanging="360"/>
    </w:pPr>
    <w:rPr>
      <w:szCs w:val="20"/>
    </w:rPr>
  </w:style>
  <w:style w:type="character" w:customStyle="1" w:styleId="BulletpointlistChar">
    <w:name w:val="Bullet point list Char"/>
    <w:basedOn w:val="ListParagraphChar"/>
    <w:link w:val="Bulletpointlist"/>
    <w:rsid w:val="005A6E17"/>
    <w:rPr>
      <w:rFonts w:asciiTheme="minorHAnsi" w:hAnsiTheme="minorHAnsi"/>
      <w:sz w:val="22"/>
      <w:szCs w:val="20"/>
    </w:rPr>
  </w:style>
  <w:style w:type="paragraph" w:customStyle="1" w:styleId="08Tablefootnotes">
    <w:name w:val="08. Table footnotes"/>
    <w:link w:val="08TablefootnotesChar"/>
    <w:qFormat/>
    <w:rsid w:val="006E4DB4"/>
    <w:rPr>
      <w:rFonts w:eastAsiaTheme="minorHAnsi" w:cstheme="minorBidi"/>
      <w:sz w:val="16"/>
      <w:szCs w:val="16"/>
      <w:lang w:eastAsia="en-US"/>
    </w:rPr>
  </w:style>
  <w:style w:type="character" w:customStyle="1" w:styleId="08TablefootnotesChar">
    <w:name w:val="08. Table footnotes Char"/>
    <w:basedOn w:val="DefaultParagraphFont"/>
    <w:link w:val="08Tablefootnotes"/>
    <w:rsid w:val="006E4DB4"/>
    <w:rPr>
      <w:rFonts w:eastAsiaTheme="minorHAnsi" w:cstheme="minorBidi"/>
      <w:sz w:val="16"/>
      <w:szCs w:val="16"/>
      <w:lang w:eastAsia="en-US"/>
    </w:rPr>
  </w:style>
  <w:style w:type="character" w:customStyle="1" w:styleId="s40">
    <w:name w:val="s40"/>
    <w:basedOn w:val="DefaultParagraphFont"/>
    <w:rsid w:val="005A6E17"/>
  </w:style>
  <w:style w:type="character" w:customStyle="1" w:styleId="st1">
    <w:name w:val="st1"/>
    <w:basedOn w:val="DefaultParagraphFont"/>
    <w:rsid w:val="005A6E17"/>
  </w:style>
  <w:style w:type="character" w:customStyle="1" w:styleId="EndNoteBibliographyChar">
    <w:name w:val="EndNote Bibliography Char"/>
    <w:basedOn w:val="DefaultParagraphFont"/>
    <w:link w:val="EndNoteBibliography"/>
    <w:rsid w:val="005A6E17"/>
    <w:rPr>
      <w:rFonts w:ascii="Cambria" w:eastAsiaTheme="minorEastAsia" w:hAnsi="Cambria" w:cstheme="minorBidi"/>
      <w:lang w:val="en-US" w:eastAsia="en-US"/>
    </w:rPr>
  </w:style>
  <w:style w:type="paragraph" w:customStyle="1" w:styleId="01Tableheadingorsubheading">
    <w:name w:val="01. Table heading or subheading"/>
    <w:link w:val="01TableheadingorsubheadingChar"/>
    <w:qFormat/>
    <w:rsid w:val="005A6E17"/>
    <w:pPr>
      <w:keepNext/>
      <w:spacing w:before="40"/>
    </w:pPr>
    <w:rPr>
      <w:rFonts w:asciiTheme="minorHAnsi" w:eastAsiaTheme="minorHAnsi" w:hAnsiTheme="minorHAnsi"/>
      <w:b/>
      <w:color w:val="FFFFFF" w:themeColor="background1"/>
      <w:sz w:val="18"/>
      <w:szCs w:val="22"/>
      <w:lang w:eastAsia="en-US"/>
    </w:rPr>
  </w:style>
  <w:style w:type="character" w:customStyle="1" w:styleId="01TableheadingorsubheadingChar">
    <w:name w:val="01. Table heading or subheading Char"/>
    <w:basedOn w:val="TabletextChar"/>
    <w:link w:val="01Tableheadingorsubheading"/>
    <w:rsid w:val="005A6E17"/>
    <w:rPr>
      <w:rFonts w:asciiTheme="minorHAnsi" w:eastAsiaTheme="minorHAnsi" w:hAnsiTheme="minorHAnsi"/>
      <w:b/>
      <w:color w:val="FFFFFF" w:themeColor="background1"/>
      <w:sz w:val="18"/>
      <w:szCs w:val="22"/>
      <w:lang w:eastAsia="en-US"/>
    </w:rPr>
  </w:style>
  <w:style w:type="paragraph" w:customStyle="1" w:styleId="TitlePageLowercase">
    <w:name w:val="Title Page Lowercase"/>
    <w:basedOn w:val="Normal"/>
    <w:link w:val="TitlePageLowercaseChar"/>
    <w:qFormat/>
    <w:rsid w:val="005A6E17"/>
    <w:pPr>
      <w:tabs>
        <w:tab w:val="left" w:pos="885"/>
      </w:tabs>
      <w:spacing w:before="0" w:after="240" w:line="240" w:lineRule="auto"/>
      <w:jc w:val="center"/>
    </w:pPr>
    <w:rPr>
      <w:rFonts w:ascii="Times New Roman" w:eastAsiaTheme="minorHAnsi" w:hAnsi="Times New Roman" w:cstheme="minorBidi"/>
      <w:b/>
      <w:sz w:val="36"/>
      <w:szCs w:val="36"/>
      <w:lang w:eastAsia="en-US"/>
    </w:rPr>
  </w:style>
  <w:style w:type="character" w:customStyle="1" w:styleId="TitlePageLowercaseChar">
    <w:name w:val="Title Page Lowercase Char"/>
    <w:basedOn w:val="DefaultParagraphFont"/>
    <w:link w:val="TitlePageLowercase"/>
    <w:rsid w:val="005A6E17"/>
    <w:rPr>
      <w:rFonts w:eastAsiaTheme="minorHAnsi" w:cstheme="minorBidi"/>
      <w:b/>
      <w:sz w:val="36"/>
      <w:szCs w:val="36"/>
      <w:lang w:eastAsia="en-US"/>
    </w:rPr>
  </w:style>
  <w:style w:type="paragraph" w:customStyle="1" w:styleId="TITLEPAGECAPS">
    <w:name w:val="TITLE PAGE CAPS"/>
    <w:basedOn w:val="Normal"/>
    <w:link w:val="TITLEPAGECAPSChar"/>
    <w:qFormat/>
    <w:rsid w:val="005A6E17"/>
    <w:pPr>
      <w:tabs>
        <w:tab w:val="left" w:pos="885"/>
      </w:tabs>
      <w:spacing w:before="0" w:after="240" w:line="240" w:lineRule="auto"/>
      <w:jc w:val="center"/>
    </w:pPr>
    <w:rPr>
      <w:rFonts w:ascii="Times New Roman Bold" w:eastAsiaTheme="minorHAnsi" w:hAnsi="Times New Roman Bold" w:cstheme="minorBidi"/>
      <w:b/>
      <w:caps/>
      <w:sz w:val="36"/>
      <w:szCs w:val="36"/>
      <w:lang w:eastAsia="en-US"/>
    </w:rPr>
  </w:style>
  <w:style w:type="character" w:customStyle="1" w:styleId="TITLEPAGECAPSChar">
    <w:name w:val="TITLE PAGE CAPS Char"/>
    <w:basedOn w:val="DefaultParagraphFont"/>
    <w:link w:val="TITLEPAGECAPS"/>
    <w:rsid w:val="005A6E17"/>
    <w:rPr>
      <w:rFonts w:ascii="Times New Roman Bold" w:eastAsiaTheme="minorHAnsi" w:hAnsi="Times New Roman Bold" w:cstheme="minorBidi"/>
      <w:b/>
      <w:caps/>
      <w:sz w:val="36"/>
      <w:szCs w:val="36"/>
      <w:lang w:eastAsia="en-US"/>
    </w:rPr>
  </w:style>
  <w:style w:type="paragraph" w:customStyle="1" w:styleId="09Tablefootnoteslast-nostick">
    <w:name w:val="09. Table footnotes last - no stick"/>
    <w:next w:val="BodyText"/>
    <w:qFormat/>
    <w:rsid w:val="005A6E17"/>
    <w:pPr>
      <w:spacing w:after="360"/>
    </w:pPr>
    <w:rPr>
      <w:rFonts w:eastAsiaTheme="minorHAnsi" w:cstheme="minorBidi"/>
      <w:sz w:val="16"/>
      <w:szCs w:val="16"/>
      <w:lang w:eastAsia="en-US"/>
    </w:rPr>
  </w:style>
  <w:style w:type="paragraph" w:customStyle="1" w:styleId="03Tabletextspacebefore">
    <w:name w:val="03. Table text space before"/>
    <w:qFormat/>
    <w:rsid w:val="005A6E17"/>
    <w:pPr>
      <w:spacing w:before="60"/>
    </w:pPr>
    <w:rPr>
      <w:rFonts w:eastAsiaTheme="minorHAnsi" w:cstheme="minorBidi"/>
      <w:sz w:val="18"/>
      <w:szCs w:val="16"/>
      <w:lang w:eastAsia="en-US"/>
    </w:rPr>
  </w:style>
  <w:style w:type="paragraph" w:customStyle="1" w:styleId="04Tabletextspaceitalics">
    <w:name w:val="04. Table text space italics"/>
    <w:qFormat/>
    <w:rsid w:val="005A6E17"/>
    <w:pPr>
      <w:keepNext/>
      <w:spacing w:before="120"/>
    </w:pPr>
    <w:rPr>
      <w:rFonts w:eastAsiaTheme="minorHAnsi"/>
      <w:i/>
      <w:sz w:val="18"/>
      <w:szCs w:val="22"/>
      <w:lang w:eastAsia="en-US"/>
    </w:rPr>
  </w:style>
  <w:style w:type="paragraph" w:customStyle="1" w:styleId="05Tablebold">
    <w:name w:val="05. Table bold"/>
    <w:next w:val="Tabletext"/>
    <w:qFormat/>
    <w:rsid w:val="005A6E17"/>
    <w:pPr>
      <w:keepNext/>
      <w:spacing w:before="20"/>
    </w:pPr>
    <w:rPr>
      <w:rFonts w:eastAsiaTheme="minorHAnsi"/>
      <w:b/>
      <w:sz w:val="18"/>
      <w:szCs w:val="22"/>
      <w:lang w:eastAsia="en-US"/>
    </w:rPr>
  </w:style>
  <w:style w:type="paragraph" w:customStyle="1" w:styleId="06Tablebullet">
    <w:name w:val="06. Table bullet"/>
    <w:qFormat/>
    <w:rsid w:val="005A6E17"/>
    <w:pPr>
      <w:numPr>
        <w:numId w:val="10"/>
      </w:numPr>
      <w:ind w:left="284" w:hanging="227"/>
    </w:pPr>
    <w:rPr>
      <w:rFonts w:eastAsiaTheme="minorHAnsi"/>
      <w:sz w:val="18"/>
      <w:szCs w:val="22"/>
      <w:lang w:eastAsia="en-US"/>
    </w:rPr>
  </w:style>
  <w:style w:type="paragraph" w:customStyle="1" w:styleId="07Tableright-aligned">
    <w:name w:val="07. Table $ right-aligned"/>
    <w:qFormat/>
    <w:rsid w:val="005A6E17"/>
    <w:pPr>
      <w:spacing w:before="20"/>
      <w:ind w:right="113"/>
      <w:jc w:val="right"/>
    </w:pPr>
    <w:rPr>
      <w:rFonts w:eastAsiaTheme="minorHAnsi"/>
      <w:sz w:val="18"/>
      <w:szCs w:val="22"/>
      <w:lang w:eastAsia="en-US"/>
    </w:rPr>
  </w:style>
  <w:style w:type="numbering" w:customStyle="1" w:styleId="Headings">
    <w:name w:val="Headings"/>
    <w:uiPriority w:val="99"/>
    <w:rsid w:val="005A6E17"/>
    <w:pPr>
      <w:numPr>
        <w:numId w:val="11"/>
      </w:numPr>
    </w:pPr>
  </w:style>
  <w:style w:type="paragraph" w:customStyle="1" w:styleId="References">
    <w:name w:val="References"/>
    <w:qFormat/>
    <w:rsid w:val="006618D2"/>
    <w:pPr>
      <w:spacing w:before="120"/>
      <w:ind w:left="567" w:hanging="567"/>
    </w:pPr>
    <w:rPr>
      <w:rFonts w:asciiTheme="minorHAnsi" w:eastAsiaTheme="minorHAnsi" w:hAnsiTheme="minorHAnsi" w:cstheme="minorBidi"/>
      <w:sz w:val="20"/>
      <w:szCs w:val="22"/>
      <w:lang w:eastAsia="en-US"/>
    </w:rPr>
  </w:style>
  <w:style w:type="paragraph" w:customStyle="1" w:styleId="Heading3a">
    <w:name w:val="Heading 3a"/>
    <w:basedOn w:val="Heading3"/>
    <w:qFormat/>
    <w:rsid w:val="00DD77BD"/>
    <w:rPr>
      <w:szCs w:val="20"/>
    </w:rPr>
  </w:style>
  <w:style w:type="paragraph" w:customStyle="1" w:styleId="BodyTextFirstafterheading">
    <w:name w:val="Body Text First (after heading)"/>
    <w:next w:val="BodyText"/>
    <w:rsid w:val="005A6E17"/>
    <w:pPr>
      <w:spacing w:before="60"/>
    </w:pPr>
    <w:rPr>
      <w:rFonts w:eastAsiaTheme="minorHAnsi"/>
      <w:lang w:eastAsia="en-US"/>
    </w:rPr>
  </w:style>
  <w:style w:type="paragraph" w:customStyle="1" w:styleId="05Tableboldspace">
    <w:name w:val="05. Table bold space"/>
    <w:basedOn w:val="Tabletext"/>
    <w:qFormat/>
    <w:rsid w:val="005A6E17"/>
    <w:pPr>
      <w:keepNext/>
      <w:spacing w:before="60"/>
    </w:pPr>
    <w:rPr>
      <w:rFonts w:ascii="Times New Roman" w:eastAsiaTheme="minorHAnsi" w:hAnsi="Times New Roman"/>
      <w:b/>
      <w:sz w:val="18"/>
      <w:szCs w:val="22"/>
      <w:lang w:eastAsia="en-US"/>
    </w:rPr>
  </w:style>
  <w:style w:type="paragraph" w:customStyle="1" w:styleId="Footerforportraitorientation">
    <w:name w:val="Footer for portrait orientation"/>
    <w:basedOn w:val="Normal"/>
    <w:qFormat/>
    <w:rsid w:val="005A6E17"/>
    <w:pPr>
      <w:pBdr>
        <w:top w:val="single" w:sz="6" w:space="3" w:color="auto"/>
      </w:pBdr>
      <w:tabs>
        <w:tab w:val="right" w:pos="9072"/>
      </w:tabs>
      <w:spacing w:before="0" w:after="240" w:line="240" w:lineRule="auto"/>
    </w:pPr>
    <w:rPr>
      <w:rFonts w:ascii="Times New Roman" w:eastAsiaTheme="minorHAnsi" w:hAnsi="Times New Roman" w:cstheme="minorBidi"/>
      <w:b/>
      <w:sz w:val="18"/>
      <w:szCs w:val="18"/>
      <w:lang w:eastAsia="en-US"/>
    </w:rPr>
  </w:style>
  <w:style w:type="paragraph" w:customStyle="1" w:styleId="Footerforlandscapeorientation">
    <w:name w:val="Footer for landscape orientation"/>
    <w:basedOn w:val="Footerforportraitorientation"/>
    <w:qFormat/>
    <w:rsid w:val="005A6E17"/>
    <w:pPr>
      <w:tabs>
        <w:tab w:val="clear" w:pos="9072"/>
        <w:tab w:val="right" w:pos="13948"/>
      </w:tabs>
    </w:pPr>
  </w:style>
  <w:style w:type="paragraph" w:customStyle="1" w:styleId="Picwithbox">
    <w:name w:val="Pic with box"/>
    <w:basedOn w:val="Normal"/>
    <w:next w:val="08Tablefootnotes"/>
    <w:qFormat/>
    <w:rsid w:val="00957CB3"/>
    <w:pPr>
      <w:keepNext/>
      <w:pBdr>
        <w:top w:val="single" w:sz="4" w:space="1" w:color="auto"/>
        <w:left w:val="single" w:sz="4" w:space="4" w:color="auto"/>
        <w:bottom w:val="single" w:sz="4" w:space="1" w:color="auto"/>
        <w:right w:val="single" w:sz="4" w:space="4" w:color="auto"/>
      </w:pBdr>
      <w:spacing w:before="0" w:after="0" w:line="240" w:lineRule="auto"/>
      <w:jc w:val="center"/>
    </w:pPr>
    <w:rPr>
      <w:rFonts w:ascii="Times New Roman" w:eastAsiaTheme="minorHAnsi" w:hAnsi="Times New Roman" w:cstheme="minorBidi"/>
      <w:sz w:val="24"/>
      <w:szCs w:val="22"/>
      <w:lang w:eastAsia="en-US"/>
    </w:rPr>
  </w:style>
  <w:style w:type="paragraph" w:customStyle="1" w:styleId="Preamble1">
    <w:name w:val="Preamble 1"/>
    <w:next w:val="E-mailSignature"/>
    <w:qFormat/>
    <w:rsid w:val="005A6E17"/>
    <w:pPr>
      <w:spacing w:before="240" w:line="259" w:lineRule="auto"/>
    </w:pPr>
    <w:rPr>
      <w:rFonts w:eastAsiaTheme="minorHAnsi" w:cstheme="minorBidi"/>
      <w:b/>
      <w:i/>
      <w:sz w:val="26"/>
      <w:szCs w:val="26"/>
      <w:lang w:eastAsia="en-US"/>
    </w:rPr>
  </w:style>
  <w:style w:type="paragraph" w:styleId="E-mailSignature">
    <w:name w:val="E-mail Signature"/>
    <w:basedOn w:val="Normal"/>
    <w:link w:val="E-mailSignatureChar"/>
    <w:uiPriority w:val="99"/>
    <w:unhideWhenUsed/>
    <w:rsid w:val="005A6E17"/>
    <w:pPr>
      <w:spacing w:before="0" w:after="0" w:line="240" w:lineRule="auto"/>
    </w:pPr>
    <w:rPr>
      <w:rFonts w:ascii="Times New Roman" w:eastAsiaTheme="minorHAnsi" w:hAnsi="Times New Roman" w:cstheme="minorBidi"/>
      <w:sz w:val="24"/>
      <w:szCs w:val="22"/>
      <w:lang w:eastAsia="en-US"/>
    </w:rPr>
  </w:style>
  <w:style w:type="character" w:customStyle="1" w:styleId="E-mailSignatureChar">
    <w:name w:val="E-mail Signature Char"/>
    <w:basedOn w:val="DefaultParagraphFont"/>
    <w:link w:val="E-mailSignature"/>
    <w:uiPriority w:val="99"/>
    <w:rsid w:val="005A6E17"/>
    <w:rPr>
      <w:rFonts w:eastAsiaTheme="minorHAnsi" w:cstheme="minorBidi"/>
      <w:szCs w:val="22"/>
      <w:lang w:eastAsia="en-US"/>
    </w:rPr>
  </w:style>
  <w:style w:type="paragraph" w:customStyle="1" w:styleId="Boxedheadingtext">
    <w:name w:val="Boxed heading text"/>
    <w:next w:val="BodyText"/>
    <w:qFormat/>
    <w:rsid w:val="005A6E17"/>
    <w:pPr>
      <w:keepNext/>
      <w:pBdr>
        <w:top w:val="single" w:sz="4" w:space="1" w:color="auto"/>
        <w:left w:val="single" w:sz="4" w:space="4" w:color="auto"/>
        <w:bottom w:val="single" w:sz="4" w:space="1" w:color="auto"/>
        <w:right w:val="single" w:sz="4" w:space="4" w:color="auto"/>
      </w:pBdr>
      <w:spacing w:before="120" w:line="259" w:lineRule="auto"/>
    </w:pPr>
    <w:rPr>
      <w:rFonts w:eastAsiaTheme="minorHAnsi"/>
      <w:b/>
      <w:szCs w:val="22"/>
      <w:lang w:eastAsia="en-US"/>
    </w:rPr>
  </w:style>
  <w:style w:type="paragraph" w:customStyle="1" w:styleId="Boxedsubheading">
    <w:name w:val="Boxed subheading"/>
    <w:next w:val="BodyText"/>
    <w:qFormat/>
    <w:rsid w:val="005A6E17"/>
    <w:pPr>
      <w:spacing w:before="160" w:after="120" w:line="259" w:lineRule="auto"/>
    </w:pPr>
    <w:rPr>
      <w:rFonts w:ascii="Cambria" w:eastAsiaTheme="majorEastAsia" w:hAnsi="Cambria" w:cstheme="majorBidi"/>
      <w:b/>
      <w:i/>
      <w:sz w:val="22"/>
      <w:szCs w:val="22"/>
      <w:lang w:eastAsia="en-US"/>
    </w:rPr>
  </w:style>
  <w:style w:type="character" w:customStyle="1" w:styleId="A9">
    <w:name w:val="A9"/>
    <w:uiPriority w:val="99"/>
    <w:rsid w:val="005A6E17"/>
    <w:rPr>
      <w:rFonts w:cs="News Gothic BT"/>
      <w:color w:val="000000"/>
      <w:sz w:val="11"/>
      <w:szCs w:val="11"/>
    </w:rPr>
  </w:style>
  <w:style w:type="character" w:customStyle="1" w:styleId="A18">
    <w:name w:val="A18"/>
    <w:uiPriority w:val="99"/>
    <w:rsid w:val="005A6E17"/>
    <w:rPr>
      <w:rFonts w:cs="News Gothic BT"/>
      <w:color w:val="000000"/>
      <w:sz w:val="11"/>
      <w:szCs w:val="11"/>
    </w:rPr>
  </w:style>
  <w:style w:type="character" w:customStyle="1" w:styleId="tgc">
    <w:name w:val="_tgc"/>
    <w:basedOn w:val="DefaultParagraphFont"/>
    <w:rsid w:val="005A6E17"/>
  </w:style>
  <w:style w:type="table" w:customStyle="1" w:styleId="TableGrid4">
    <w:name w:val="Table Grid4"/>
    <w:basedOn w:val="TableNormal"/>
    <w:next w:val="TableGrid"/>
    <w:uiPriority w:val="39"/>
    <w:rsid w:val="006E1E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Heading1">
    <w:name w:val="Att Heading 1"/>
    <w:basedOn w:val="Heading1"/>
    <w:link w:val="AttHeading1Char"/>
    <w:qFormat/>
    <w:rsid w:val="00591B04"/>
    <w:pPr>
      <w:numPr>
        <w:numId w:val="0"/>
      </w:numPr>
      <w:spacing w:before="160"/>
      <w:outlineLvl w:val="1"/>
    </w:pPr>
    <w:rPr>
      <w:rFonts w:ascii="Cambria" w:hAnsi="Cambria"/>
      <w:b w:val="0"/>
      <w:color w:val="365F91" w:themeColor="accent1" w:themeShade="BF"/>
      <w:sz w:val="28"/>
    </w:rPr>
  </w:style>
  <w:style w:type="paragraph" w:customStyle="1" w:styleId="AttHeading2">
    <w:name w:val="Att Heading 2"/>
    <w:basedOn w:val="AttHeading1"/>
    <w:link w:val="AttHeading2Char"/>
    <w:qFormat/>
    <w:rsid w:val="003105FB"/>
    <w:pPr>
      <w:outlineLvl w:val="2"/>
    </w:pPr>
    <w:rPr>
      <w:b/>
      <w:sz w:val="22"/>
    </w:rPr>
  </w:style>
  <w:style w:type="character" w:customStyle="1" w:styleId="AttHeading1Char">
    <w:name w:val="Att Heading 1 Char"/>
    <w:basedOn w:val="Heading2Char"/>
    <w:link w:val="AttHeading1"/>
    <w:rsid w:val="00591B04"/>
    <w:rPr>
      <w:rFonts w:ascii="Cambria" w:eastAsiaTheme="minorHAnsi" w:hAnsi="Cambria" w:cs="Arial"/>
      <w:b w:val="0"/>
      <w:bCs/>
      <w:iCs w:val="0"/>
      <w:color w:val="365F91" w:themeColor="accent1" w:themeShade="BF"/>
      <w:kern w:val="32"/>
      <w:sz w:val="28"/>
      <w:szCs w:val="28"/>
      <w:lang w:val="en-US" w:eastAsia="en-US"/>
    </w:rPr>
  </w:style>
  <w:style w:type="paragraph" w:customStyle="1" w:styleId="AttHeading3">
    <w:name w:val="Att Heading 3"/>
    <w:basedOn w:val="AttHeading2"/>
    <w:link w:val="AttHeading3Char"/>
    <w:qFormat/>
    <w:rsid w:val="003105FB"/>
    <w:pPr>
      <w:outlineLvl w:val="3"/>
    </w:pPr>
    <w:rPr>
      <w:b w:val="0"/>
      <w:i/>
    </w:rPr>
  </w:style>
  <w:style w:type="character" w:customStyle="1" w:styleId="AttHeading2Char">
    <w:name w:val="Att Heading 2 Char"/>
    <w:basedOn w:val="BodyTextChar"/>
    <w:link w:val="AttHeading2"/>
    <w:rsid w:val="003105FB"/>
    <w:rPr>
      <w:rFonts w:ascii="Cambria" w:eastAsiaTheme="minorHAnsi" w:hAnsi="Cambria" w:cs="Arial"/>
      <w:b/>
      <w:bCs/>
      <w:color w:val="365F91" w:themeColor="accent1" w:themeShade="BF"/>
      <w:kern w:val="32"/>
      <w:sz w:val="22"/>
      <w:szCs w:val="28"/>
      <w:lang w:val="en-US" w:eastAsia="en-US"/>
    </w:rPr>
  </w:style>
  <w:style w:type="character" w:customStyle="1" w:styleId="AttHeading3Char">
    <w:name w:val="Att Heading 3 Char"/>
    <w:basedOn w:val="BodyTextChar"/>
    <w:link w:val="AttHeading3"/>
    <w:rsid w:val="003105FB"/>
    <w:rPr>
      <w:rFonts w:ascii="Cambria" w:eastAsiaTheme="minorHAnsi" w:hAnsi="Cambria" w:cs="Arial"/>
      <w:b/>
      <w:bCs/>
      <w:i/>
      <w:color w:val="365F91" w:themeColor="accent1" w:themeShade="BF"/>
      <w:kern w:val="32"/>
      <w:sz w:val="22"/>
      <w:szCs w:val="28"/>
      <w:lang w:val="en-US" w:eastAsia="en-US"/>
    </w:rPr>
  </w:style>
  <w:style w:type="paragraph" w:customStyle="1" w:styleId="Appcaption">
    <w:name w:val="App caption"/>
    <w:basedOn w:val="Caption"/>
    <w:link w:val="AppcaptionChar"/>
    <w:qFormat/>
    <w:rsid w:val="005C3A85"/>
  </w:style>
  <w:style w:type="character" w:customStyle="1" w:styleId="AppcaptionChar">
    <w:name w:val="App caption Char"/>
    <w:basedOn w:val="CaptionChar"/>
    <w:link w:val="Appcaption"/>
    <w:rsid w:val="005C3A85"/>
    <w:rPr>
      <w:rFonts w:asciiTheme="minorHAnsi" w:eastAsiaTheme="minorHAnsi" w:hAnsiTheme="minorHAnsi" w:cs="Arial"/>
      <w:i/>
      <w:sz w:val="20"/>
      <w:szCs w:val="22"/>
      <w:lang w:eastAsia="en-US"/>
    </w:rPr>
  </w:style>
  <w:style w:type="paragraph" w:customStyle="1" w:styleId="AppendixStyle2">
    <w:name w:val="Appendix Style2"/>
    <w:basedOn w:val="Heading2Report"/>
    <w:qFormat/>
    <w:rsid w:val="00B83773"/>
    <w:pPr>
      <w:numPr>
        <w:ilvl w:val="0"/>
        <w:numId w:val="0"/>
      </w:numPr>
      <w:spacing w:before="240"/>
      <w:ind w:right="0"/>
    </w:pPr>
    <w:rPr>
      <w:color w:val="auto"/>
    </w:rPr>
  </w:style>
  <w:style w:type="paragraph" w:customStyle="1" w:styleId="AttHeading5">
    <w:name w:val="Att Heading 5"/>
    <w:basedOn w:val="BodyText"/>
    <w:qFormat/>
    <w:rsid w:val="00134608"/>
    <w:pPr>
      <w:keepNext/>
    </w:pPr>
    <w:rPr>
      <w:i/>
      <w:sz w:val="20"/>
    </w:rPr>
  </w:style>
  <w:style w:type="paragraph" w:customStyle="1" w:styleId="BoxText">
    <w:name w:val="BoxText"/>
    <w:basedOn w:val="Normal"/>
    <w:qFormat/>
    <w:rsid w:val="00E74CB1"/>
    <w:pPr>
      <w:pBdr>
        <w:top w:val="single" w:sz="12" w:space="4" w:color="C75F09"/>
        <w:left w:val="single" w:sz="12" w:space="4" w:color="C75F09"/>
        <w:bottom w:val="single" w:sz="12" w:space="4" w:color="C75F09"/>
        <w:right w:val="single" w:sz="12" w:space="4" w:color="C75F09"/>
      </w:pBdr>
      <w:spacing w:before="0" w:after="120" w:line="240" w:lineRule="auto"/>
    </w:pPr>
    <w:rPr>
      <w:rFonts w:ascii="Calibri" w:hAnsi="Calibri"/>
      <w:color w:val="000000"/>
      <w:szCs w:val="20"/>
    </w:rPr>
  </w:style>
  <w:style w:type="paragraph" w:customStyle="1" w:styleId="BoxBullet">
    <w:name w:val="BoxBullet"/>
    <w:basedOn w:val="BoxText"/>
    <w:rsid w:val="00E74CB1"/>
    <w:pPr>
      <w:numPr>
        <w:numId w:val="18"/>
      </w:numPr>
    </w:pPr>
  </w:style>
  <w:style w:type="paragraph" w:customStyle="1" w:styleId="Style01TableheadingorsubheadingText1">
    <w:name w:val="Style 01. Table heading or subheading + Text 1"/>
    <w:basedOn w:val="01Tableheadingorsubheading"/>
    <w:rsid w:val="00A403FC"/>
    <w:rPr>
      <w:bCs/>
      <w:color w:val="000000" w:themeColor="text1"/>
      <w:sz w:val="20"/>
    </w:rPr>
  </w:style>
  <w:style w:type="paragraph" w:customStyle="1" w:styleId="Tableheading">
    <w:name w:val="Table heading"/>
    <w:basedOn w:val="01Tableheadingorsubheading"/>
    <w:rsid w:val="00D53234"/>
    <w:pPr>
      <w:spacing w:after="40"/>
    </w:pPr>
    <w:rPr>
      <w:bCs/>
      <w:color w:val="000000" w:themeColor="text1"/>
      <w:sz w:val="20"/>
    </w:rPr>
  </w:style>
  <w:style w:type="paragraph" w:customStyle="1" w:styleId="Heading2a">
    <w:name w:val="Heading 2a"/>
    <w:basedOn w:val="Heading2"/>
    <w:qFormat/>
    <w:rsid w:val="006F1493"/>
    <w:pPr>
      <w:numPr>
        <w:ilvl w:val="0"/>
        <w:numId w:val="0"/>
      </w:numPr>
    </w:pPr>
  </w:style>
  <w:style w:type="paragraph" w:customStyle="1" w:styleId="StyleTabletext10pt">
    <w:name w:val="Style Table text + 10 pt"/>
    <w:basedOn w:val="Tabletext"/>
    <w:rsid w:val="003C25D3"/>
  </w:style>
  <w:style w:type="paragraph" w:customStyle="1" w:styleId="TableTextDecimalAlign">
    <w:name w:val="TableTextDecimalAlign"/>
    <w:basedOn w:val="Normal"/>
    <w:rsid w:val="009669AE"/>
    <w:pPr>
      <w:keepNext/>
      <w:tabs>
        <w:tab w:val="decimal" w:pos="1119"/>
      </w:tabs>
      <w:spacing w:before="40" w:after="0" w:line="264" w:lineRule="auto"/>
    </w:pPr>
    <w:rPr>
      <w:rFonts w:ascii="Calibri" w:hAnsi="Calibri"/>
      <w:color w:val="000000"/>
      <w:sz w:val="20"/>
      <w:szCs w:val="21"/>
    </w:rPr>
  </w:style>
  <w:style w:type="paragraph" w:customStyle="1" w:styleId="Heading2F">
    <w:name w:val="Heading 2F"/>
    <w:basedOn w:val="Normal"/>
    <w:rsid w:val="00BE2BF4"/>
    <w:pPr>
      <w:spacing w:before="240"/>
    </w:pPr>
    <w:rPr>
      <w:rFonts w:ascii="Times New Roman Bold" w:hAnsi="Times New Roman Bold"/>
      <w:b/>
      <w:bCs/>
      <w:caps/>
      <w:szCs w:val="20"/>
    </w:rPr>
  </w:style>
  <w:style w:type="paragraph" w:customStyle="1" w:styleId="Heading3F">
    <w:name w:val="Heading 3F"/>
    <w:basedOn w:val="Normal"/>
    <w:rsid w:val="004B2BA0"/>
    <w:pPr>
      <w:spacing w:before="240"/>
      <w:jc w:val="both"/>
    </w:pPr>
    <w:rPr>
      <w:rFonts w:ascii="Times New Roman Bold" w:hAnsi="Times New Roman Bold"/>
      <w:b/>
      <w:bCs/>
      <w:iCs/>
      <w:sz w:val="24"/>
      <w:szCs w:val="20"/>
    </w:rPr>
  </w:style>
  <w:style w:type="paragraph" w:customStyle="1" w:styleId="Heading4F">
    <w:name w:val="Heading 4F"/>
    <w:basedOn w:val="Heading3F"/>
    <w:qFormat/>
    <w:rsid w:val="004B2BA0"/>
    <w:rPr>
      <w:i/>
      <w:sz w:val="22"/>
    </w:rPr>
  </w:style>
  <w:style w:type="character" w:customStyle="1" w:styleId="StyleTimesNewRoman">
    <w:name w:val="Style Times New Roman"/>
    <w:basedOn w:val="DefaultParagraphFont"/>
    <w:rsid w:val="006641EA"/>
    <w:rPr>
      <w:rFonts w:ascii="Times New Roman" w:hAnsi="Times New Roman"/>
    </w:rPr>
  </w:style>
  <w:style w:type="paragraph" w:customStyle="1" w:styleId="NormalF">
    <w:name w:val="Normal F"/>
    <w:basedOn w:val="Normal"/>
    <w:qFormat/>
    <w:rsid w:val="00733DE0"/>
    <w:pPr>
      <w:spacing w:after="240"/>
      <w:jc w:val="both"/>
    </w:pPr>
    <w:rPr>
      <w:rFonts w:ascii="Times New Roman" w:hAnsi="Times New Roman"/>
    </w:rPr>
  </w:style>
  <w:style w:type="paragraph" w:customStyle="1" w:styleId="StyleListParagraphTimesNewRomanJustifiedBefore12pt">
    <w:name w:val="Style List Paragraph + Times New Roman Justified Before:  12 pt ..."/>
    <w:basedOn w:val="ListParagraph"/>
    <w:rsid w:val="00F63D92"/>
    <w:pPr>
      <w:pBdr>
        <w:top w:val="single" w:sz="4" w:space="0" w:color="auto"/>
        <w:left w:val="single" w:sz="4" w:space="4" w:color="auto"/>
        <w:bottom w:val="single" w:sz="4" w:space="1" w:color="auto"/>
        <w:right w:val="single" w:sz="4" w:space="4" w:color="auto"/>
      </w:pBdr>
      <w:shd w:val="clear" w:color="auto" w:fill="EEECE1" w:themeFill="background2"/>
      <w:spacing w:before="240" w:after="120" w:line="240" w:lineRule="auto"/>
      <w:jc w:val="both"/>
    </w:pPr>
    <w:rPr>
      <w:rFonts w:ascii="Times New Roman" w:hAnsi="Times New Roman"/>
      <w:szCs w:val="20"/>
    </w:rPr>
  </w:style>
  <w:style w:type="paragraph" w:customStyle="1" w:styleId="StyleListParagraphTimesNewRomanJustifiedBefore12pt1">
    <w:name w:val="Style List Paragraph + Times New Roman Justified Before:  12 pt ...1"/>
    <w:basedOn w:val="ListParagraph"/>
    <w:rsid w:val="00F63D92"/>
    <w:pPr>
      <w:numPr>
        <w:numId w:val="21"/>
      </w:numPr>
      <w:spacing w:before="240" w:after="120"/>
    </w:pPr>
    <w:rPr>
      <w:rFonts w:ascii="Times New Roman" w:hAnsi="Times New Roman"/>
      <w:szCs w:val="20"/>
    </w:rPr>
  </w:style>
  <w:style w:type="paragraph" w:customStyle="1" w:styleId="StyleListParagraphTNRdash">
    <w:name w:val="Style List Paragraph TNR dash"/>
    <w:basedOn w:val="StyleListParagraphTimesNewRomanJustifiedBefore12pt1"/>
    <w:qFormat/>
    <w:rsid w:val="00382924"/>
    <w:pPr>
      <w:numPr>
        <w:numId w:val="22"/>
      </w:numPr>
      <w:spacing w:before="60" w:after="60"/>
      <w:ind w:left="714" w:hanging="357"/>
    </w:pPr>
  </w:style>
  <w:style w:type="paragraph" w:customStyle="1" w:styleId="NormalBulleteda">
    <w:name w:val="Normal Bulleted (a)"/>
    <w:basedOn w:val="Normal"/>
    <w:rsid w:val="001211FD"/>
    <w:pPr>
      <w:tabs>
        <w:tab w:val="left" w:pos="454"/>
      </w:tabs>
      <w:spacing w:before="60" w:after="40"/>
      <w:ind w:left="454" w:hanging="454"/>
    </w:pPr>
    <w:rPr>
      <w:szCs w:val="20"/>
    </w:rPr>
  </w:style>
  <w:style w:type="paragraph" w:customStyle="1" w:styleId="02Tabletext">
    <w:name w:val="02. Table text"/>
    <w:basedOn w:val="Normal"/>
    <w:next w:val="Normal"/>
    <w:link w:val="02TabletextChar"/>
    <w:qFormat/>
    <w:rsid w:val="00F72045"/>
    <w:pPr>
      <w:spacing w:before="40"/>
    </w:pPr>
  </w:style>
  <w:style w:type="character" w:customStyle="1" w:styleId="02TabletextChar">
    <w:name w:val="02. Table text Char"/>
    <w:basedOn w:val="DefaultParagraphFont"/>
    <w:link w:val="02Tabletext"/>
    <w:rsid w:val="00F72045"/>
    <w:rPr>
      <w:rFonts w:asciiTheme="minorHAnsi" w:hAnsiTheme="minorHAnsi"/>
      <w:sz w:val="22"/>
    </w:rPr>
  </w:style>
  <w:style w:type="paragraph" w:customStyle="1" w:styleId="Tablebullet">
    <w:name w:val="Table bullet"/>
    <w:basedOn w:val="Tabletext"/>
    <w:qFormat/>
    <w:rsid w:val="00F86B7D"/>
    <w:pPr>
      <w:numPr>
        <w:numId w:val="33"/>
      </w:numPr>
      <w:spacing w:before="0" w:line="240" w:lineRule="auto"/>
      <w:ind w:left="170" w:hanging="170"/>
    </w:pPr>
    <w:rPr>
      <w:rFonts w:ascii="Calibri" w:hAnsi="Calibri" w:cstheme="minorHAnsi"/>
    </w:rPr>
  </w:style>
  <w:style w:type="paragraph" w:customStyle="1" w:styleId="Normalbulletedtable">
    <w:name w:val="Normal bulleted table"/>
    <w:basedOn w:val="NormalBulleted"/>
    <w:qFormat/>
    <w:rsid w:val="00CF584E"/>
    <w:pPr>
      <w:ind w:left="284" w:hanging="284"/>
    </w:pPr>
    <w:rPr>
      <w:sz w:val="20"/>
    </w:rPr>
  </w:style>
  <w:style w:type="paragraph" w:customStyle="1" w:styleId="TableUnder">
    <w:name w:val="Table Under"/>
    <w:basedOn w:val="TableUnderLast"/>
    <w:qFormat/>
    <w:rsid w:val="008F23CC"/>
    <w:pPr>
      <w:spacing w:after="0"/>
    </w:pPr>
  </w:style>
  <w:style w:type="paragraph" w:customStyle="1" w:styleId="StyleTableUnderLastBold">
    <w:name w:val="Style Table Under Last + Bold"/>
    <w:basedOn w:val="TableUnderLast"/>
    <w:rsid w:val="00330A53"/>
    <w:pPr>
      <w:keepNext/>
      <w:spacing w:before="40" w:after="12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207556">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71479846">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34007766">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35322854">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32278583">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34635492">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5953819">
      <w:bodyDiv w:val="1"/>
      <w:marLeft w:val="0"/>
      <w:marRight w:val="0"/>
      <w:marTop w:val="0"/>
      <w:marBottom w:val="0"/>
      <w:divBdr>
        <w:top w:val="none" w:sz="0" w:space="0" w:color="auto"/>
        <w:left w:val="none" w:sz="0" w:space="0" w:color="auto"/>
        <w:bottom w:val="none" w:sz="0" w:space="0" w:color="auto"/>
        <w:right w:val="none" w:sz="0" w:space="0" w:color="auto"/>
      </w:divBdr>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32820587">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753697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28257512">
      <w:bodyDiv w:val="1"/>
      <w:marLeft w:val="0"/>
      <w:marRight w:val="0"/>
      <w:marTop w:val="0"/>
      <w:marBottom w:val="0"/>
      <w:divBdr>
        <w:top w:val="none" w:sz="0" w:space="0" w:color="auto"/>
        <w:left w:val="none" w:sz="0" w:space="0" w:color="auto"/>
        <w:bottom w:val="none" w:sz="0" w:space="0" w:color="auto"/>
        <w:right w:val="none" w:sz="0" w:space="0" w:color="auto"/>
      </w:divBdr>
    </w:div>
    <w:div w:id="1787961448">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 w:id="211663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yperlink" Target="http://www.nhlbi.nih.gov/health-pro/guidelines/current/asthma-guidelines/full-report"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www.goldcopd.com/" TargetMode="External"/><Relationship Id="rId34" Type="http://schemas.openxmlformats.org/officeDocument/2006/relationships/image" Target="media/image1.tif"/><Relationship Id="rId42" Type="http://schemas.openxmlformats.org/officeDocument/2006/relationships/chart" Target="charts/chart4.xml"/><Relationship Id="rId47" Type="http://schemas.openxmlformats.org/officeDocument/2006/relationships/header" Target="header10.xml"/><Relationship Id="rId50"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yperlink" Target="http://www.medicalboard.gov.au/Codes-Guidelines-Policies/Code-of-conduct.aspx" TargetMode="External"/><Relationship Id="rId17" Type="http://schemas.openxmlformats.org/officeDocument/2006/relationships/hyperlink" Target="http://www.gradeworkinggroup.org/index.htm" TargetMode="External"/><Relationship Id="rId25" Type="http://schemas.openxmlformats.org/officeDocument/2006/relationships/hyperlink" Target="https://www.nice.org.uk/guidance/GID-CGWAVE0640/documents/interim-findings" TargetMode="External"/><Relationship Id="rId33" Type="http://schemas.openxmlformats.org/officeDocument/2006/relationships/footer" Target="footer6.xml"/><Relationship Id="rId38" Type="http://schemas.openxmlformats.org/officeDocument/2006/relationships/header" Target="header8.xml"/><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sign.ac.uk/pdf/SIGN141.pdf" TargetMode="External"/><Relationship Id="rId29" Type="http://schemas.openxmlformats.org/officeDocument/2006/relationships/footer" Target="footer4.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www.nice.org.uk/guidance/cg101" TargetMode="External"/><Relationship Id="rId32" Type="http://schemas.openxmlformats.org/officeDocument/2006/relationships/header" Target="header6.xml"/><Relationship Id="rId37" Type="http://schemas.openxmlformats.org/officeDocument/2006/relationships/footer" Target="footer7.xml"/><Relationship Id="rId40" Type="http://schemas.openxmlformats.org/officeDocument/2006/relationships/hyperlink" Target="https://www.nice.org.uk/Standards-and-Indicators/QOFIndicators" TargetMode="Externa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asthmahandbook.org.au/download-order/complete-handbook" TargetMode="External"/><Relationship Id="rId28" Type="http://schemas.openxmlformats.org/officeDocument/2006/relationships/header" Target="header4.xml"/><Relationship Id="rId36" Type="http://schemas.openxmlformats.org/officeDocument/2006/relationships/header" Target="header7.xml"/><Relationship Id="rId49" Type="http://schemas.openxmlformats.org/officeDocument/2006/relationships/hyperlink" Target="http://erj.ersjournals.com/content/erj/26/2/319.full.pdf" TargetMode="External"/><Relationship Id="rId10" Type="http://schemas.openxmlformats.org/officeDocument/2006/relationships/chart" Target="charts/chart1.xml"/><Relationship Id="rId19" Type="http://schemas.openxmlformats.org/officeDocument/2006/relationships/hyperlink" Target="http://www.asthmahandbook.org.au/clinical-issues/copd/diagnostic-considerations" TargetMode="External"/><Relationship Id="rId31" Type="http://schemas.openxmlformats.org/officeDocument/2006/relationships/footer" Target="footer5.xml"/><Relationship Id="rId44" Type="http://schemas.openxmlformats.org/officeDocument/2006/relationships/chart" Target="charts/chart6.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www.copdx.org.au/" TargetMode="External"/><Relationship Id="rId27" Type="http://schemas.openxmlformats.org/officeDocument/2006/relationships/chart" Target="charts/chart3.xml"/><Relationship Id="rId30" Type="http://schemas.openxmlformats.org/officeDocument/2006/relationships/header" Target="header5.xml"/><Relationship Id="rId35" Type="http://schemas.openxmlformats.org/officeDocument/2006/relationships/image" Target="media/image2.tif"/><Relationship Id="rId43" Type="http://schemas.openxmlformats.org/officeDocument/2006/relationships/chart" Target="charts/chart5.xml"/><Relationship Id="rId48" Type="http://schemas.openxmlformats.org/officeDocument/2006/relationships/hyperlink" Target="https://www.nationalasthma.org.au/living-with-asthma/resources/health-professionals/information-paper/spirometry-handbook" TargetMode="External"/><Relationship Id="rId8" Type="http://schemas.openxmlformats.org/officeDocument/2006/relationships/hyperlink" Target="https://consultations.health.gov.au/"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sthmahandbook.org.au/figure/show/65" TargetMode="External"/><Relationship Id="rId2" Type="http://schemas.openxmlformats.org/officeDocument/2006/relationships/hyperlink" Target="http://www.asthmahandbook.org.au/acute-asthma/clinical/primary-assessment" TargetMode="External"/><Relationship Id="rId1" Type="http://schemas.openxmlformats.org/officeDocument/2006/relationships/hyperlink" Target="http://www.sign.ac.uk/guidelines/fulltext/141/" TargetMode="External"/><Relationship Id="rId6" Type="http://schemas.openxmlformats.org/officeDocument/2006/relationships/hyperlink" Target="https://www.supplychain.nhs.uk/" TargetMode="External"/><Relationship Id="rId5" Type="http://schemas.openxmlformats.org/officeDocument/2006/relationships/hyperlink" Target="http://www.pssru.ac.uk/project-pages/unit-costs/2013/index.php" TargetMode="External"/><Relationship Id="rId4" Type="http://schemas.openxmlformats.org/officeDocument/2006/relationships/hyperlink" Target="http://www.asthmahandbook.org.au/figure/show/6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userenv\users\User_05\fernar\Desktop\Updated%20sleep%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userenv\users\User_05\fernar\Desktop\Updated%20sleep%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applel\AppData\Roaming\Kapish\TRIM%20Explorer\A7\1\2\3\4\5\Respiratory%20function%20tests%20by%20state%20with%20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applel\AppData\Roaming\Kapish\TRIM%20Explorer\A7\1\2\3\4\5\Respiratory%20function%20tests%20by%20state%20with%20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applel\AppData\Roaming\Kapish\TRIM%20Explorer\A7\1\2\3\4\5\Respiratory%20function%20tests%20by%20state%20with%20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applel\AppData\Roaming\Kapish\TRIM%20Explorer\A7\1\2\3\4\5\Respiratory%20function%20tests%20by%20state%20with%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532296670463"/>
          <c:y val="3.43465419490777E-2"/>
          <c:w val="0.66573180226244699"/>
          <c:h val="0.80020456860261502"/>
        </c:manualLayout>
      </c:layout>
      <c:lineChart>
        <c:grouping val="standard"/>
        <c:varyColors val="0"/>
        <c:ser>
          <c:idx val="0"/>
          <c:order val="0"/>
          <c:tx>
            <c:strRef>
              <c:f>Sheet1!$A$15</c:f>
              <c:strCache>
                <c:ptCount val="1"/>
                <c:pt idx="0">
                  <c:v>12203 (lab-based ≥ 18 years</c:v>
                </c:pt>
              </c:strCache>
            </c:strRef>
          </c:tx>
          <c:marker>
            <c:symbol val="none"/>
          </c:marker>
          <c:dLbls>
            <c:dLbl>
              <c:idx val="0"/>
              <c:layout>
                <c:manualLayout>
                  <c:x val="-6.1682431205533302E-2"/>
                  <c:y val="-6.41913148327457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94-4A18-9C2E-9B8D2A2EEDBE}"/>
                </c:ext>
              </c:extLst>
            </c:dLbl>
            <c:dLbl>
              <c:idx val="1"/>
              <c:layout>
                <c:manualLayout>
                  <c:x val="-5.0798227686328003E-2"/>
                  <c:y val="-3.65387872841773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94-4A18-9C2E-9B8D2A2EEDBE}"/>
                </c:ext>
              </c:extLst>
            </c:dLbl>
            <c:dLbl>
              <c:idx val="2"/>
              <c:layout>
                <c:manualLayout>
                  <c:x val="-5.0798227686327899E-2"/>
                  <c:y val="-4.07986381893956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694-4A18-9C2E-9B8D2A2EEDBE}"/>
                </c:ext>
              </c:extLst>
            </c:dLbl>
            <c:dLbl>
              <c:idx val="3"/>
              <c:layout>
                <c:manualLayout>
                  <c:x val="-5.0798227686328003E-2"/>
                  <c:y val="-4.07986381893956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94-4A18-9C2E-9B8D2A2EEDBE}"/>
                </c:ext>
              </c:extLst>
            </c:dLbl>
            <c:dLbl>
              <c:idx val="4"/>
              <c:layout>
                <c:manualLayout>
                  <c:x val="-4.7007378794631703E-2"/>
                  <c:y val="-4.98144460480723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694-4A18-9C2E-9B8D2A2EEDBE}"/>
                </c:ext>
              </c:extLst>
            </c:dLbl>
            <c:dLbl>
              <c:idx val="5"/>
              <c:layout>
                <c:manualLayout>
                  <c:x val="-4.70073787946318E-2"/>
                  <c:y val="-2.54859905852835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694-4A18-9C2E-9B8D2A2EEDBE}"/>
                </c:ext>
              </c:extLst>
            </c:dLbl>
            <c:spPr>
              <a:noFill/>
              <a:ln>
                <a:noFill/>
              </a:ln>
              <a:effectLst/>
            </c:spPr>
            <c:txPr>
              <a:bodyPr/>
              <a:lstStyle/>
              <a:p>
                <a:pPr>
                  <a:defRPr sz="75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Sheet1!$A$17:$A$22</c:f>
              <c:strCache>
                <c:ptCount val="6"/>
                <c:pt idx="0">
                  <c:v>2008/2009</c:v>
                </c:pt>
                <c:pt idx="1">
                  <c:v>2009/2010</c:v>
                </c:pt>
                <c:pt idx="2">
                  <c:v>2010/2011</c:v>
                </c:pt>
                <c:pt idx="3">
                  <c:v>2011/2012</c:v>
                </c:pt>
                <c:pt idx="4">
                  <c:v>2012/2013</c:v>
                </c:pt>
                <c:pt idx="5">
                  <c:v>2013/2014</c:v>
                </c:pt>
              </c:strCache>
            </c:strRef>
          </c:cat>
          <c:val>
            <c:numRef>
              <c:f>Sheet1!$B$17:$B$22</c:f>
              <c:numCache>
                <c:formatCode>#,##0</c:formatCode>
                <c:ptCount val="6"/>
                <c:pt idx="0">
                  <c:v>55841</c:v>
                </c:pt>
                <c:pt idx="1">
                  <c:v>81777</c:v>
                </c:pt>
                <c:pt idx="2">
                  <c:v>84038</c:v>
                </c:pt>
                <c:pt idx="3">
                  <c:v>89512</c:v>
                </c:pt>
                <c:pt idx="4">
                  <c:v>95399</c:v>
                </c:pt>
                <c:pt idx="5">
                  <c:v>102672</c:v>
                </c:pt>
              </c:numCache>
            </c:numRef>
          </c:val>
          <c:smooth val="0"/>
          <c:extLst>
            <c:ext xmlns:c16="http://schemas.microsoft.com/office/drawing/2014/chart" uri="{C3380CC4-5D6E-409C-BE32-E72D297353CC}">
              <c16:uniqueId val="{00000006-7694-4A18-9C2E-9B8D2A2EEDBE}"/>
            </c:ext>
          </c:extLst>
        </c:ser>
        <c:ser>
          <c:idx val="1"/>
          <c:order val="1"/>
          <c:tx>
            <c:strRef>
              <c:f>Sheet1!$A$36</c:f>
              <c:strCache>
                <c:ptCount val="1"/>
                <c:pt idx="0">
                  <c:v>12250 (home-based ≥ 18 years)</c:v>
                </c:pt>
              </c:strCache>
            </c:strRef>
          </c:tx>
          <c:marker>
            <c:symbol val="none"/>
          </c:marker>
          <c:dLbls>
            <c:dLbl>
              <c:idx val="0"/>
              <c:layout>
                <c:manualLayout>
                  <c:x val="-6.2814291070759004E-2"/>
                  <c:y val="-3.12530321464919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694-4A18-9C2E-9B8D2A2EEDBE}"/>
                </c:ext>
              </c:extLst>
            </c:dLbl>
            <c:dLbl>
              <c:idx val="1"/>
              <c:layout>
                <c:manualLayout>
                  <c:x val="-4.70073787946318E-2"/>
                  <c:y val="-3.12529611292787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694-4A18-9C2E-9B8D2A2EEDBE}"/>
                </c:ext>
              </c:extLst>
            </c:dLbl>
            <c:dLbl>
              <c:idx val="2"/>
              <c:layout>
                <c:manualLayout>
                  <c:x val="-4.9481152518272897E-2"/>
                  <c:y val="-3.04593558458252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694-4A18-9C2E-9B8D2A2EEDBE}"/>
                </c:ext>
              </c:extLst>
            </c:dLbl>
            <c:dLbl>
              <c:idx val="3"/>
              <c:layout>
                <c:manualLayout>
                  <c:x val="-4.8571525961852102E-2"/>
                  <c:y val="-3.84160143247399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694-4A18-9C2E-9B8D2A2EEDBE}"/>
                </c:ext>
              </c:extLst>
            </c:dLbl>
            <c:dLbl>
              <c:idx val="4"/>
              <c:layout>
                <c:manualLayout>
                  <c:x val="-5.1523943324511802E-2"/>
                  <c:y val="-4.73265338476986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694-4A18-9C2E-9B8D2A2EEDBE}"/>
                </c:ext>
              </c:extLst>
            </c:dLbl>
            <c:dLbl>
              <c:idx val="5"/>
              <c:layout>
                <c:manualLayout>
                  <c:x val="-4.70073787946318E-2"/>
                  <c:y val="-2.19722186698819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694-4A18-9C2E-9B8D2A2EEDBE}"/>
                </c:ext>
              </c:extLst>
            </c:dLbl>
            <c:spPr>
              <a:noFill/>
              <a:ln>
                <a:noFill/>
              </a:ln>
              <a:effectLst/>
            </c:spPr>
            <c:txPr>
              <a:bodyPr/>
              <a:lstStyle/>
              <a:p>
                <a:pPr>
                  <a:defRPr sz="75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Sheet1!$A$17:$A$22</c:f>
              <c:strCache>
                <c:ptCount val="6"/>
                <c:pt idx="0">
                  <c:v>2008/2009</c:v>
                </c:pt>
                <c:pt idx="1">
                  <c:v>2009/2010</c:v>
                </c:pt>
                <c:pt idx="2">
                  <c:v>2010/2011</c:v>
                </c:pt>
                <c:pt idx="3">
                  <c:v>2011/2012</c:v>
                </c:pt>
                <c:pt idx="4">
                  <c:v>2012/2013</c:v>
                </c:pt>
                <c:pt idx="5">
                  <c:v>2013/2014</c:v>
                </c:pt>
              </c:strCache>
            </c:strRef>
          </c:cat>
          <c:val>
            <c:numRef>
              <c:f>Sheet1!$B$38:$B$43</c:f>
              <c:numCache>
                <c:formatCode>#,##0</c:formatCode>
                <c:ptCount val="6"/>
                <c:pt idx="0">
                  <c:v>12745</c:v>
                </c:pt>
                <c:pt idx="1">
                  <c:v>28134</c:v>
                </c:pt>
                <c:pt idx="2">
                  <c:v>33391</c:v>
                </c:pt>
                <c:pt idx="3">
                  <c:v>38167</c:v>
                </c:pt>
                <c:pt idx="4">
                  <c:v>43662</c:v>
                </c:pt>
                <c:pt idx="5">
                  <c:v>53673</c:v>
                </c:pt>
              </c:numCache>
            </c:numRef>
          </c:val>
          <c:smooth val="0"/>
          <c:extLst>
            <c:ext xmlns:c16="http://schemas.microsoft.com/office/drawing/2014/chart" uri="{C3380CC4-5D6E-409C-BE32-E72D297353CC}">
              <c16:uniqueId val="{0000000D-7694-4A18-9C2E-9B8D2A2EEDBE}"/>
            </c:ext>
          </c:extLst>
        </c:ser>
        <c:ser>
          <c:idx val="3"/>
          <c:order val="2"/>
          <c:tx>
            <c:strRef>
              <c:f>Sheet1!$A$47</c:f>
              <c:strCache>
                <c:ptCount val="1"/>
                <c:pt idx="0">
                  <c:v>12210 (lab-based 0-12 years)</c:v>
                </c:pt>
              </c:strCache>
            </c:strRef>
          </c:tx>
          <c:marker>
            <c:symbol val="none"/>
          </c:marker>
          <c:dLbls>
            <c:dLbl>
              <c:idx val="0"/>
              <c:layout>
                <c:manualLayout>
                  <c:x val="-3.1042418398998801E-2"/>
                  <c:y val="-2.8906590757787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694-4A18-9C2E-9B8D2A2EEDBE}"/>
                </c:ext>
              </c:extLst>
            </c:dLbl>
            <c:dLbl>
              <c:idx val="1"/>
              <c:layout>
                <c:manualLayout>
                  <c:x val="-4.14679168402214E-2"/>
                  <c:y val="-2.708254997944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694-4A18-9C2E-9B8D2A2EEDBE}"/>
                </c:ext>
              </c:extLst>
            </c:dLbl>
            <c:dLbl>
              <c:idx val="2"/>
              <c:layout>
                <c:manualLayout>
                  <c:x val="-4.1467916840221303E-2"/>
                  <c:y val="-2.708254997944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694-4A18-9C2E-9B8D2A2EEDBE}"/>
                </c:ext>
              </c:extLst>
            </c:dLbl>
            <c:dLbl>
              <c:idx val="3"/>
              <c:layout>
                <c:manualLayout>
                  <c:x val="-4.1467916840221303E-2"/>
                  <c:y val="-3.00578305519146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694-4A18-9C2E-9B8D2A2EEDBE}"/>
                </c:ext>
              </c:extLst>
            </c:dLbl>
            <c:dLbl>
              <c:idx val="4"/>
              <c:layout>
                <c:manualLayout>
                  <c:x val="-4.1467916840221199E-2"/>
                  <c:y val="-2.708254997944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694-4A18-9C2E-9B8D2A2EEDBE}"/>
                </c:ext>
              </c:extLst>
            </c:dLbl>
            <c:dLbl>
              <c:idx val="5"/>
              <c:layout>
                <c:manualLayout>
                  <c:x val="-4.1467916840221303E-2"/>
                  <c:y val="-2.708254997944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694-4A18-9C2E-9B8D2A2EEDBE}"/>
                </c:ext>
              </c:extLst>
            </c:dLbl>
            <c:spPr>
              <a:noFill/>
              <a:ln>
                <a:noFill/>
              </a:ln>
              <a:effectLst/>
            </c:spPr>
            <c:txPr>
              <a:bodyPr/>
              <a:lstStyle/>
              <a:p>
                <a:pPr>
                  <a:defRPr sz="75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Sheet1!$A$17:$A$22</c:f>
              <c:strCache>
                <c:ptCount val="6"/>
                <c:pt idx="0">
                  <c:v>2008/2009</c:v>
                </c:pt>
                <c:pt idx="1">
                  <c:v>2009/2010</c:v>
                </c:pt>
                <c:pt idx="2">
                  <c:v>2010/2011</c:v>
                </c:pt>
                <c:pt idx="3">
                  <c:v>2011/2012</c:v>
                </c:pt>
                <c:pt idx="4">
                  <c:v>2012/2013</c:v>
                </c:pt>
                <c:pt idx="5">
                  <c:v>2013/2014</c:v>
                </c:pt>
              </c:strCache>
            </c:strRef>
          </c:cat>
          <c:val>
            <c:numRef>
              <c:f>Sheet1!$B$49:$B$54</c:f>
              <c:numCache>
                <c:formatCode>#,##0</c:formatCode>
                <c:ptCount val="6"/>
                <c:pt idx="0">
                  <c:v>4092</c:v>
                </c:pt>
                <c:pt idx="1">
                  <c:v>5652</c:v>
                </c:pt>
                <c:pt idx="2">
                  <c:v>5614</c:v>
                </c:pt>
                <c:pt idx="3">
                  <c:v>6181</c:v>
                </c:pt>
                <c:pt idx="4">
                  <c:v>6238</c:v>
                </c:pt>
                <c:pt idx="5">
                  <c:v>6600</c:v>
                </c:pt>
              </c:numCache>
            </c:numRef>
          </c:val>
          <c:smooth val="0"/>
          <c:extLst>
            <c:ext xmlns:c16="http://schemas.microsoft.com/office/drawing/2014/chart" uri="{C3380CC4-5D6E-409C-BE32-E72D297353CC}">
              <c16:uniqueId val="{00000014-7694-4A18-9C2E-9B8D2A2EEDBE}"/>
            </c:ext>
          </c:extLst>
        </c:ser>
        <c:dLbls>
          <c:dLblPos val="t"/>
          <c:showLegendKey val="0"/>
          <c:showVal val="1"/>
          <c:showCatName val="0"/>
          <c:showSerName val="0"/>
          <c:showPercent val="0"/>
          <c:showBubbleSize val="0"/>
        </c:dLbls>
        <c:smooth val="0"/>
        <c:axId val="352502912"/>
        <c:axId val="352504832"/>
      </c:lineChart>
      <c:catAx>
        <c:axId val="352502912"/>
        <c:scaling>
          <c:orientation val="minMax"/>
        </c:scaling>
        <c:delete val="0"/>
        <c:axPos val="b"/>
        <c:title>
          <c:tx>
            <c:rich>
              <a:bodyPr/>
              <a:lstStyle/>
              <a:p>
                <a:pPr>
                  <a:defRPr/>
                </a:pPr>
                <a:r>
                  <a:rPr lang="en-AU"/>
                  <a:t>Financial Year</a:t>
                </a:r>
              </a:p>
            </c:rich>
          </c:tx>
          <c:layout>
            <c:manualLayout>
              <c:xMode val="edge"/>
              <c:yMode val="edge"/>
              <c:x val="0.43361781076066802"/>
              <c:y val="0.92380217778900098"/>
            </c:manualLayout>
          </c:layout>
          <c:overlay val="0"/>
        </c:title>
        <c:numFmt formatCode="General" sourceLinked="0"/>
        <c:majorTickMark val="out"/>
        <c:minorTickMark val="none"/>
        <c:tickLblPos val="nextTo"/>
        <c:txPr>
          <a:bodyPr/>
          <a:lstStyle/>
          <a:p>
            <a:pPr>
              <a:defRPr sz="850"/>
            </a:pPr>
            <a:endParaRPr lang="en-US"/>
          </a:p>
        </c:txPr>
        <c:crossAx val="352504832"/>
        <c:crosses val="autoZero"/>
        <c:auto val="1"/>
        <c:lblAlgn val="ctr"/>
        <c:lblOffset val="100"/>
        <c:noMultiLvlLbl val="0"/>
      </c:catAx>
      <c:valAx>
        <c:axId val="352504832"/>
        <c:scaling>
          <c:orientation val="minMax"/>
        </c:scaling>
        <c:delete val="0"/>
        <c:axPos val="l"/>
        <c:majorGridlines/>
        <c:title>
          <c:tx>
            <c:rich>
              <a:bodyPr rot="-5400000" vert="horz"/>
              <a:lstStyle/>
              <a:p>
                <a:pPr>
                  <a:defRPr/>
                </a:pPr>
                <a:r>
                  <a:rPr lang="en-AU"/>
                  <a:t>Services</a:t>
                </a:r>
              </a:p>
            </c:rich>
          </c:tx>
          <c:layout>
            <c:manualLayout>
              <c:xMode val="edge"/>
              <c:yMode val="edge"/>
              <c:x val="6.5738245434425798E-3"/>
              <c:y val="0.40394848603108302"/>
            </c:manualLayout>
          </c:layout>
          <c:overlay val="0"/>
        </c:title>
        <c:numFmt formatCode="#,##0" sourceLinked="1"/>
        <c:majorTickMark val="out"/>
        <c:minorTickMark val="none"/>
        <c:tickLblPos val="nextTo"/>
        <c:txPr>
          <a:bodyPr/>
          <a:lstStyle/>
          <a:p>
            <a:pPr>
              <a:defRPr sz="850"/>
            </a:pPr>
            <a:endParaRPr lang="en-US"/>
          </a:p>
        </c:txPr>
        <c:crossAx val="352502912"/>
        <c:crosses val="autoZero"/>
        <c:crossBetween val="between"/>
      </c:valAx>
    </c:plotArea>
    <c:legend>
      <c:legendPos val="r"/>
      <c:layout>
        <c:manualLayout>
          <c:xMode val="edge"/>
          <c:yMode val="edge"/>
          <c:x val="0.82406333823656597"/>
          <c:y val="0.28579961147548"/>
          <c:w val="0.17593659023538799"/>
          <c:h val="0.438373622614944"/>
        </c:manualLayout>
      </c:layout>
      <c:overlay val="0"/>
      <c:txPr>
        <a:bodyPr/>
        <a:lstStyle/>
        <a:p>
          <a:pPr>
            <a:defRPr sz="75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338917154492099"/>
          <c:y val="3.8701588362020999E-2"/>
          <c:w val="0.62448042958718897"/>
          <c:h val="0.782308767510695"/>
        </c:manualLayout>
      </c:layout>
      <c:barChart>
        <c:barDir val="col"/>
        <c:grouping val="clustered"/>
        <c:varyColors val="0"/>
        <c:ser>
          <c:idx val="0"/>
          <c:order val="0"/>
          <c:tx>
            <c:strRef>
              <c:f>Sheet4!$A$33</c:f>
              <c:strCache>
                <c:ptCount val="1"/>
                <c:pt idx="0">
                  <c:v>12203 (lab-based ≥ 18 years)</c:v>
                </c:pt>
              </c:strCache>
            </c:strRef>
          </c:tx>
          <c:invertIfNegative val="0"/>
          <c:cat>
            <c:strRef>
              <c:f>Sheet4!$A$52:$A$59</c:f>
              <c:strCache>
                <c:ptCount val="8"/>
                <c:pt idx="0">
                  <c:v>NSW</c:v>
                </c:pt>
                <c:pt idx="1">
                  <c:v>VIC</c:v>
                </c:pt>
                <c:pt idx="2">
                  <c:v>QLD</c:v>
                </c:pt>
                <c:pt idx="3">
                  <c:v>SA</c:v>
                </c:pt>
                <c:pt idx="4">
                  <c:v>WA</c:v>
                </c:pt>
                <c:pt idx="5">
                  <c:v>TAS</c:v>
                </c:pt>
                <c:pt idx="6">
                  <c:v>NT</c:v>
                </c:pt>
                <c:pt idx="7">
                  <c:v>ACT</c:v>
                </c:pt>
              </c:strCache>
            </c:strRef>
          </c:cat>
          <c:val>
            <c:numRef>
              <c:f>Sheet4!$B$34:$B$41</c:f>
              <c:numCache>
                <c:formatCode>#,##0</c:formatCode>
                <c:ptCount val="8"/>
                <c:pt idx="0">
                  <c:v>28350</c:v>
                </c:pt>
                <c:pt idx="1">
                  <c:v>20166</c:v>
                </c:pt>
                <c:pt idx="2">
                  <c:v>35718</c:v>
                </c:pt>
                <c:pt idx="3">
                  <c:v>6428</c:v>
                </c:pt>
                <c:pt idx="4">
                  <c:v>7768</c:v>
                </c:pt>
                <c:pt idx="5">
                  <c:v>1354</c:v>
                </c:pt>
                <c:pt idx="6">
                  <c:v>873</c:v>
                </c:pt>
                <c:pt idx="7">
                  <c:v>2015</c:v>
                </c:pt>
              </c:numCache>
            </c:numRef>
          </c:val>
          <c:extLst>
            <c:ext xmlns:c16="http://schemas.microsoft.com/office/drawing/2014/chart" uri="{C3380CC4-5D6E-409C-BE32-E72D297353CC}">
              <c16:uniqueId val="{00000000-49BF-4CFF-B588-F1D1AAB20B5F}"/>
            </c:ext>
          </c:extLst>
        </c:ser>
        <c:ser>
          <c:idx val="1"/>
          <c:order val="1"/>
          <c:tx>
            <c:strRef>
              <c:f>Sheet4!$A$42</c:f>
              <c:strCache>
                <c:ptCount val="1"/>
                <c:pt idx="0">
                  <c:v>12210 (lab-based 0-12 years)</c:v>
                </c:pt>
              </c:strCache>
            </c:strRef>
          </c:tx>
          <c:invertIfNegative val="0"/>
          <c:cat>
            <c:strRef>
              <c:f>Sheet4!$A$52:$A$59</c:f>
              <c:strCache>
                <c:ptCount val="8"/>
                <c:pt idx="0">
                  <c:v>NSW</c:v>
                </c:pt>
                <c:pt idx="1">
                  <c:v>VIC</c:v>
                </c:pt>
                <c:pt idx="2">
                  <c:v>QLD</c:v>
                </c:pt>
                <c:pt idx="3">
                  <c:v>SA</c:v>
                </c:pt>
                <c:pt idx="4">
                  <c:v>WA</c:v>
                </c:pt>
                <c:pt idx="5">
                  <c:v>TAS</c:v>
                </c:pt>
                <c:pt idx="6">
                  <c:v>NT</c:v>
                </c:pt>
                <c:pt idx="7">
                  <c:v>ACT</c:v>
                </c:pt>
              </c:strCache>
            </c:strRef>
          </c:cat>
          <c:val>
            <c:numRef>
              <c:f>Sheet4!$B$43:$B$50</c:f>
              <c:numCache>
                <c:formatCode>#,##0</c:formatCode>
                <c:ptCount val="8"/>
                <c:pt idx="0">
                  <c:v>3957</c:v>
                </c:pt>
                <c:pt idx="1">
                  <c:v>1104</c:v>
                </c:pt>
                <c:pt idx="2">
                  <c:v>647</c:v>
                </c:pt>
                <c:pt idx="3">
                  <c:v>214</c:v>
                </c:pt>
                <c:pt idx="4">
                  <c:v>591</c:v>
                </c:pt>
                <c:pt idx="5">
                  <c:v>57</c:v>
                </c:pt>
                <c:pt idx="6">
                  <c:v>0</c:v>
                </c:pt>
                <c:pt idx="7">
                  <c:v>30</c:v>
                </c:pt>
              </c:numCache>
            </c:numRef>
          </c:val>
          <c:extLst>
            <c:ext xmlns:c16="http://schemas.microsoft.com/office/drawing/2014/chart" uri="{C3380CC4-5D6E-409C-BE32-E72D297353CC}">
              <c16:uniqueId val="{00000001-49BF-4CFF-B588-F1D1AAB20B5F}"/>
            </c:ext>
          </c:extLst>
        </c:ser>
        <c:ser>
          <c:idx val="2"/>
          <c:order val="2"/>
          <c:tx>
            <c:strRef>
              <c:f>Sheet4!$A$51</c:f>
              <c:strCache>
                <c:ptCount val="1"/>
                <c:pt idx="0">
                  <c:v>12250 (home-based ≥ 18 years)</c:v>
                </c:pt>
              </c:strCache>
            </c:strRef>
          </c:tx>
          <c:invertIfNegative val="0"/>
          <c:cat>
            <c:strRef>
              <c:f>Sheet4!$A$52:$A$59</c:f>
              <c:strCache>
                <c:ptCount val="8"/>
                <c:pt idx="0">
                  <c:v>NSW</c:v>
                </c:pt>
                <c:pt idx="1">
                  <c:v>VIC</c:v>
                </c:pt>
                <c:pt idx="2">
                  <c:v>QLD</c:v>
                </c:pt>
                <c:pt idx="3">
                  <c:v>SA</c:v>
                </c:pt>
                <c:pt idx="4">
                  <c:v>WA</c:v>
                </c:pt>
                <c:pt idx="5">
                  <c:v>TAS</c:v>
                </c:pt>
                <c:pt idx="6">
                  <c:v>NT</c:v>
                </c:pt>
                <c:pt idx="7">
                  <c:v>ACT</c:v>
                </c:pt>
              </c:strCache>
            </c:strRef>
          </c:cat>
          <c:val>
            <c:numRef>
              <c:f>Sheet4!$B$52:$B$59</c:f>
              <c:numCache>
                <c:formatCode>#,##0</c:formatCode>
                <c:ptCount val="8"/>
                <c:pt idx="0">
                  <c:v>22922</c:v>
                </c:pt>
                <c:pt idx="1">
                  <c:v>12867</c:v>
                </c:pt>
                <c:pt idx="2">
                  <c:v>9736</c:v>
                </c:pt>
                <c:pt idx="3">
                  <c:v>3872</c:v>
                </c:pt>
                <c:pt idx="4">
                  <c:v>3586</c:v>
                </c:pt>
                <c:pt idx="5">
                  <c:v>0</c:v>
                </c:pt>
                <c:pt idx="6">
                  <c:v>280</c:v>
                </c:pt>
                <c:pt idx="7">
                  <c:v>410</c:v>
                </c:pt>
              </c:numCache>
            </c:numRef>
          </c:val>
          <c:extLst>
            <c:ext xmlns:c16="http://schemas.microsoft.com/office/drawing/2014/chart" uri="{C3380CC4-5D6E-409C-BE32-E72D297353CC}">
              <c16:uniqueId val="{00000002-49BF-4CFF-B588-F1D1AAB20B5F}"/>
            </c:ext>
          </c:extLst>
        </c:ser>
        <c:dLbls>
          <c:showLegendKey val="0"/>
          <c:showVal val="0"/>
          <c:showCatName val="0"/>
          <c:showSerName val="0"/>
          <c:showPercent val="0"/>
          <c:showBubbleSize val="0"/>
        </c:dLbls>
        <c:gapWidth val="150"/>
        <c:axId val="352884608"/>
        <c:axId val="352886784"/>
      </c:barChart>
      <c:catAx>
        <c:axId val="352884608"/>
        <c:scaling>
          <c:orientation val="minMax"/>
        </c:scaling>
        <c:delete val="0"/>
        <c:axPos val="b"/>
        <c:title>
          <c:tx>
            <c:rich>
              <a:bodyPr/>
              <a:lstStyle/>
              <a:p>
                <a:pPr>
                  <a:defRPr/>
                </a:pPr>
                <a:r>
                  <a:rPr lang="en-AU"/>
                  <a:t>State/Territory</a:t>
                </a:r>
              </a:p>
            </c:rich>
          </c:tx>
          <c:layout>
            <c:manualLayout>
              <c:xMode val="edge"/>
              <c:yMode val="edge"/>
              <c:x val="0.36660104986876602"/>
              <c:y val="0.92026876637072696"/>
            </c:manualLayout>
          </c:layout>
          <c:overlay val="0"/>
        </c:title>
        <c:numFmt formatCode="General" sourceLinked="0"/>
        <c:majorTickMark val="out"/>
        <c:minorTickMark val="none"/>
        <c:tickLblPos val="nextTo"/>
        <c:txPr>
          <a:bodyPr/>
          <a:lstStyle/>
          <a:p>
            <a:pPr>
              <a:defRPr sz="900"/>
            </a:pPr>
            <a:endParaRPr lang="en-US"/>
          </a:p>
        </c:txPr>
        <c:crossAx val="352886784"/>
        <c:crosses val="autoZero"/>
        <c:auto val="1"/>
        <c:lblAlgn val="ctr"/>
        <c:lblOffset val="100"/>
        <c:noMultiLvlLbl val="0"/>
      </c:catAx>
      <c:valAx>
        <c:axId val="352886784"/>
        <c:scaling>
          <c:orientation val="minMax"/>
        </c:scaling>
        <c:delete val="0"/>
        <c:axPos val="l"/>
        <c:majorGridlines/>
        <c:title>
          <c:tx>
            <c:rich>
              <a:bodyPr rot="-5400000" vert="horz"/>
              <a:lstStyle/>
              <a:p>
                <a:pPr>
                  <a:defRPr/>
                </a:pPr>
                <a:r>
                  <a:rPr lang="en-AU"/>
                  <a:t>Services</a:t>
                </a:r>
              </a:p>
            </c:rich>
          </c:tx>
          <c:layout>
            <c:manualLayout>
              <c:xMode val="edge"/>
              <c:yMode val="edge"/>
              <c:x val="2.21765570528028E-2"/>
              <c:y val="0.36490815275492899"/>
            </c:manualLayout>
          </c:layout>
          <c:overlay val="0"/>
        </c:title>
        <c:numFmt formatCode="#,##0" sourceLinked="1"/>
        <c:majorTickMark val="out"/>
        <c:minorTickMark val="none"/>
        <c:tickLblPos val="nextTo"/>
        <c:crossAx val="352884608"/>
        <c:crosses val="autoZero"/>
        <c:crossBetween val="between"/>
      </c:valAx>
    </c:plotArea>
    <c:legend>
      <c:legendPos val="r"/>
      <c:layout>
        <c:manualLayout>
          <c:xMode val="edge"/>
          <c:yMode val="edge"/>
          <c:x val="0.81184004923442199"/>
          <c:y val="0.30056709374132801"/>
          <c:w val="0.17149489638269"/>
          <c:h val="0.46101117307242101"/>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'11506'!$B$6</c:f>
              <c:strCache>
                <c:ptCount val="1"/>
                <c:pt idx="0">
                  <c:v>2014/2015</c:v>
                </c:pt>
              </c:strCache>
            </c:strRef>
          </c:tx>
          <c:invertIfNegative val="0"/>
          <c:cat>
            <c:strRef>
              <c:f>'11506'!$A$7:$A$14</c:f>
              <c:strCache>
                <c:ptCount val="8"/>
                <c:pt idx="0">
                  <c:v>NSW</c:v>
                </c:pt>
                <c:pt idx="1">
                  <c:v>VIC</c:v>
                </c:pt>
                <c:pt idx="2">
                  <c:v>QLD</c:v>
                </c:pt>
                <c:pt idx="3">
                  <c:v>SA</c:v>
                </c:pt>
                <c:pt idx="4">
                  <c:v>WA</c:v>
                </c:pt>
                <c:pt idx="5">
                  <c:v>TAS</c:v>
                </c:pt>
                <c:pt idx="6">
                  <c:v>NT</c:v>
                </c:pt>
                <c:pt idx="7">
                  <c:v>ACT</c:v>
                </c:pt>
              </c:strCache>
            </c:strRef>
          </c:cat>
          <c:val>
            <c:numRef>
              <c:f>'11506'!$B$7:$B$14</c:f>
              <c:numCache>
                <c:formatCode>#,##0</c:formatCode>
                <c:ptCount val="8"/>
                <c:pt idx="0">
                  <c:v>109903.436789952</c:v>
                </c:pt>
                <c:pt idx="1">
                  <c:v>29228.322622132</c:v>
                </c:pt>
                <c:pt idx="2">
                  <c:v>78750.598588244</c:v>
                </c:pt>
                <c:pt idx="3">
                  <c:v>17225.748107791009</c:v>
                </c:pt>
                <c:pt idx="4">
                  <c:v>25436.248495844</c:v>
                </c:pt>
                <c:pt idx="5">
                  <c:v>6559</c:v>
                </c:pt>
                <c:pt idx="6">
                  <c:v>1199.191763645</c:v>
                </c:pt>
                <c:pt idx="7">
                  <c:v>1933.537185246</c:v>
                </c:pt>
              </c:numCache>
            </c:numRef>
          </c:val>
          <c:extLst>
            <c:ext xmlns:c16="http://schemas.microsoft.com/office/drawing/2014/chart" uri="{C3380CC4-5D6E-409C-BE32-E72D297353CC}">
              <c16:uniqueId val="{00000000-1A34-47D3-97DC-F6F92BD85D8F}"/>
            </c:ext>
          </c:extLst>
        </c:ser>
        <c:ser>
          <c:idx val="1"/>
          <c:order val="1"/>
          <c:tx>
            <c:strRef>
              <c:f>'11506'!$C$6</c:f>
              <c:strCache>
                <c:ptCount val="1"/>
                <c:pt idx="0">
                  <c:v>2013/2014</c:v>
                </c:pt>
              </c:strCache>
            </c:strRef>
          </c:tx>
          <c:invertIfNegative val="0"/>
          <c:cat>
            <c:strRef>
              <c:f>'11506'!$A$7:$A$14</c:f>
              <c:strCache>
                <c:ptCount val="8"/>
                <c:pt idx="0">
                  <c:v>NSW</c:v>
                </c:pt>
                <c:pt idx="1">
                  <c:v>VIC</c:v>
                </c:pt>
                <c:pt idx="2">
                  <c:v>QLD</c:v>
                </c:pt>
                <c:pt idx="3">
                  <c:v>SA</c:v>
                </c:pt>
                <c:pt idx="4">
                  <c:v>WA</c:v>
                </c:pt>
                <c:pt idx="5">
                  <c:v>TAS</c:v>
                </c:pt>
                <c:pt idx="6">
                  <c:v>NT</c:v>
                </c:pt>
                <c:pt idx="7">
                  <c:v>ACT</c:v>
                </c:pt>
              </c:strCache>
            </c:strRef>
          </c:cat>
          <c:val>
            <c:numRef>
              <c:f>'11506'!$C$7:$C$14</c:f>
              <c:numCache>
                <c:formatCode>#,##0</c:formatCode>
                <c:ptCount val="8"/>
                <c:pt idx="0">
                  <c:v>105549.204214182</c:v>
                </c:pt>
                <c:pt idx="1">
                  <c:v>27257.286576213999</c:v>
                </c:pt>
                <c:pt idx="2">
                  <c:v>75026.027570056889</c:v>
                </c:pt>
                <c:pt idx="3">
                  <c:v>15172.362357984999</c:v>
                </c:pt>
                <c:pt idx="4">
                  <c:v>24069.253561006</c:v>
                </c:pt>
                <c:pt idx="5">
                  <c:v>5857</c:v>
                </c:pt>
                <c:pt idx="6">
                  <c:v>944.64006165900003</c:v>
                </c:pt>
                <c:pt idx="7">
                  <c:v>1979.4022755670001</c:v>
                </c:pt>
              </c:numCache>
            </c:numRef>
          </c:val>
          <c:extLst>
            <c:ext xmlns:c16="http://schemas.microsoft.com/office/drawing/2014/chart" uri="{C3380CC4-5D6E-409C-BE32-E72D297353CC}">
              <c16:uniqueId val="{00000001-1A34-47D3-97DC-F6F92BD85D8F}"/>
            </c:ext>
          </c:extLst>
        </c:ser>
        <c:ser>
          <c:idx val="2"/>
          <c:order val="2"/>
          <c:tx>
            <c:strRef>
              <c:f>'11506'!$D$6</c:f>
              <c:strCache>
                <c:ptCount val="1"/>
                <c:pt idx="0">
                  <c:v>2012/2013</c:v>
                </c:pt>
              </c:strCache>
            </c:strRef>
          </c:tx>
          <c:invertIfNegative val="0"/>
          <c:cat>
            <c:strRef>
              <c:f>'11506'!$A$7:$A$14</c:f>
              <c:strCache>
                <c:ptCount val="8"/>
                <c:pt idx="0">
                  <c:v>NSW</c:v>
                </c:pt>
                <c:pt idx="1">
                  <c:v>VIC</c:v>
                </c:pt>
                <c:pt idx="2">
                  <c:v>QLD</c:v>
                </c:pt>
                <c:pt idx="3">
                  <c:v>SA</c:v>
                </c:pt>
                <c:pt idx="4">
                  <c:v>WA</c:v>
                </c:pt>
                <c:pt idx="5">
                  <c:v>TAS</c:v>
                </c:pt>
                <c:pt idx="6">
                  <c:v>NT</c:v>
                </c:pt>
                <c:pt idx="7">
                  <c:v>ACT</c:v>
                </c:pt>
              </c:strCache>
            </c:strRef>
          </c:cat>
          <c:val>
            <c:numRef>
              <c:f>'11506'!$D$7:$D$14</c:f>
              <c:numCache>
                <c:formatCode>#,##0</c:formatCode>
                <c:ptCount val="8"/>
                <c:pt idx="0">
                  <c:v>105975.881076662</c:v>
                </c:pt>
                <c:pt idx="1">
                  <c:v>26023.668632659999</c:v>
                </c:pt>
                <c:pt idx="2">
                  <c:v>75461.416313033886</c:v>
                </c:pt>
                <c:pt idx="3">
                  <c:v>14846.590789301001</c:v>
                </c:pt>
                <c:pt idx="4">
                  <c:v>22138.425708901999</c:v>
                </c:pt>
                <c:pt idx="5">
                  <c:v>5709</c:v>
                </c:pt>
                <c:pt idx="6">
                  <c:v>897.37738085299998</c:v>
                </c:pt>
                <c:pt idx="7">
                  <c:v>1731.843700204</c:v>
                </c:pt>
              </c:numCache>
            </c:numRef>
          </c:val>
          <c:extLst>
            <c:ext xmlns:c16="http://schemas.microsoft.com/office/drawing/2014/chart" uri="{C3380CC4-5D6E-409C-BE32-E72D297353CC}">
              <c16:uniqueId val="{00000002-1A34-47D3-97DC-F6F92BD85D8F}"/>
            </c:ext>
          </c:extLst>
        </c:ser>
        <c:ser>
          <c:idx val="3"/>
          <c:order val="3"/>
          <c:tx>
            <c:strRef>
              <c:f>'11506'!$E$6</c:f>
              <c:strCache>
                <c:ptCount val="1"/>
                <c:pt idx="0">
                  <c:v>2011/2012</c:v>
                </c:pt>
              </c:strCache>
            </c:strRef>
          </c:tx>
          <c:invertIfNegative val="0"/>
          <c:cat>
            <c:strRef>
              <c:f>'11506'!$A$7:$A$14</c:f>
              <c:strCache>
                <c:ptCount val="8"/>
                <c:pt idx="0">
                  <c:v>NSW</c:v>
                </c:pt>
                <c:pt idx="1">
                  <c:v>VIC</c:v>
                </c:pt>
                <c:pt idx="2">
                  <c:v>QLD</c:v>
                </c:pt>
                <c:pt idx="3">
                  <c:v>SA</c:v>
                </c:pt>
                <c:pt idx="4">
                  <c:v>WA</c:v>
                </c:pt>
                <c:pt idx="5">
                  <c:v>TAS</c:v>
                </c:pt>
                <c:pt idx="6">
                  <c:v>NT</c:v>
                </c:pt>
                <c:pt idx="7">
                  <c:v>ACT</c:v>
                </c:pt>
              </c:strCache>
            </c:strRef>
          </c:cat>
          <c:val>
            <c:numRef>
              <c:f>'11506'!$E$7:$E$14</c:f>
              <c:numCache>
                <c:formatCode>#,##0</c:formatCode>
                <c:ptCount val="8"/>
                <c:pt idx="0">
                  <c:v>106054.889239329</c:v>
                </c:pt>
                <c:pt idx="1">
                  <c:v>25479.086488269</c:v>
                </c:pt>
                <c:pt idx="2">
                  <c:v>72564.425564039993</c:v>
                </c:pt>
                <c:pt idx="3">
                  <c:v>13941.522708969</c:v>
                </c:pt>
                <c:pt idx="4">
                  <c:v>20877.086335458</c:v>
                </c:pt>
                <c:pt idx="5">
                  <c:v>5726</c:v>
                </c:pt>
                <c:pt idx="6">
                  <c:v>803.69302270900005</c:v>
                </c:pt>
                <c:pt idx="7">
                  <c:v>1741.135772568</c:v>
                </c:pt>
              </c:numCache>
            </c:numRef>
          </c:val>
          <c:extLst>
            <c:ext xmlns:c16="http://schemas.microsoft.com/office/drawing/2014/chart" uri="{C3380CC4-5D6E-409C-BE32-E72D297353CC}">
              <c16:uniqueId val="{00000003-1A34-47D3-97DC-F6F92BD85D8F}"/>
            </c:ext>
          </c:extLst>
        </c:ser>
        <c:ser>
          <c:idx val="4"/>
          <c:order val="4"/>
          <c:tx>
            <c:strRef>
              <c:f>'11506'!$F$6</c:f>
              <c:strCache>
                <c:ptCount val="1"/>
                <c:pt idx="0">
                  <c:v>2010/2011</c:v>
                </c:pt>
              </c:strCache>
            </c:strRef>
          </c:tx>
          <c:invertIfNegative val="0"/>
          <c:cat>
            <c:strRef>
              <c:f>'11506'!$A$7:$A$14</c:f>
              <c:strCache>
                <c:ptCount val="8"/>
                <c:pt idx="0">
                  <c:v>NSW</c:v>
                </c:pt>
                <c:pt idx="1">
                  <c:v>VIC</c:v>
                </c:pt>
                <c:pt idx="2">
                  <c:v>QLD</c:v>
                </c:pt>
                <c:pt idx="3">
                  <c:v>SA</c:v>
                </c:pt>
                <c:pt idx="4">
                  <c:v>WA</c:v>
                </c:pt>
                <c:pt idx="5">
                  <c:v>TAS</c:v>
                </c:pt>
                <c:pt idx="6">
                  <c:v>NT</c:v>
                </c:pt>
                <c:pt idx="7">
                  <c:v>ACT</c:v>
                </c:pt>
              </c:strCache>
            </c:strRef>
          </c:cat>
          <c:val>
            <c:numRef>
              <c:f>'11506'!$F$7:$F$14</c:f>
              <c:numCache>
                <c:formatCode>#,##0</c:formatCode>
                <c:ptCount val="8"/>
                <c:pt idx="0">
                  <c:v>100283.02474769299</c:v>
                </c:pt>
                <c:pt idx="1">
                  <c:v>26612.271734079</c:v>
                </c:pt>
                <c:pt idx="2">
                  <c:v>70332.848586068969</c:v>
                </c:pt>
                <c:pt idx="3">
                  <c:v>14941.294277797</c:v>
                </c:pt>
                <c:pt idx="4">
                  <c:v>21160.916185064001</c:v>
                </c:pt>
                <c:pt idx="5">
                  <c:v>5537</c:v>
                </c:pt>
                <c:pt idx="6">
                  <c:v>1025.5467037169999</c:v>
                </c:pt>
                <c:pt idx="7">
                  <c:v>2029.302577189</c:v>
                </c:pt>
              </c:numCache>
            </c:numRef>
          </c:val>
          <c:extLst>
            <c:ext xmlns:c16="http://schemas.microsoft.com/office/drawing/2014/chart" uri="{C3380CC4-5D6E-409C-BE32-E72D297353CC}">
              <c16:uniqueId val="{00000004-1A34-47D3-97DC-F6F92BD85D8F}"/>
            </c:ext>
          </c:extLst>
        </c:ser>
        <c:ser>
          <c:idx val="5"/>
          <c:order val="5"/>
          <c:tx>
            <c:strRef>
              <c:f>'11506'!$G$6</c:f>
              <c:strCache>
                <c:ptCount val="1"/>
                <c:pt idx="0">
                  <c:v>2009/2010</c:v>
                </c:pt>
              </c:strCache>
            </c:strRef>
          </c:tx>
          <c:invertIfNegative val="0"/>
          <c:cat>
            <c:strRef>
              <c:f>'11506'!$A$7:$A$14</c:f>
              <c:strCache>
                <c:ptCount val="8"/>
                <c:pt idx="0">
                  <c:v>NSW</c:v>
                </c:pt>
                <c:pt idx="1">
                  <c:v>VIC</c:v>
                </c:pt>
                <c:pt idx="2">
                  <c:v>QLD</c:v>
                </c:pt>
                <c:pt idx="3">
                  <c:v>SA</c:v>
                </c:pt>
                <c:pt idx="4">
                  <c:v>WA</c:v>
                </c:pt>
                <c:pt idx="5">
                  <c:v>TAS</c:v>
                </c:pt>
                <c:pt idx="6">
                  <c:v>NT</c:v>
                </c:pt>
                <c:pt idx="7">
                  <c:v>ACT</c:v>
                </c:pt>
              </c:strCache>
            </c:strRef>
          </c:cat>
          <c:val>
            <c:numRef>
              <c:f>'11506'!$G$7:$G$14</c:f>
              <c:numCache>
                <c:formatCode>#,##0</c:formatCode>
                <c:ptCount val="8"/>
                <c:pt idx="0">
                  <c:v>98693.866505030936</c:v>
                </c:pt>
                <c:pt idx="1">
                  <c:v>23861.787040417999</c:v>
                </c:pt>
                <c:pt idx="2">
                  <c:v>67995.312047374886</c:v>
                </c:pt>
                <c:pt idx="3">
                  <c:v>14917.751140077</c:v>
                </c:pt>
                <c:pt idx="4">
                  <c:v>22700.243835006</c:v>
                </c:pt>
                <c:pt idx="5">
                  <c:v>5105</c:v>
                </c:pt>
                <c:pt idx="6">
                  <c:v>914.45474843500006</c:v>
                </c:pt>
                <c:pt idx="7">
                  <c:v>2010.5974866480001</c:v>
                </c:pt>
              </c:numCache>
            </c:numRef>
          </c:val>
          <c:extLst>
            <c:ext xmlns:c16="http://schemas.microsoft.com/office/drawing/2014/chart" uri="{C3380CC4-5D6E-409C-BE32-E72D297353CC}">
              <c16:uniqueId val="{00000005-1A34-47D3-97DC-F6F92BD85D8F}"/>
            </c:ext>
          </c:extLst>
        </c:ser>
        <c:dLbls>
          <c:showLegendKey val="0"/>
          <c:showVal val="0"/>
          <c:showCatName val="0"/>
          <c:showSerName val="0"/>
          <c:showPercent val="0"/>
          <c:showBubbleSize val="0"/>
        </c:dLbls>
        <c:gapWidth val="150"/>
        <c:axId val="379478016"/>
        <c:axId val="379479552"/>
      </c:barChart>
      <c:catAx>
        <c:axId val="379478016"/>
        <c:scaling>
          <c:orientation val="minMax"/>
        </c:scaling>
        <c:delete val="0"/>
        <c:axPos val="b"/>
        <c:numFmt formatCode="General" sourceLinked="0"/>
        <c:majorTickMark val="out"/>
        <c:minorTickMark val="none"/>
        <c:tickLblPos val="nextTo"/>
        <c:crossAx val="379479552"/>
        <c:crosses val="autoZero"/>
        <c:auto val="1"/>
        <c:lblAlgn val="ctr"/>
        <c:lblOffset val="100"/>
        <c:noMultiLvlLbl val="0"/>
      </c:catAx>
      <c:valAx>
        <c:axId val="379479552"/>
        <c:scaling>
          <c:orientation val="minMax"/>
        </c:scaling>
        <c:delete val="0"/>
        <c:axPos val="l"/>
        <c:majorGridlines/>
        <c:numFmt formatCode="#,##0" sourceLinked="1"/>
        <c:majorTickMark val="out"/>
        <c:minorTickMark val="none"/>
        <c:tickLblPos val="nextTo"/>
        <c:crossAx val="37947801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'11503'!$B$6</c:f>
              <c:strCache>
                <c:ptCount val="1"/>
                <c:pt idx="0">
                  <c:v>2014/2015</c:v>
                </c:pt>
              </c:strCache>
            </c:strRef>
          </c:tx>
          <c:invertIfNegative val="0"/>
          <c:cat>
            <c:strRef>
              <c:f>'11503'!$A$7:$A$14</c:f>
              <c:strCache>
                <c:ptCount val="8"/>
                <c:pt idx="0">
                  <c:v>NSW</c:v>
                </c:pt>
                <c:pt idx="1">
                  <c:v>VIC</c:v>
                </c:pt>
                <c:pt idx="2">
                  <c:v>QLD</c:v>
                </c:pt>
                <c:pt idx="3">
                  <c:v>SA</c:v>
                </c:pt>
                <c:pt idx="4">
                  <c:v>WA</c:v>
                </c:pt>
                <c:pt idx="5">
                  <c:v>TAS</c:v>
                </c:pt>
                <c:pt idx="6">
                  <c:v>NT</c:v>
                </c:pt>
                <c:pt idx="7">
                  <c:v>ACT</c:v>
                </c:pt>
              </c:strCache>
            </c:strRef>
          </c:cat>
          <c:val>
            <c:numRef>
              <c:f>'11503'!$B$7:$B$14</c:f>
              <c:numCache>
                <c:formatCode>#,##0</c:formatCode>
                <c:ptCount val="8"/>
                <c:pt idx="0">
                  <c:v>88165.606576335995</c:v>
                </c:pt>
                <c:pt idx="1">
                  <c:v>69853.603466820001</c:v>
                </c:pt>
                <c:pt idx="2">
                  <c:v>51686.042568976998</c:v>
                </c:pt>
                <c:pt idx="3">
                  <c:v>23102.202805339999</c:v>
                </c:pt>
                <c:pt idx="4">
                  <c:v>23434.838101124009</c:v>
                </c:pt>
                <c:pt idx="5">
                  <c:v>6358</c:v>
                </c:pt>
                <c:pt idx="6">
                  <c:v>1951.930241214</c:v>
                </c:pt>
                <c:pt idx="7">
                  <c:v>3126.1062875329999</c:v>
                </c:pt>
              </c:numCache>
            </c:numRef>
          </c:val>
          <c:extLst>
            <c:ext xmlns:c16="http://schemas.microsoft.com/office/drawing/2014/chart" uri="{C3380CC4-5D6E-409C-BE32-E72D297353CC}">
              <c16:uniqueId val="{00000000-0434-4551-A51E-99DE2EAE8AA7}"/>
            </c:ext>
          </c:extLst>
        </c:ser>
        <c:ser>
          <c:idx val="1"/>
          <c:order val="1"/>
          <c:tx>
            <c:strRef>
              <c:f>'11503'!$C$6</c:f>
              <c:strCache>
                <c:ptCount val="1"/>
                <c:pt idx="0">
                  <c:v>2013/2014</c:v>
                </c:pt>
              </c:strCache>
            </c:strRef>
          </c:tx>
          <c:invertIfNegative val="0"/>
          <c:cat>
            <c:strRef>
              <c:f>'11503'!$A$7:$A$14</c:f>
              <c:strCache>
                <c:ptCount val="8"/>
                <c:pt idx="0">
                  <c:v>NSW</c:v>
                </c:pt>
                <c:pt idx="1">
                  <c:v>VIC</c:v>
                </c:pt>
                <c:pt idx="2">
                  <c:v>QLD</c:v>
                </c:pt>
                <c:pt idx="3">
                  <c:v>SA</c:v>
                </c:pt>
                <c:pt idx="4">
                  <c:v>WA</c:v>
                </c:pt>
                <c:pt idx="5">
                  <c:v>TAS</c:v>
                </c:pt>
                <c:pt idx="6">
                  <c:v>NT</c:v>
                </c:pt>
                <c:pt idx="7">
                  <c:v>ACT</c:v>
                </c:pt>
              </c:strCache>
            </c:strRef>
          </c:cat>
          <c:val>
            <c:numRef>
              <c:f>'11503'!$C$7:$C$14</c:f>
              <c:numCache>
                <c:formatCode>#,##0</c:formatCode>
                <c:ptCount val="8"/>
                <c:pt idx="0">
                  <c:v>77369.053714424997</c:v>
                </c:pt>
                <c:pt idx="1">
                  <c:v>66123.145749484</c:v>
                </c:pt>
                <c:pt idx="2">
                  <c:v>45012.525623106987</c:v>
                </c:pt>
                <c:pt idx="3">
                  <c:v>23051.627178621009</c:v>
                </c:pt>
                <c:pt idx="4">
                  <c:v>24150.415721392001</c:v>
                </c:pt>
                <c:pt idx="5">
                  <c:v>5474</c:v>
                </c:pt>
                <c:pt idx="6">
                  <c:v>1707.6083752510001</c:v>
                </c:pt>
                <c:pt idx="7">
                  <c:v>2865.0076549559999</c:v>
                </c:pt>
              </c:numCache>
            </c:numRef>
          </c:val>
          <c:extLst>
            <c:ext xmlns:c16="http://schemas.microsoft.com/office/drawing/2014/chart" uri="{C3380CC4-5D6E-409C-BE32-E72D297353CC}">
              <c16:uniqueId val="{00000001-0434-4551-A51E-99DE2EAE8AA7}"/>
            </c:ext>
          </c:extLst>
        </c:ser>
        <c:ser>
          <c:idx val="2"/>
          <c:order val="2"/>
          <c:tx>
            <c:strRef>
              <c:f>'11503'!$D$6</c:f>
              <c:strCache>
                <c:ptCount val="1"/>
                <c:pt idx="0">
                  <c:v>2012/2013</c:v>
                </c:pt>
              </c:strCache>
            </c:strRef>
          </c:tx>
          <c:invertIfNegative val="0"/>
          <c:cat>
            <c:strRef>
              <c:f>'11503'!$A$7:$A$14</c:f>
              <c:strCache>
                <c:ptCount val="8"/>
                <c:pt idx="0">
                  <c:v>NSW</c:v>
                </c:pt>
                <c:pt idx="1">
                  <c:v>VIC</c:v>
                </c:pt>
                <c:pt idx="2">
                  <c:v>QLD</c:v>
                </c:pt>
                <c:pt idx="3">
                  <c:v>SA</c:v>
                </c:pt>
                <c:pt idx="4">
                  <c:v>WA</c:v>
                </c:pt>
                <c:pt idx="5">
                  <c:v>TAS</c:v>
                </c:pt>
                <c:pt idx="6">
                  <c:v>NT</c:v>
                </c:pt>
                <c:pt idx="7">
                  <c:v>ACT</c:v>
                </c:pt>
              </c:strCache>
            </c:strRef>
          </c:cat>
          <c:val>
            <c:numRef>
              <c:f>'11503'!$D$7:$D$14</c:f>
              <c:numCache>
                <c:formatCode>#,##0</c:formatCode>
                <c:ptCount val="8"/>
                <c:pt idx="0">
                  <c:v>70129.673204349994</c:v>
                </c:pt>
                <c:pt idx="1">
                  <c:v>60791.027438918987</c:v>
                </c:pt>
                <c:pt idx="2">
                  <c:v>38123.577497161983</c:v>
                </c:pt>
                <c:pt idx="3">
                  <c:v>21407.764137607999</c:v>
                </c:pt>
                <c:pt idx="4">
                  <c:v>21028.499797838002</c:v>
                </c:pt>
                <c:pt idx="5">
                  <c:v>4763</c:v>
                </c:pt>
                <c:pt idx="6">
                  <c:v>1077.6668909079999</c:v>
                </c:pt>
                <c:pt idx="7">
                  <c:v>2825.5618346770002</c:v>
                </c:pt>
              </c:numCache>
            </c:numRef>
          </c:val>
          <c:extLst>
            <c:ext xmlns:c16="http://schemas.microsoft.com/office/drawing/2014/chart" uri="{C3380CC4-5D6E-409C-BE32-E72D297353CC}">
              <c16:uniqueId val="{00000002-0434-4551-A51E-99DE2EAE8AA7}"/>
            </c:ext>
          </c:extLst>
        </c:ser>
        <c:ser>
          <c:idx val="3"/>
          <c:order val="3"/>
          <c:tx>
            <c:strRef>
              <c:f>'11503'!$E$6</c:f>
              <c:strCache>
                <c:ptCount val="1"/>
                <c:pt idx="0">
                  <c:v>2011/2012</c:v>
                </c:pt>
              </c:strCache>
            </c:strRef>
          </c:tx>
          <c:invertIfNegative val="0"/>
          <c:cat>
            <c:strRef>
              <c:f>'11503'!$A$7:$A$14</c:f>
              <c:strCache>
                <c:ptCount val="8"/>
                <c:pt idx="0">
                  <c:v>NSW</c:v>
                </c:pt>
                <c:pt idx="1">
                  <c:v>VIC</c:v>
                </c:pt>
                <c:pt idx="2">
                  <c:v>QLD</c:v>
                </c:pt>
                <c:pt idx="3">
                  <c:v>SA</c:v>
                </c:pt>
                <c:pt idx="4">
                  <c:v>WA</c:v>
                </c:pt>
                <c:pt idx="5">
                  <c:v>TAS</c:v>
                </c:pt>
                <c:pt idx="6">
                  <c:v>NT</c:v>
                </c:pt>
                <c:pt idx="7">
                  <c:v>ACT</c:v>
                </c:pt>
              </c:strCache>
            </c:strRef>
          </c:cat>
          <c:val>
            <c:numRef>
              <c:f>'11503'!$E$7:$E$14</c:f>
              <c:numCache>
                <c:formatCode>#,##0</c:formatCode>
                <c:ptCount val="8"/>
                <c:pt idx="0">
                  <c:v>61956.516176646997</c:v>
                </c:pt>
                <c:pt idx="1">
                  <c:v>54201.105628477999</c:v>
                </c:pt>
                <c:pt idx="2">
                  <c:v>33061.468678202997</c:v>
                </c:pt>
                <c:pt idx="3">
                  <c:v>20741.392682397</c:v>
                </c:pt>
                <c:pt idx="4">
                  <c:v>19658.251563504</c:v>
                </c:pt>
                <c:pt idx="5">
                  <c:v>4258</c:v>
                </c:pt>
                <c:pt idx="6">
                  <c:v>533.00399683700005</c:v>
                </c:pt>
                <c:pt idx="7">
                  <c:v>2920.202980053999</c:v>
                </c:pt>
              </c:numCache>
            </c:numRef>
          </c:val>
          <c:extLst>
            <c:ext xmlns:c16="http://schemas.microsoft.com/office/drawing/2014/chart" uri="{C3380CC4-5D6E-409C-BE32-E72D297353CC}">
              <c16:uniqueId val="{00000003-0434-4551-A51E-99DE2EAE8AA7}"/>
            </c:ext>
          </c:extLst>
        </c:ser>
        <c:ser>
          <c:idx val="4"/>
          <c:order val="4"/>
          <c:tx>
            <c:strRef>
              <c:f>'11503'!$F$6</c:f>
              <c:strCache>
                <c:ptCount val="1"/>
                <c:pt idx="0">
                  <c:v>2010/2011</c:v>
                </c:pt>
              </c:strCache>
            </c:strRef>
          </c:tx>
          <c:invertIfNegative val="0"/>
          <c:cat>
            <c:strRef>
              <c:f>'11503'!$A$7:$A$14</c:f>
              <c:strCache>
                <c:ptCount val="8"/>
                <c:pt idx="0">
                  <c:v>NSW</c:v>
                </c:pt>
                <c:pt idx="1">
                  <c:v>VIC</c:v>
                </c:pt>
                <c:pt idx="2">
                  <c:v>QLD</c:v>
                </c:pt>
                <c:pt idx="3">
                  <c:v>SA</c:v>
                </c:pt>
                <c:pt idx="4">
                  <c:v>WA</c:v>
                </c:pt>
                <c:pt idx="5">
                  <c:v>TAS</c:v>
                </c:pt>
                <c:pt idx="6">
                  <c:v>NT</c:v>
                </c:pt>
                <c:pt idx="7">
                  <c:v>ACT</c:v>
                </c:pt>
              </c:strCache>
            </c:strRef>
          </c:cat>
          <c:val>
            <c:numRef>
              <c:f>'11503'!$F$7:$F$14</c:f>
              <c:numCache>
                <c:formatCode>#,##0</c:formatCode>
                <c:ptCount val="8"/>
                <c:pt idx="0">
                  <c:v>57383.339668237</c:v>
                </c:pt>
                <c:pt idx="1">
                  <c:v>52174.756779648</c:v>
                </c:pt>
                <c:pt idx="2">
                  <c:v>29234.598722592</c:v>
                </c:pt>
                <c:pt idx="3">
                  <c:v>19782.657502905</c:v>
                </c:pt>
                <c:pt idx="4">
                  <c:v>18515.41372389</c:v>
                </c:pt>
                <c:pt idx="5">
                  <c:v>4264</c:v>
                </c:pt>
                <c:pt idx="6">
                  <c:v>152.696480737</c:v>
                </c:pt>
                <c:pt idx="7">
                  <c:v>2503.0650589390002</c:v>
                </c:pt>
              </c:numCache>
            </c:numRef>
          </c:val>
          <c:extLst>
            <c:ext xmlns:c16="http://schemas.microsoft.com/office/drawing/2014/chart" uri="{C3380CC4-5D6E-409C-BE32-E72D297353CC}">
              <c16:uniqueId val="{00000004-0434-4551-A51E-99DE2EAE8AA7}"/>
            </c:ext>
          </c:extLst>
        </c:ser>
        <c:ser>
          <c:idx val="5"/>
          <c:order val="5"/>
          <c:tx>
            <c:strRef>
              <c:f>'11503'!$G$6</c:f>
              <c:strCache>
                <c:ptCount val="1"/>
                <c:pt idx="0">
                  <c:v>2009/2010</c:v>
                </c:pt>
              </c:strCache>
            </c:strRef>
          </c:tx>
          <c:invertIfNegative val="0"/>
          <c:cat>
            <c:strRef>
              <c:f>'11503'!$A$7:$A$14</c:f>
              <c:strCache>
                <c:ptCount val="8"/>
                <c:pt idx="0">
                  <c:v>NSW</c:v>
                </c:pt>
                <c:pt idx="1">
                  <c:v>VIC</c:v>
                </c:pt>
                <c:pt idx="2">
                  <c:v>QLD</c:v>
                </c:pt>
                <c:pt idx="3">
                  <c:v>SA</c:v>
                </c:pt>
                <c:pt idx="4">
                  <c:v>WA</c:v>
                </c:pt>
                <c:pt idx="5">
                  <c:v>TAS</c:v>
                </c:pt>
                <c:pt idx="6">
                  <c:v>NT</c:v>
                </c:pt>
                <c:pt idx="7">
                  <c:v>ACT</c:v>
                </c:pt>
              </c:strCache>
            </c:strRef>
          </c:cat>
          <c:val>
            <c:numRef>
              <c:f>'11503'!$G$7:$G$14</c:f>
              <c:numCache>
                <c:formatCode>#,##0</c:formatCode>
                <c:ptCount val="8"/>
                <c:pt idx="0">
                  <c:v>55514.194134678997</c:v>
                </c:pt>
                <c:pt idx="1">
                  <c:v>47478.767463290977</c:v>
                </c:pt>
                <c:pt idx="2">
                  <c:v>26489.632571622002</c:v>
                </c:pt>
                <c:pt idx="3">
                  <c:v>18161.861674604999</c:v>
                </c:pt>
                <c:pt idx="4">
                  <c:v>15538.581210947999</c:v>
                </c:pt>
                <c:pt idx="5">
                  <c:v>4473</c:v>
                </c:pt>
                <c:pt idx="6">
                  <c:v>204.27600298499999</c:v>
                </c:pt>
                <c:pt idx="7">
                  <c:v>2401.8445275580002</c:v>
                </c:pt>
              </c:numCache>
            </c:numRef>
          </c:val>
          <c:extLst>
            <c:ext xmlns:c16="http://schemas.microsoft.com/office/drawing/2014/chart" uri="{C3380CC4-5D6E-409C-BE32-E72D297353CC}">
              <c16:uniqueId val="{00000005-0434-4551-A51E-99DE2EAE8AA7}"/>
            </c:ext>
          </c:extLst>
        </c:ser>
        <c:dLbls>
          <c:showLegendKey val="0"/>
          <c:showVal val="0"/>
          <c:showCatName val="0"/>
          <c:showSerName val="0"/>
          <c:showPercent val="0"/>
          <c:showBubbleSize val="0"/>
        </c:dLbls>
        <c:gapWidth val="150"/>
        <c:axId val="386096512"/>
        <c:axId val="386102400"/>
      </c:barChart>
      <c:catAx>
        <c:axId val="386096512"/>
        <c:scaling>
          <c:orientation val="minMax"/>
        </c:scaling>
        <c:delete val="0"/>
        <c:axPos val="b"/>
        <c:numFmt formatCode="General" sourceLinked="0"/>
        <c:majorTickMark val="out"/>
        <c:minorTickMark val="none"/>
        <c:tickLblPos val="nextTo"/>
        <c:crossAx val="386102400"/>
        <c:crosses val="autoZero"/>
        <c:auto val="1"/>
        <c:lblAlgn val="ctr"/>
        <c:lblOffset val="100"/>
        <c:noMultiLvlLbl val="0"/>
      </c:catAx>
      <c:valAx>
        <c:axId val="386102400"/>
        <c:scaling>
          <c:orientation val="minMax"/>
        </c:scaling>
        <c:delete val="0"/>
        <c:axPos val="l"/>
        <c:majorGridlines/>
        <c:numFmt formatCode="#,##0" sourceLinked="1"/>
        <c:majorTickMark val="out"/>
        <c:minorTickMark val="none"/>
        <c:tickLblPos val="nextTo"/>
        <c:crossAx val="38609651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'11506'!$B$6</c:f>
              <c:strCache>
                <c:ptCount val="1"/>
                <c:pt idx="0">
                  <c:v>2014/2015</c:v>
                </c:pt>
              </c:strCache>
            </c:strRef>
          </c:tx>
          <c:invertIfNegative val="0"/>
          <c:cat>
            <c:strRef>
              <c:f>'11506'!$A$7:$A$14</c:f>
              <c:strCache>
                <c:ptCount val="8"/>
                <c:pt idx="0">
                  <c:v>NSW</c:v>
                </c:pt>
                <c:pt idx="1">
                  <c:v>VIC</c:v>
                </c:pt>
                <c:pt idx="2">
                  <c:v>QLD</c:v>
                </c:pt>
                <c:pt idx="3">
                  <c:v>SA</c:v>
                </c:pt>
                <c:pt idx="4">
                  <c:v>WA</c:v>
                </c:pt>
                <c:pt idx="5">
                  <c:v>TAS</c:v>
                </c:pt>
                <c:pt idx="6">
                  <c:v>NT</c:v>
                </c:pt>
                <c:pt idx="7">
                  <c:v>ACT</c:v>
                </c:pt>
              </c:strCache>
            </c:strRef>
          </c:cat>
          <c:val>
            <c:numRef>
              <c:f>'11506'!$B$7:$B$14</c:f>
              <c:numCache>
                <c:formatCode>#,##0</c:formatCode>
                <c:ptCount val="8"/>
                <c:pt idx="0">
                  <c:v>109903.436789952</c:v>
                </c:pt>
                <c:pt idx="1">
                  <c:v>29228.322622132</c:v>
                </c:pt>
                <c:pt idx="2">
                  <c:v>78750.598588244</c:v>
                </c:pt>
                <c:pt idx="3">
                  <c:v>17225.748107791009</c:v>
                </c:pt>
                <c:pt idx="4">
                  <c:v>25436.248495844</c:v>
                </c:pt>
                <c:pt idx="5">
                  <c:v>6559</c:v>
                </c:pt>
                <c:pt idx="6">
                  <c:v>1199.191763645</c:v>
                </c:pt>
                <c:pt idx="7">
                  <c:v>1933.537185246</c:v>
                </c:pt>
              </c:numCache>
            </c:numRef>
          </c:val>
          <c:extLst>
            <c:ext xmlns:c16="http://schemas.microsoft.com/office/drawing/2014/chart" uri="{C3380CC4-5D6E-409C-BE32-E72D297353CC}">
              <c16:uniqueId val="{00000000-62D9-4545-8137-C9E4BB47C0D1}"/>
            </c:ext>
          </c:extLst>
        </c:ser>
        <c:ser>
          <c:idx val="1"/>
          <c:order val="1"/>
          <c:tx>
            <c:strRef>
              <c:f>'11506'!$C$6</c:f>
              <c:strCache>
                <c:ptCount val="1"/>
                <c:pt idx="0">
                  <c:v>2013/2014</c:v>
                </c:pt>
              </c:strCache>
            </c:strRef>
          </c:tx>
          <c:invertIfNegative val="0"/>
          <c:cat>
            <c:strRef>
              <c:f>'11506'!$A$7:$A$14</c:f>
              <c:strCache>
                <c:ptCount val="8"/>
                <c:pt idx="0">
                  <c:v>NSW</c:v>
                </c:pt>
                <c:pt idx="1">
                  <c:v>VIC</c:v>
                </c:pt>
                <c:pt idx="2">
                  <c:v>QLD</c:v>
                </c:pt>
                <c:pt idx="3">
                  <c:v>SA</c:v>
                </c:pt>
                <c:pt idx="4">
                  <c:v>WA</c:v>
                </c:pt>
                <c:pt idx="5">
                  <c:v>TAS</c:v>
                </c:pt>
                <c:pt idx="6">
                  <c:v>NT</c:v>
                </c:pt>
                <c:pt idx="7">
                  <c:v>ACT</c:v>
                </c:pt>
              </c:strCache>
            </c:strRef>
          </c:cat>
          <c:val>
            <c:numRef>
              <c:f>'11506'!$C$7:$C$14</c:f>
              <c:numCache>
                <c:formatCode>#,##0</c:formatCode>
                <c:ptCount val="8"/>
                <c:pt idx="0">
                  <c:v>105549.204214182</c:v>
                </c:pt>
                <c:pt idx="1">
                  <c:v>27257.286576213999</c:v>
                </c:pt>
                <c:pt idx="2">
                  <c:v>75026.02757005686</c:v>
                </c:pt>
                <c:pt idx="3">
                  <c:v>15172.362357984999</c:v>
                </c:pt>
                <c:pt idx="4">
                  <c:v>24069.253561006</c:v>
                </c:pt>
                <c:pt idx="5">
                  <c:v>5857</c:v>
                </c:pt>
                <c:pt idx="6">
                  <c:v>944.64006165900003</c:v>
                </c:pt>
                <c:pt idx="7">
                  <c:v>1979.4022755670001</c:v>
                </c:pt>
              </c:numCache>
            </c:numRef>
          </c:val>
          <c:extLst>
            <c:ext xmlns:c16="http://schemas.microsoft.com/office/drawing/2014/chart" uri="{C3380CC4-5D6E-409C-BE32-E72D297353CC}">
              <c16:uniqueId val="{00000001-62D9-4545-8137-C9E4BB47C0D1}"/>
            </c:ext>
          </c:extLst>
        </c:ser>
        <c:ser>
          <c:idx val="2"/>
          <c:order val="2"/>
          <c:tx>
            <c:strRef>
              <c:f>'11506'!$D$6</c:f>
              <c:strCache>
                <c:ptCount val="1"/>
                <c:pt idx="0">
                  <c:v>2012/2013</c:v>
                </c:pt>
              </c:strCache>
            </c:strRef>
          </c:tx>
          <c:invertIfNegative val="0"/>
          <c:cat>
            <c:strRef>
              <c:f>'11506'!$A$7:$A$14</c:f>
              <c:strCache>
                <c:ptCount val="8"/>
                <c:pt idx="0">
                  <c:v>NSW</c:v>
                </c:pt>
                <c:pt idx="1">
                  <c:v>VIC</c:v>
                </c:pt>
                <c:pt idx="2">
                  <c:v>QLD</c:v>
                </c:pt>
                <c:pt idx="3">
                  <c:v>SA</c:v>
                </c:pt>
                <c:pt idx="4">
                  <c:v>WA</c:v>
                </c:pt>
                <c:pt idx="5">
                  <c:v>TAS</c:v>
                </c:pt>
                <c:pt idx="6">
                  <c:v>NT</c:v>
                </c:pt>
                <c:pt idx="7">
                  <c:v>ACT</c:v>
                </c:pt>
              </c:strCache>
            </c:strRef>
          </c:cat>
          <c:val>
            <c:numRef>
              <c:f>'11506'!$D$7:$D$14</c:f>
              <c:numCache>
                <c:formatCode>#,##0</c:formatCode>
                <c:ptCount val="8"/>
                <c:pt idx="0">
                  <c:v>105975.881076662</c:v>
                </c:pt>
                <c:pt idx="1">
                  <c:v>26023.668632659999</c:v>
                </c:pt>
                <c:pt idx="2">
                  <c:v>75461.416313033857</c:v>
                </c:pt>
                <c:pt idx="3">
                  <c:v>14846.590789301001</c:v>
                </c:pt>
                <c:pt idx="4">
                  <c:v>22138.425708901999</c:v>
                </c:pt>
                <c:pt idx="5">
                  <c:v>5709</c:v>
                </c:pt>
                <c:pt idx="6">
                  <c:v>897.37738085299998</c:v>
                </c:pt>
                <c:pt idx="7">
                  <c:v>1731.843700204</c:v>
                </c:pt>
              </c:numCache>
            </c:numRef>
          </c:val>
          <c:extLst>
            <c:ext xmlns:c16="http://schemas.microsoft.com/office/drawing/2014/chart" uri="{C3380CC4-5D6E-409C-BE32-E72D297353CC}">
              <c16:uniqueId val="{00000002-62D9-4545-8137-C9E4BB47C0D1}"/>
            </c:ext>
          </c:extLst>
        </c:ser>
        <c:ser>
          <c:idx val="3"/>
          <c:order val="3"/>
          <c:tx>
            <c:strRef>
              <c:f>'11506'!$E$6</c:f>
              <c:strCache>
                <c:ptCount val="1"/>
                <c:pt idx="0">
                  <c:v>2011/2012</c:v>
                </c:pt>
              </c:strCache>
            </c:strRef>
          </c:tx>
          <c:invertIfNegative val="0"/>
          <c:cat>
            <c:strRef>
              <c:f>'11506'!$A$7:$A$14</c:f>
              <c:strCache>
                <c:ptCount val="8"/>
                <c:pt idx="0">
                  <c:v>NSW</c:v>
                </c:pt>
                <c:pt idx="1">
                  <c:v>VIC</c:v>
                </c:pt>
                <c:pt idx="2">
                  <c:v>QLD</c:v>
                </c:pt>
                <c:pt idx="3">
                  <c:v>SA</c:v>
                </c:pt>
                <c:pt idx="4">
                  <c:v>WA</c:v>
                </c:pt>
                <c:pt idx="5">
                  <c:v>TAS</c:v>
                </c:pt>
                <c:pt idx="6">
                  <c:v>NT</c:v>
                </c:pt>
                <c:pt idx="7">
                  <c:v>ACT</c:v>
                </c:pt>
              </c:strCache>
            </c:strRef>
          </c:cat>
          <c:val>
            <c:numRef>
              <c:f>'11506'!$E$7:$E$14</c:f>
              <c:numCache>
                <c:formatCode>#,##0</c:formatCode>
                <c:ptCount val="8"/>
                <c:pt idx="0">
                  <c:v>106054.889239329</c:v>
                </c:pt>
                <c:pt idx="1">
                  <c:v>25479.086488269</c:v>
                </c:pt>
                <c:pt idx="2">
                  <c:v>72564.425564039993</c:v>
                </c:pt>
                <c:pt idx="3">
                  <c:v>13941.522708969</c:v>
                </c:pt>
                <c:pt idx="4">
                  <c:v>20877.086335458</c:v>
                </c:pt>
                <c:pt idx="5">
                  <c:v>5726</c:v>
                </c:pt>
                <c:pt idx="6">
                  <c:v>803.69302270900005</c:v>
                </c:pt>
                <c:pt idx="7">
                  <c:v>1741.135772568</c:v>
                </c:pt>
              </c:numCache>
            </c:numRef>
          </c:val>
          <c:extLst>
            <c:ext xmlns:c16="http://schemas.microsoft.com/office/drawing/2014/chart" uri="{C3380CC4-5D6E-409C-BE32-E72D297353CC}">
              <c16:uniqueId val="{00000003-62D9-4545-8137-C9E4BB47C0D1}"/>
            </c:ext>
          </c:extLst>
        </c:ser>
        <c:ser>
          <c:idx val="4"/>
          <c:order val="4"/>
          <c:tx>
            <c:strRef>
              <c:f>'11506'!$F$6</c:f>
              <c:strCache>
                <c:ptCount val="1"/>
                <c:pt idx="0">
                  <c:v>2010/2011</c:v>
                </c:pt>
              </c:strCache>
            </c:strRef>
          </c:tx>
          <c:invertIfNegative val="0"/>
          <c:cat>
            <c:strRef>
              <c:f>'11506'!$A$7:$A$14</c:f>
              <c:strCache>
                <c:ptCount val="8"/>
                <c:pt idx="0">
                  <c:v>NSW</c:v>
                </c:pt>
                <c:pt idx="1">
                  <c:v>VIC</c:v>
                </c:pt>
                <c:pt idx="2">
                  <c:v>QLD</c:v>
                </c:pt>
                <c:pt idx="3">
                  <c:v>SA</c:v>
                </c:pt>
                <c:pt idx="4">
                  <c:v>WA</c:v>
                </c:pt>
                <c:pt idx="5">
                  <c:v>TAS</c:v>
                </c:pt>
                <c:pt idx="6">
                  <c:v>NT</c:v>
                </c:pt>
                <c:pt idx="7">
                  <c:v>ACT</c:v>
                </c:pt>
              </c:strCache>
            </c:strRef>
          </c:cat>
          <c:val>
            <c:numRef>
              <c:f>'11506'!$F$7:$F$14</c:f>
              <c:numCache>
                <c:formatCode>#,##0</c:formatCode>
                <c:ptCount val="8"/>
                <c:pt idx="0">
                  <c:v>100283.02474769299</c:v>
                </c:pt>
                <c:pt idx="1">
                  <c:v>26612.271734079</c:v>
                </c:pt>
                <c:pt idx="2">
                  <c:v>70332.848586068969</c:v>
                </c:pt>
                <c:pt idx="3">
                  <c:v>14941.294277797</c:v>
                </c:pt>
                <c:pt idx="4">
                  <c:v>21160.916185064001</c:v>
                </c:pt>
                <c:pt idx="5">
                  <c:v>5537</c:v>
                </c:pt>
                <c:pt idx="6">
                  <c:v>1025.5467037169999</c:v>
                </c:pt>
                <c:pt idx="7">
                  <c:v>2029.302577189</c:v>
                </c:pt>
              </c:numCache>
            </c:numRef>
          </c:val>
          <c:extLst>
            <c:ext xmlns:c16="http://schemas.microsoft.com/office/drawing/2014/chart" uri="{C3380CC4-5D6E-409C-BE32-E72D297353CC}">
              <c16:uniqueId val="{00000004-62D9-4545-8137-C9E4BB47C0D1}"/>
            </c:ext>
          </c:extLst>
        </c:ser>
        <c:ser>
          <c:idx val="5"/>
          <c:order val="5"/>
          <c:tx>
            <c:strRef>
              <c:f>'11506'!$G$6</c:f>
              <c:strCache>
                <c:ptCount val="1"/>
                <c:pt idx="0">
                  <c:v>2009/2010</c:v>
                </c:pt>
              </c:strCache>
            </c:strRef>
          </c:tx>
          <c:invertIfNegative val="0"/>
          <c:cat>
            <c:strRef>
              <c:f>'11506'!$A$7:$A$14</c:f>
              <c:strCache>
                <c:ptCount val="8"/>
                <c:pt idx="0">
                  <c:v>NSW</c:v>
                </c:pt>
                <c:pt idx="1">
                  <c:v>VIC</c:v>
                </c:pt>
                <c:pt idx="2">
                  <c:v>QLD</c:v>
                </c:pt>
                <c:pt idx="3">
                  <c:v>SA</c:v>
                </c:pt>
                <c:pt idx="4">
                  <c:v>WA</c:v>
                </c:pt>
                <c:pt idx="5">
                  <c:v>TAS</c:v>
                </c:pt>
                <c:pt idx="6">
                  <c:v>NT</c:v>
                </c:pt>
                <c:pt idx="7">
                  <c:v>ACT</c:v>
                </c:pt>
              </c:strCache>
            </c:strRef>
          </c:cat>
          <c:val>
            <c:numRef>
              <c:f>'11506'!$G$7:$G$14</c:f>
              <c:numCache>
                <c:formatCode>#,##0</c:formatCode>
                <c:ptCount val="8"/>
                <c:pt idx="0">
                  <c:v>98693.866505030936</c:v>
                </c:pt>
                <c:pt idx="1">
                  <c:v>23861.787040417999</c:v>
                </c:pt>
                <c:pt idx="2">
                  <c:v>67995.312047374857</c:v>
                </c:pt>
                <c:pt idx="3">
                  <c:v>14917.751140077</c:v>
                </c:pt>
                <c:pt idx="4">
                  <c:v>22700.243835006</c:v>
                </c:pt>
                <c:pt idx="5">
                  <c:v>5105</c:v>
                </c:pt>
                <c:pt idx="6">
                  <c:v>914.45474843500006</c:v>
                </c:pt>
                <c:pt idx="7">
                  <c:v>2010.5974866480001</c:v>
                </c:pt>
              </c:numCache>
            </c:numRef>
          </c:val>
          <c:extLst>
            <c:ext xmlns:c16="http://schemas.microsoft.com/office/drawing/2014/chart" uri="{C3380CC4-5D6E-409C-BE32-E72D297353CC}">
              <c16:uniqueId val="{00000005-62D9-4545-8137-C9E4BB47C0D1}"/>
            </c:ext>
          </c:extLst>
        </c:ser>
        <c:dLbls>
          <c:showLegendKey val="0"/>
          <c:showVal val="0"/>
          <c:showCatName val="0"/>
          <c:showSerName val="0"/>
          <c:showPercent val="0"/>
          <c:showBubbleSize val="0"/>
        </c:dLbls>
        <c:gapWidth val="150"/>
        <c:axId val="390155264"/>
        <c:axId val="390169344"/>
      </c:barChart>
      <c:catAx>
        <c:axId val="390155264"/>
        <c:scaling>
          <c:orientation val="minMax"/>
        </c:scaling>
        <c:delete val="0"/>
        <c:axPos val="b"/>
        <c:numFmt formatCode="General" sourceLinked="0"/>
        <c:majorTickMark val="out"/>
        <c:minorTickMark val="none"/>
        <c:tickLblPos val="nextTo"/>
        <c:crossAx val="390169344"/>
        <c:crosses val="autoZero"/>
        <c:auto val="1"/>
        <c:lblAlgn val="ctr"/>
        <c:lblOffset val="100"/>
        <c:noMultiLvlLbl val="0"/>
      </c:catAx>
      <c:valAx>
        <c:axId val="390169344"/>
        <c:scaling>
          <c:orientation val="minMax"/>
        </c:scaling>
        <c:delete val="0"/>
        <c:axPos val="l"/>
        <c:majorGridlines/>
        <c:numFmt formatCode="#,##0" sourceLinked="1"/>
        <c:majorTickMark val="out"/>
        <c:minorTickMark val="none"/>
        <c:tickLblPos val="nextTo"/>
        <c:crossAx val="39015526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'11512'!$B$6</c:f>
              <c:strCache>
                <c:ptCount val="1"/>
                <c:pt idx="0">
                  <c:v>2014/2015</c:v>
                </c:pt>
              </c:strCache>
            </c:strRef>
          </c:tx>
          <c:invertIfNegative val="0"/>
          <c:cat>
            <c:strRef>
              <c:f>'11512'!$A$7:$A$14</c:f>
              <c:strCache>
                <c:ptCount val="8"/>
                <c:pt idx="0">
                  <c:v>NSW</c:v>
                </c:pt>
                <c:pt idx="1">
                  <c:v>VIC</c:v>
                </c:pt>
                <c:pt idx="2">
                  <c:v>QLD</c:v>
                </c:pt>
                <c:pt idx="3">
                  <c:v>SA</c:v>
                </c:pt>
                <c:pt idx="4">
                  <c:v>WA</c:v>
                </c:pt>
                <c:pt idx="5">
                  <c:v>TAS</c:v>
                </c:pt>
                <c:pt idx="6">
                  <c:v>NT</c:v>
                </c:pt>
                <c:pt idx="7">
                  <c:v>ACT</c:v>
                </c:pt>
              </c:strCache>
            </c:strRef>
          </c:cat>
          <c:val>
            <c:numRef>
              <c:f>'11512'!$B$7:$B$14</c:f>
              <c:numCache>
                <c:formatCode>#,##0</c:formatCode>
                <c:ptCount val="8"/>
                <c:pt idx="0">
                  <c:v>24741.402255895999</c:v>
                </c:pt>
                <c:pt idx="1">
                  <c:v>23161.037087692999</c:v>
                </c:pt>
                <c:pt idx="2">
                  <c:v>18246.263948227999</c:v>
                </c:pt>
                <c:pt idx="3">
                  <c:v>3301.1187643429998</c:v>
                </c:pt>
                <c:pt idx="4">
                  <c:v>11586.083410612</c:v>
                </c:pt>
                <c:pt idx="5">
                  <c:v>1045</c:v>
                </c:pt>
                <c:pt idx="6">
                  <c:v>83.339032438999766</c:v>
                </c:pt>
                <c:pt idx="7">
                  <c:v>535.18881692299999</c:v>
                </c:pt>
              </c:numCache>
            </c:numRef>
          </c:val>
          <c:extLst>
            <c:ext xmlns:c16="http://schemas.microsoft.com/office/drawing/2014/chart" uri="{C3380CC4-5D6E-409C-BE32-E72D297353CC}">
              <c16:uniqueId val="{00000000-A49E-41D3-80C1-34BF607D313D}"/>
            </c:ext>
          </c:extLst>
        </c:ser>
        <c:ser>
          <c:idx val="1"/>
          <c:order val="1"/>
          <c:tx>
            <c:strRef>
              <c:f>'11512'!$C$6</c:f>
              <c:strCache>
                <c:ptCount val="1"/>
                <c:pt idx="0">
                  <c:v>2013/2014</c:v>
                </c:pt>
              </c:strCache>
            </c:strRef>
          </c:tx>
          <c:invertIfNegative val="0"/>
          <c:cat>
            <c:strRef>
              <c:f>'11512'!$A$7:$A$14</c:f>
              <c:strCache>
                <c:ptCount val="8"/>
                <c:pt idx="0">
                  <c:v>NSW</c:v>
                </c:pt>
                <c:pt idx="1">
                  <c:v>VIC</c:v>
                </c:pt>
                <c:pt idx="2">
                  <c:v>QLD</c:v>
                </c:pt>
                <c:pt idx="3">
                  <c:v>SA</c:v>
                </c:pt>
                <c:pt idx="4">
                  <c:v>WA</c:v>
                </c:pt>
                <c:pt idx="5">
                  <c:v>TAS</c:v>
                </c:pt>
                <c:pt idx="6">
                  <c:v>NT</c:v>
                </c:pt>
                <c:pt idx="7">
                  <c:v>ACT</c:v>
                </c:pt>
              </c:strCache>
            </c:strRef>
          </c:cat>
          <c:val>
            <c:numRef>
              <c:f>'11512'!$C$7:$C$14</c:f>
              <c:numCache>
                <c:formatCode>#,##0</c:formatCode>
                <c:ptCount val="8"/>
                <c:pt idx="0">
                  <c:v>25790.426635034</c:v>
                </c:pt>
                <c:pt idx="1">
                  <c:v>20512.673984322999</c:v>
                </c:pt>
                <c:pt idx="2">
                  <c:v>15789.877694151</c:v>
                </c:pt>
                <c:pt idx="3">
                  <c:v>3679.0090973860001</c:v>
                </c:pt>
                <c:pt idx="4">
                  <c:v>9618.0006658340008</c:v>
                </c:pt>
                <c:pt idx="5">
                  <c:v>1167</c:v>
                </c:pt>
                <c:pt idx="6">
                  <c:v>119.40834709000001</c:v>
                </c:pt>
                <c:pt idx="7">
                  <c:v>446.00990737000001</c:v>
                </c:pt>
              </c:numCache>
            </c:numRef>
          </c:val>
          <c:extLst>
            <c:ext xmlns:c16="http://schemas.microsoft.com/office/drawing/2014/chart" uri="{C3380CC4-5D6E-409C-BE32-E72D297353CC}">
              <c16:uniqueId val="{00000001-A49E-41D3-80C1-34BF607D313D}"/>
            </c:ext>
          </c:extLst>
        </c:ser>
        <c:ser>
          <c:idx val="2"/>
          <c:order val="2"/>
          <c:tx>
            <c:strRef>
              <c:f>'11512'!$D$6</c:f>
              <c:strCache>
                <c:ptCount val="1"/>
                <c:pt idx="0">
                  <c:v>2012/2013</c:v>
                </c:pt>
              </c:strCache>
            </c:strRef>
          </c:tx>
          <c:invertIfNegative val="0"/>
          <c:cat>
            <c:strRef>
              <c:f>'11512'!$A$7:$A$14</c:f>
              <c:strCache>
                <c:ptCount val="8"/>
                <c:pt idx="0">
                  <c:v>NSW</c:v>
                </c:pt>
                <c:pt idx="1">
                  <c:v>VIC</c:v>
                </c:pt>
                <c:pt idx="2">
                  <c:v>QLD</c:v>
                </c:pt>
                <c:pt idx="3">
                  <c:v>SA</c:v>
                </c:pt>
                <c:pt idx="4">
                  <c:v>WA</c:v>
                </c:pt>
                <c:pt idx="5">
                  <c:v>TAS</c:v>
                </c:pt>
                <c:pt idx="6">
                  <c:v>NT</c:v>
                </c:pt>
                <c:pt idx="7">
                  <c:v>ACT</c:v>
                </c:pt>
              </c:strCache>
            </c:strRef>
          </c:cat>
          <c:val>
            <c:numRef>
              <c:f>'11512'!$D$7:$D$14</c:f>
              <c:numCache>
                <c:formatCode>#,##0</c:formatCode>
                <c:ptCount val="8"/>
                <c:pt idx="0">
                  <c:v>26746.194785042</c:v>
                </c:pt>
                <c:pt idx="1">
                  <c:v>20296.157422251999</c:v>
                </c:pt>
                <c:pt idx="2">
                  <c:v>14529.980304672001</c:v>
                </c:pt>
                <c:pt idx="3">
                  <c:v>3921.0121298160002</c:v>
                </c:pt>
                <c:pt idx="4">
                  <c:v>8603</c:v>
                </c:pt>
                <c:pt idx="5">
                  <c:v>891</c:v>
                </c:pt>
                <c:pt idx="6">
                  <c:v>117.19374296399999</c:v>
                </c:pt>
                <c:pt idx="7">
                  <c:v>399.87694142399999</c:v>
                </c:pt>
              </c:numCache>
            </c:numRef>
          </c:val>
          <c:extLst>
            <c:ext xmlns:c16="http://schemas.microsoft.com/office/drawing/2014/chart" uri="{C3380CC4-5D6E-409C-BE32-E72D297353CC}">
              <c16:uniqueId val="{00000002-A49E-41D3-80C1-34BF607D313D}"/>
            </c:ext>
          </c:extLst>
        </c:ser>
        <c:ser>
          <c:idx val="3"/>
          <c:order val="3"/>
          <c:tx>
            <c:strRef>
              <c:f>'11512'!$E$6</c:f>
              <c:strCache>
                <c:ptCount val="1"/>
                <c:pt idx="0">
                  <c:v>2011/2012</c:v>
                </c:pt>
              </c:strCache>
            </c:strRef>
          </c:tx>
          <c:invertIfNegative val="0"/>
          <c:cat>
            <c:strRef>
              <c:f>'11512'!$A$7:$A$14</c:f>
              <c:strCache>
                <c:ptCount val="8"/>
                <c:pt idx="0">
                  <c:v>NSW</c:v>
                </c:pt>
                <c:pt idx="1">
                  <c:v>VIC</c:v>
                </c:pt>
                <c:pt idx="2">
                  <c:v>QLD</c:v>
                </c:pt>
                <c:pt idx="3">
                  <c:v>SA</c:v>
                </c:pt>
                <c:pt idx="4">
                  <c:v>WA</c:v>
                </c:pt>
                <c:pt idx="5">
                  <c:v>TAS</c:v>
                </c:pt>
                <c:pt idx="6">
                  <c:v>NT</c:v>
                </c:pt>
                <c:pt idx="7">
                  <c:v>ACT</c:v>
                </c:pt>
              </c:strCache>
            </c:strRef>
          </c:cat>
          <c:val>
            <c:numRef>
              <c:f>'11512'!$E$7:$E$14</c:f>
              <c:numCache>
                <c:formatCode>#,##0</c:formatCode>
                <c:ptCount val="8"/>
                <c:pt idx="0">
                  <c:v>27080.545492882</c:v>
                </c:pt>
                <c:pt idx="1">
                  <c:v>19526.170983665001</c:v>
                </c:pt>
                <c:pt idx="2">
                  <c:v>13173.377946582999</c:v>
                </c:pt>
                <c:pt idx="3">
                  <c:v>3831.2435934820001</c:v>
                </c:pt>
                <c:pt idx="4">
                  <c:v>8675.1654895560005</c:v>
                </c:pt>
                <c:pt idx="5">
                  <c:v>918</c:v>
                </c:pt>
                <c:pt idx="6">
                  <c:v>113.03358666600001</c:v>
                </c:pt>
                <c:pt idx="7">
                  <c:v>365.87823333599999</c:v>
                </c:pt>
              </c:numCache>
            </c:numRef>
          </c:val>
          <c:extLst>
            <c:ext xmlns:c16="http://schemas.microsoft.com/office/drawing/2014/chart" uri="{C3380CC4-5D6E-409C-BE32-E72D297353CC}">
              <c16:uniqueId val="{00000003-A49E-41D3-80C1-34BF607D313D}"/>
            </c:ext>
          </c:extLst>
        </c:ser>
        <c:ser>
          <c:idx val="4"/>
          <c:order val="4"/>
          <c:tx>
            <c:strRef>
              <c:f>'11512'!$F$6</c:f>
              <c:strCache>
                <c:ptCount val="1"/>
                <c:pt idx="0">
                  <c:v>2010/2011</c:v>
                </c:pt>
              </c:strCache>
            </c:strRef>
          </c:tx>
          <c:invertIfNegative val="0"/>
          <c:cat>
            <c:strRef>
              <c:f>'11512'!$A$7:$A$14</c:f>
              <c:strCache>
                <c:ptCount val="8"/>
                <c:pt idx="0">
                  <c:v>NSW</c:v>
                </c:pt>
                <c:pt idx="1">
                  <c:v>VIC</c:v>
                </c:pt>
                <c:pt idx="2">
                  <c:v>QLD</c:v>
                </c:pt>
                <c:pt idx="3">
                  <c:v>SA</c:v>
                </c:pt>
                <c:pt idx="4">
                  <c:v>WA</c:v>
                </c:pt>
                <c:pt idx="5">
                  <c:v>TAS</c:v>
                </c:pt>
                <c:pt idx="6">
                  <c:v>NT</c:v>
                </c:pt>
                <c:pt idx="7">
                  <c:v>ACT</c:v>
                </c:pt>
              </c:strCache>
            </c:strRef>
          </c:cat>
          <c:val>
            <c:numRef>
              <c:f>'11512'!$F$7:$F$14</c:f>
              <c:numCache>
                <c:formatCode>#,##0</c:formatCode>
                <c:ptCount val="8"/>
                <c:pt idx="0">
                  <c:v>27485.709567648901</c:v>
                </c:pt>
                <c:pt idx="1">
                  <c:v>19618.316174562999</c:v>
                </c:pt>
                <c:pt idx="2">
                  <c:v>12413.89002988</c:v>
                </c:pt>
                <c:pt idx="3">
                  <c:v>3998.1187642949999</c:v>
                </c:pt>
                <c:pt idx="4">
                  <c:v>9394.0834106120001</c:v>
                </c:pt>
                <c:pt idx="5">
                  <c:v>1158</c:v>
                </c:pt>
                <c:pt idx="6">
                  <c:v>58.080708487000003</c:v>
                </c:pt>
                <c:pt idx="7">
                  <c:v>355.05476100800001</c:v>
                </c:pt>
              </c:numCache>
            </c:numRef>
          </c:val>
          <c:extLst>
            <c:ext xmlns:c16="http://schemas.microsoft.com/office/drawing/2014/chart" uri="{C3380CC4-5D6E-409C-BE32-E72D297353CC}">
              <c16:uniqueId val="{00000004-A49E-41D3-80C1-34BF607D313D}"/>
            </c:ext>
          </c:extLst>
        </c:ser>
        <c:ser>
          <c:idx val="5"/>
          <c:order val="5"/>
          <c:tx>
            <c:strRef>
              <c:f>'11512'!$G$6</c:f>
              <c:strCache>
                <c:ptCount val="1"/>
                <c:pt idx="0">
                  <c:v>2009/2010</c:v>
                </c:pt>
              </c:strCache>
            </c:strRef>
          </c:tx>
          <c:invertIfNegative val="0"/>
          <c:cat>
            <c:strRef>
              <c:f>'11512'!$A$7:$A$14</c:f>
              <c:strCache>
                <c:ptCount val="8"/>
                <c:pt idx="0">
                  <c:v>NSW</c:v>
                </c:pt>
                <c:pt idx="1">
                  <c:v>VIC</c:v>
                </c:pt>
                <c:pt idx="2">
                  <c:v>QLD</c:v>
                </c:pt>
                <c:pt idx="3">
                  <c:v>SA</c:v>
                </c:pt>
                <c:pt idx="4">
                  <c:v>WA</c:v>
                </c:pt>
                <c:pt idx="5">
                  <c:v>TAS</c:v>
                </c:pt>
                <c:pt idx="6">
                  <c:v>NT</c:v>
                </c:pt>
                <c:pt idx="7">
                  <c:v>ACT</c:v>
                </c:pt>
              </c:strCache>
            </c:strRef>
          </c:cat>
          <c:val>
            <c:numRef>
              <c:f>'11512'!$G$7:$G$14</c:f>
              <c:numCache>
                <c:formatCode>#,##0</c:formatCode>
                <c:ptCount val="8"/>
                <c:pt idx="0">
                  <c:v>25779.265485273001</c:v>
                </c:pt>
                <c:pt idx="1">
                  <c:v>18824.070426258</c:v>
                </c:pt>
                <c:pt idx="2">
                  <c:v>10420.415961533001</c:v>
                </c:pt>
                <c:pt idx="3">
                  <c:v>4381.0090973379974</c:v>
                </c:pt>
                <c:pt idx="4">
                  <c:v>8560.0006658340008</c:v>
                </c:pt>
                <c:pt idx="5">
                  <c:v>1294</c:v>
                </c:pt>
                <c:pt idx="6">
                  <c:v>117.322239106</c:v>
                </c:pt>
                <c:pt idx="7">
                  <c:v>370.27748093600002</c:v>
                </c:pt>
              </c:numCache>
            </c:numRef>
          </c:val>
          <c:extLst>
            <c:ext xmlns:c16="http://schemas.microsoft.com/office/drawing/2014/chart" uri="{C3380CC4-5D6E-409C-BE32-E72D297353CC}">
              <c16:uniqueId val="{00000005-A49E-41D3-80C1-34BF607D313D}"/>
            </c:ext>
          </c:extLst>
        </c:ser>
        <c:dLbls>
          <c:showLegendKey val="0"/>
          <c:showVal val="0"/>
          <c:showCatName val="0"/>
          <c:showSerName val="0"/>
          <c:showPercent val="0"/>
          <c:showBubbleSize val="0"/>
        </c:dLbls>
        <c:gapWidth val="150"/>
        <c:axId val="390196224"/>
        <c:axId val="392430336"/>
      </c:barChart>
      <c:catAx>
        <c:axId val="390196224"/>
        <c:scaling>
          <c:orientation val="minMax"/>
        </c:scaling>
        <c:delete val="0"/>
        <c:axPos val="b"/>
        <c:numFmt formatCode="General" sourceLinked="0"/>
        <c:majorTickMark val="out"/>
        <c:minorTickMark val="none"/>
        <c:tickLblPos val="nextTo"/>
        <c:crossAx val="392430336"/>
        <c:crosses val="autoZero"/>
        <c:auto val="1"/>
        <c:lblAlgn val="ctr"/>
        <c:lblOffset val="100"/>
        <c:noMultiLvlLbl val="0"/>
      </c:catAx>
      <c:valAx>
        <c:axId val="392430336"/>
        <c:scaling>
          <c:orientation val="minMax"/>
        </c:scaling>
        <c:delete val="0"/>
        <c:axPos val="l"/>
        <c:majorGridlines/>
        <c:numFmt formatCode="#,##0" sourceLinked="1"/>
        <c:majorTickMark val="out"/>
        <c:minorTickMark val="none"/>
        <c:tickLblPos val="nextTo"/>
        <c:crossAx val="3901962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2</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1</b:RefOrder>
  </b:Source>
</b:Sources>
</file>

<file path=customXml/itemProps1.xml><?xml version="1.0" encoding="utf-8"?>
<ds:datastoreItem xmlns:ds="http://schemas.openxmlformats.org/officeDocument/2006/customXml" ds:itemID="{5A942930-E8CF-4D3B-8E2E-3669237C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85726</Words>
  <Characters>488642</Characters>
  <Application>Microsoft Office Word</Application>
  <DocSecurity>0</DocSecurity>
  <Lines>4072</Lines>
  <Paragraphs>1146</Paragraphs>
  <ScaleCrop>false</ScaleCrop>
  <HeadingPairs>
    <vt:vector size="2" baseType="variant">
      <vt:variant>
        <vt:lpstr>Title</vt:lpstr>
      </vt:variant>
      <vt:variant>
        <vt:i4>1</vt:i4>
      </vt:variant>
    </vt:vector>
  </HeadingPairs>
  <TitlesOfParts>
    <vt:vector size="1" baseType="lpstr">
      <vt:lpstr>Medicare Benefits Schedule Review Taskforce Report from the Thoracic Medicine Clinical Committee</vt:lpstr>
    </vt:vector>
  </TitlesOfParts>
  <Company/>
  <LinksUpToDate>false</LinksUpToDate>
  <CharactersWithSpaces>573222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Report from the Thoracic Medicine Clinical Committee</dc:title>
  <dc:subject>Medicare Benefits Schedule</dc:subject>
  <dc:creator>Australian Government Department of Health</dc:creator>
  <cp:keywords/>
  <dc:description/>
  <cp:lastModifiedBy>SMEDLEY, Tyne</cp:lastModifiedBy>
  <cp:revision>2</cp:revision>
  <cp:lastPrinted>2021-06-29T02:47:00Z</cp:lastPrinted>
  <dcterms:created xsi:type="dcterms:W3CDTF">2021-06-29T03:00:00Z</dcterms:created>
  <dcterms:modified xsi:type="dcterms:W3CDTF">2021-06-29T03:00:00Z</dcterms:modified>
</cp:coreProperties>
</file>